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Vipshop Holdings Limited</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ordinary shares, par value US$0.0001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G93629 106</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00" w:lineRule="exact"/>
        <w:rPr>
          <w:sz w:val="24"/>
          <w:szCs w:val="24"/>
          <w:color w:val="auto"/>
        </w:rPr>
      </w:pPr>
    </w:p>
    <w:p>
      <w:pPr>
        <w:spacing w:after="0" w:line="295"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-330835</wp:posOffset>
            </wp:positionV>
            <wp:extent cx="771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191770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G93629 106</w:t>
      </w:r>
    </w:p>
    <w:p>
      <w:pPr>
        <w:spacing w:after="0" w:line="270" w:lineRule="exact"/>
        <w:rPr>
          <w:sz w:val="20"/>
          <w:szCs w:val="20"/>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Elegant Motion Holdings Limited</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494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5494655"/>
                    </a:xfrm>
                    <a:prstGeom prst="rect">
                      <a:avLst/>
                    </a:prstGeom>
                    <a:noFill/>
                  </pic:spPr>
                </pic:pic>
              </a:graphicData>
            </a:graphic>
          </wp:anchor>
        </w:drawing>
      </w:r>
    </w:p>
    <w:p>
      <w:pPr>
        <w:spacing w:after="0" w:line="203"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96" w:lineRule="exact"/>
        <w:rPr>
          <w:sz w:val="20"/>
          <w:szCs w:val="20"/>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71"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4"/>
        <w:spacing w:after="0"/>
        <w:rPr>
          <w:sz w:val="20"/>
          <w:szCs w:val="20"/>
          <w:color w:val="auto"/>
        </w:rPr>
      </w:pPr>
      <w:r>
        <w:rPr>
          <w:rFonts w:ascii="Times New Roman" w:cs="Times New Roman" w:eastAsia="Times New Roman" w:hAnsi="Times New Roman"/>
          <w:sz w:val="18"/>
          <w:szCs w:val="18"/>
          <w:color w:val="auto"/>
        </w:rPr>
        <w:t>  British Virgin Islands</w:t>
      </w:r>
    </w:p>
    <w:p>
      <w:pPr>
        <w:spacing w:after="0" w:line="36" w:lineRule="exact"/>
        <w:rPr>
          <w:sz w:val="20"/>
          <w:szCs w:val="20"/>
          <w:color w:val="auto"/>
        </w:rPr>
      </w:pPr>
    </w:p>
    <w:p>
      <w:pPr>
        <w:ind w:left="1464" w:hanging="303"/>
        <w:spacing w:after="0"/>
        <w:tabs>
          <w:tab w:leader="none" w:pos="14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15,941,084 shares (represented by 15,560,358 Class B ordinary shares and 380,726 Class A ordinary shares in the form of</w:t>
            </w:r>
          </w:p>
        </w:tc>
        <w:tc>
          <w:tcPr>
            <w:tcW w:w="0" w:type="dxa"/>
            <w:vAlign w:val="bottom"/>
          </w:tcPr>
          <w:p>
            <w:pPr>
              <w:spacing w:after="0"/>
              <w:rPr>
                <w:sz w:val="1"/>
                <w:szCs w:val="1"/>
                <w:color w:val="auto"/>
              </w:rPr>
            </w:pPr>
          </w:p>
        </w:tc>
      </w:tr>
      <w:tr>
        <w:trPr>
          <w:trHeight w:val="26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20" w:type="dxa"/>
            <w:vAlign w:val="bottom"/>
            <w:tcBorders>
              <w:bottom w:val="single" w:sz="8" w:color="auto"/>
            </w:tcBorders>
          </w:tcPr>
          <w:p>
            <w:pPr>
              <w:spacing w:after="0"/>
              <w:rPr>
                <w:sz w:val="22"/>
                <w:szCs w:val="22"/>
                <w:color w:val="auto"/>
              </w:rPr>
            </w:pPr>
          </w:p>
        </w:tc>
        <w:tc>
          <w:tcPr>
            <w:tcW w:w="9540" w:type="dxa"/>
            <w:vAlign w:val="bottom"/>
            <w:tcBorders>
              <w:bottom w:val="single" w:sz="8" w:color="auto"/>
            </w:tcBorders>
          </w:tcPr>
          <w:p>
            <w:pPr>
              <w:ind w:left="220"/>
              <w:spacing w:after="0" w:line="247" w:lineRule="exact"/>
              <w:rPr>
                <w:sz w:val="20"/>
                <w:szCs w:val="20"/>
                <w:color w:val="auto"/>
              </w:rPr>
            </w:pPr>
            <w:r>
              <w:rPr>
                <w:rFonts w:ascii="Times New Roman" w:cs="Times New Roman" w:eastAsia="Times New Roman" w:hAnsi="Times New Roman"/>
                <w:sz w:val="18"/>
                <w:szCs w:val="18"/>
                <w:color w:val="auto"/>
              </w:rPr>
              <w:t>American depositary shares (“ADSs”))</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21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Pr>
          <w:p>
            <w:pPr>
              <w:spacing w:after="0"/>
              <w:rPr>
                <w:sz w:val="18"/>
                <w:szCs w:val="18"/>
                <w:color w:val="auto"/>
              </w:rPr>
            </w:pPr>
          </w:p>
        </w:tc>
        <w:tc>
          <w:tcPr>
            <w:tcW w:w="9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20" w:type="dxa"/>
            <w:vAlign w:val="bottom"/>
            <w:tcBorders>
              <w:bottom w:val="single" w:sz="8" w:color="auto"/>
            </w:tcBorders>
          </w:tcPr>
          <w:p>
            <w:pPr>
              <w:spacing w:after="0"/>
              <w:rPr>
                <w:sz w:val="20"/>
                <w:szCs w:val="20"/>
                <w:color w:val="auto"/>
              </w:rPr>
            </w:pPr>
          </w:p>
        </w:tc>
        <w:tc>
          <w:tcPr>
            <w:tcW w:w="9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9"/>
                <w:szCs w:val="19"/>
                <w:color w:val="auto"/>
              </w:rPr>
            </w:pPr>
          </w:p>
        </w:tc>
        <w:tc>
          <w:tcPr>
            <w:tcW w:w="9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15,941,084 shares (represented by 15,560,358 Class B ordinary shares and 380,726 Class A ordinary shares in the form of</w:t>
            </w:r>
          </w:p>
        </w:tc>
        <w:tc>
          <w:tcPr>
            <w:tcW w:w="0" w:type="dxa"/>
            <w:vAlign w:val="bottom"/>
          </w:tcPr>
          <w:p>
            <w:pPr>
              <w:spacing w:after="0"/>
              <w:rPr>
                <w:sz w:val="1"/>
                <w:szCs w:val="1"/>
                <w:color w:val="auto"/>
              </w:rPr>
            </w:pPr>
          </w:p>
        </w:tc>
      </w:tr>
      <w:tr>
        <w:trPr>
          <w:trHeight w:val="299"/>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Pr>
          <w:p>
            <w:pPr>
              <w:spacing w:after="0"/>
              <w:rPr>
                <w:sz w:val="24"/>
                <w:szCs w:val="24"/>
                <w:color w:val="auto"/>
              </w:rPr>
            </w:pPr>
          </w:p>
        </w:tc>
        <w:tc>
          <w:tcPr>
            <w:tcW w:w="9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ADSs)</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bl>
    <w:p>
      <w:pPr>
        <w:ind w:left="1464" w:right="7480" w:hanging="303"/>
        <w:spacing w:after="0" w:line="395" w:lineRule="auto"/>
        <w:tabs>
          <w:tab w:leader="none" w:pos="146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Shared Dispositive Power   0</w:t>
      </w: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15,941,084 shares</w:t>
      </w:r>
    </w:p>
    <w:p>
      <w:pPr>
        <w:spacing w:after="0" w:line="36" w:lineRule="exact"/>
        <w:rPr>
          <w:sz w:val="20"/>
          <w:szCs w:val="20"/>
          <w:color w:val="auto"/>
        </w:rPr>
      </w:pPr>
    </w:p>
    <w:p>
      <w:pPr>
        <w:ind w:left="524" w:hanging="367"/>
        <w:spacing w:after="0"/>
        <w:tabs>
          <w:tab w:leader="none" w:pos="5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held by Elegant Motion Holdings Limited, which is ultimately wholly owned by the SYZXC Trust. See Item 4.</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conversion of all Class B ordinary shares into Class A ordinary shares.</w:t>
      </w:r>
    </w:p>
    <w:p>
      <w:pPr>
        <w:spacing w:after="0" w:line="139"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4"/>
          </w:cols>
          <w:pgMar w:left="436" w:top="266" w:right="5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G93629 106</w:t>
      </w:r>
    </w:p>
    <w:p>
      <w:pPr>
        <w:spacing w:after="0" w:line="270" w:lineRule="exact"/>
        <w:rPr>
          <w:sz w:val="20"/>
          <w:szCs w:val="20"/>
          <w:color w:val="auto"/>
        </w:rPr>
      </w:pPr>
    </w:p>
    <w:p>
      <w:pPr>
        <w:ind w:left="244" w:hanging="87"/>
        <w:spacing w:after="0"/>
        <w:tabs>
          <w:tab w:leader="none" w:pos="24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Ya Shen</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768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768975"/>
                    </a:xfrm>
                    <a:prstGeom prst="rect">
                      <a:avLst/>
                    </a:prstGeom>
                    <a:noFill/>
                  </pic:spPr>
                </pic:pic>
              </a:graphicData>
            </a:graphic>
          </wp:anchor>
        </w:drawing>
      </w:r>
    </w:p>
    <w:p>
      <w:pPr>
        <w:spacing w:after="0" w:line="203"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96" w:lineRule="exact"/>
        <w:rPr>
          <w:sz w:val="20"/>
          <w:szCs w:val="20"/>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71"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4"/>
        <w:spacing w:after="0"/>
        <w:rPr>
          <w:sz w:val="20"/>
          <w:szCs w:val="20"/>
          <w:color w:val="auto"/>
        </w:rPr>
      </w:pPr>
      <w:r>
        <w:rPr>
          <w:rFonts w:ascii="Times New Roman" w:cs="Times New Roman" w:eastAsia="Times New Roman" w:hAnsi="Times New Roman"/>
          <w:sz w:val="18"/>
          <w:szCs w:val="18"/>
          <w:color w:val="auto"/>
        </w:rPr>
        <w:t>  People’s Republic of China</w:t>
      </w:r>
    </w:p>
    <w:p>
      <w:pPr>
        <w:spacing w:after="0" w:line="36" w:lineRule="exact"/>
        <w:rPr>
          <w:sz w:val="20"/>
          <w:szCs w:val="20"/>
          <w:color w:val="auto"/>
        </w:rPr>
      </w:pPr>
    </w:p>
    <w:p>
      <w:pPr>
        <w:ind w:left="1464" w:hanging="303"/>
        <w:spacing w:after="0"/>
        <w:tabs>
          <w:tab w:leader="none" w:pos="14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2,134,616 shares (represented by options to acquire 2,132,083 Class A ordinary shares exercisable within 60 days after</w:t>
            </w:r>
          </w:p>
        </w:tc>
        <w:tc>
          <w:tcPr>
            <w:tcW w:w="0" w:type="dxa"/>
            <w:vAlign w:val="bottom"/>
          </w:tcPr>
          <w:p>
            <w:pPr>
              <w:spacing w:after="0"/>
              <w:rPr>
                <w:sz w:val="1"/>
                <w:szCs w:val="1"/>
                <w:color w:val="auto"/>
              </w:rPr>
            </w:pPr>
          </w:p>
        </w:tc>
      </w:tr>
      <w:tr>
        <w:trPr>
          <w:trHeight w:val="241"/>
        </w:trPr>
        <w:tc>
          <w:tcPr>
            <w:tcW w:w="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September 30, 2024 and 2,533 Class A ordinary shares in the form of ADSs, which are directly held by Eric Ya Shen)</w:t>
            </w:r>
          </w:p>
        </w:tc>
        <w:tc>
          <w:tcPr>
            <w:tcW w:w="0" w:type="dxa"/>
            <w:vAlign w:val="bottom"/>
          </w:tcPr>
          <w:p>
            <w:pPr>
              <w:spacing w:after="0"/>
              <w:rPr>
                <w:sz w:val="1"/>
                <w:szCs w:val="1"/>
                <w:color w:val="auto"/>
              </w:rPr>
            </w:pPr>
          </w:p>
        </w:tc>
      </w:tr>
      <w:tr>
        <w:trPr>
          <w:trHeight w:val="23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20" w:type="dxa"/>
            <w:vAlign w:val="bottom"/>
          </w:tcPr>
          <w:p>
            <w:pPr>
              <w:spacing w:after="0"/>
              <w:rPr>
                <w:sz w:val="18"/>
                <w:szCs w:val="18"/>
                <w:color w:val="auto"/>
              </w:rPr>
            </w:pPr>
          </w:p>
        </w:tc>
        <w:tc>
          <w:tcPr>
            <w:tcW w:w="95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15,941,084 shares (represented by 15,560,358 Class B ordinary shares and 380,726 Class A ordinary shares in the form of</w:t>
            </w:r>
          </w:p>
        </w:tc>
        <w:tc>
          <w:tcPr>
            <w:tcW w:w="0" w:type="dxa"/>
            <w:vAlign w:val="bottom"/>
          </w:tcPr>
          <w:p>
            <w:pPr>
              <w:spacing w:after="0"/>
              <w:rPr>
                <w:sz w:val="1"/>
                <w:szCs w:val="1"/>
                <w:color w:val="auto"/>
              </w:rPr>
            </w:pPr>
          </w:p>
        </w:tc>
      </w:tr>
      <w:tr>
        <w:trPr>
          <w:trHeight w:val="203"/>
        </w:trPr>
        <w:tc>
          <w:tcPr>
            <w:tcW w:w="8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Pr>
          <w:p>
            <w:pPr>
              <w:spacing w:after="0"/>
              <w:rPr>
                <w:sz w:val="17"/>
                <w:szCs w:val="17"/>
                <w:color w:val="auto"/>
              </w:rPr>
            </w:pPr>
          </w:p>
        </w:tc>
        <w:tc>
          <w:tcPr>
            <w:tcW w:w="9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20" w:type="dxa"/>
            <w:vAlign w:val="bottom"/>
            <w:tcBorders>
              <w:bottom w:val="single" w:sz="8" w:color="auto"/>
            </w:tcBorders>
          </w:tcPr>
          <w:p>
            <w:pPr>
              <w:spacing w:after="0"/>
              <w:rPr>
                <w:sz w:val="21"/>
                <w:szCs w:val="21"/>
                <w:color w:val="auto"/>
              </w:rPr>
            </w:pPr>
          </w:p>
        </w:tc>
        <w:tc>
          <w:tcPr>
            <w:tcW w:w="9540" w:type="dxa"/>
            <w:vAlign w:val="bottom"/>
            <w:tcBorders>
              <w:bottom w:val="single" w:sz="8" w:color="auto"/>
            </w:tcBorders>
          </w:tcPr>
          <w:p>
            <w:pPr>
              <w:ind w:left="220"/>
              <w:spacing w:after="0" w:line="247" w:lineRule="exact"/>
              <w:rPr>
                <w:sz w:val="20"/>
                <w:szCs w:val="20"/>
                <w:color w:val="auto"/>
              </w:rPr>
            </w:pPr>
            <w:r>
              <w:rPr>
                <w:rFonts w:ascii="Times New Roman" w:cs="Times New Roman" w:eastAsia="Times New Roman" w:hAnsi="Times New Roman"/>
                <w:sz w:val="18"/>
                <w:szCs w:val="18"/>
                <w:color w:val="auto"/>
              </w:rPr>
              <w:t>ADSs)</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9"/>
                <w:szCs w:val="19"/>
                <w:color w:val="auto"/>
              </w:rPr>
            </w:pPr>
          </w:p>
        </w:tc>
        <w:tc>
          <w:tcPr>
            <w:tcW w:w="9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2,134,616 shares (represented by options to acquire 2,132,083 Class A ordinary shares exercisable within 60 days after</w:t>
            </w:r>
          </w:p>
        </w:tc>
        <w:tc>
          <w:tcPr>
            <w:tcW w:w="0" w:type="dxa"/>
            <w:vAlign w:val="bottom"/>
          </w:tcPr>
          <w:p>
            <w:pPr>
              <w:spacing w:after="0"/>
              <w:rPr>
                <w:sz w:val="1"/>
                <w:szCs w:val="1"/>
                <w:color w:val="auto"/>
              </w:rPr>
            </w:pPr>
          </w:p>
        </w:tc>
      </w:tr>
      <w:tr>
        <w:trPr>
          <w:trHeight w:val="277"/>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September 30, 2024 and 2,533 Class A ordinary shares in the form of ADSs, which are directly held by Eric Ya Shen)</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4" w:right="540"/>
        <w:spacing w:after="0" w:line="227" w:lineRule="auto"/>
        <w:rPr>
          <w:sz w:val="20"/>
          <w:szCs w:val="20"/>
          <w:color w:val="auto"/>
        </w:rPr>
      </w:pPr>
      <w:r>
        <w:rPr>
          <w:rFonts w:ascii="Times New Roman" w:cs="Times New Roman" w:eastAsia="Times New Roman" w:hAnsi="Times New Roman"/>
          <w:sz w:val="18"/>
          <w:szCs w:val="18"/>
          <w:color w:val="auto"/>
        </w:rPr>
        <w:t>15,941,084 shares (represented by 15,560,358 Class B ordinary shares and 380,726 Class A ordinary shares in the form of ADSs)</w:t>
      </w:r>
      <w:r>
        <w:rPr>
          <w:rFonts w:ascii="Times New Roman" w:cs="Times New Roman" w:eastAsia="Times New Roman" w:hAnsi="Times New Roman"/>
          <w:sz w:val="26"/>
          <w:szCs w:val="26"/>
          <w:color w:val="auto"/>
          <w:vertAlign w:val="superscript"/>
        </w:rPr>
        <w:t>(1)</w:t>
      </w:r>
    </w:p>
    <w:p>
      <w:pPr>
        <w:ind w:left="164"/>
        <w:spacing w:after="0"/>
        <w:tabs>
          <w:tab w:leader="none" w:pos="504" w:val="left"/>
        </w:tabs>
        <w:rPr>
          <w:sz w:val="20"/>
          <w:szCs w:val="20"/>
          <w:color w:val="auto"/>
        </w:rPr>
      </w:pPr>
      <w:r>
        <w:rPr>
          <w:rFonts w:ascii="Times New Roman" w:cs="Times New Roman" w:eastAsia="Times New Roman" w:hAnsi="Times New Roman"/>
          <w:sz w:val="18"/>
          <w:szCs w:val="18"/>
          <w:color w:val="auto"/>
        </w:rPr>
        <w:t>  9</w:t>
      </w:r>
      <w:r>
        <w:rPr>
          <w:sz w:val="20"/>
          <w:szCs w:val="20"/>
          <w:color w:val="auto"/>
        </w:rPr>
        <w:tab/>
      </w:r>
      <w:r>
        <w:rPr>
          <w:rFonts w:ascii="Times New Roman" w:cs="Times New Roman" w:eastAsia="Times New Roman" w:hAnsi="Times New Roman"/>
          <w:sz w:val="17"/>
          <w:szCs w:val="17"/>
          <w:color w:val="auto"/>
        </w:rPr>
        <w:t>  Aggregate Amount Beneficially Owned by Each Reporting Person</w:t>
      </w:r>
    </w:p>
    <w:p>
      <w:pPr>
        <w:spacing w:after="0" w:line="232" w:lineRule="exact"/>
        <w:rPr>
          <w:sz w:val="20"/>
          <w:szCs w:val="20"/>
          <w:color w:val="auto"/>
        </w:rPr>
      </w:pPr>
    </w:p>
    <w:p>
      <w:pPr>
        <w:ind w:left="524"/>
        <w:spacing w:after="0"/>
        <w:rPr>
          <w:sz w:val="20"/>
          <w:szCs w:val="20"/>
          <w:color w:val="auto"/>
        </w:rPr>
      </w:pPr>
      <w:r>
        <w:rPr>
          <w:rFonts w:ascii="Times New Roman" w:cs="Times New Roman" w:eastAsia="Times New Roman" w:hAnsi="Times New Roman"/>
          <w:sz w:val="18"/>
          <w:szCs w:val="18"/>
          <w:color w:val="auto"/>
        </w:rPr>
        <w:t>  18,075,700 shares</w:t>
      </w:r>
    </w:p>
    <w:p>
      <w:pPr>
        <w:spacing w:after="0" w:line="36" w:lineRule="exact"/>
        <w:rPr>
          <w:sz w:val="20"/>
          <w:szCs w:val="20"/>
          <w:color w:val="auto"/>
        </w:rPr>
      </w:pPr>
    </w:p>
    <w:p>
      <w:pPr>
        <w:ind w:left="524" w:hanging="367"/>
        <w:spacing w:after="0"/>
        <w:tabs>
          <w:tab w:leader="none" w:pos="5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held by Elegant Motion Holdings Limited, which is ultimately wholly owned by the SYZXC Trust. See Item 4.</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conversion of all Class B ordinary shares into Class A ordinary shares.</w:t>
      </w:r>
    </w:p>
    <w:p>
      <w:pPr>
        <w:spacing w:after="0" w:line="139"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4"/>
          </w:cols>
          <w:pgMar w:left="436" w:top="266"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G93629 106</w:t>
      </w:r>
    </w:p>
    <w:p>
      <w:pPr>
        <w:spacing w:after="0" w:line="270" w:lineRule="exact"/>
        <w:rPr>
          <w:sz w:val="20"/>
          <w:szCs w:val="20"/>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Xiaochun Zhang</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494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6580" cy="5494655"/>
                    </a:xfrm>
                    <a:prstGeom prst="rect">
                      <a:avLst/>
                    </a:prstGeom>
                    <a:noFill/>
                  </pic:spPr>
                </pic:pic>
              </a:graphicData>
            </a:graphic>
          </wp:anchor>
        </w:drawing>
      </w:r>
    </w:p>
    <w:p>
      <w:pPr>
        <w:spacing w:after="0" w:line="203"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96" w:lineRule="exact"/>
        <w:rPr>
          <w:sz w:val="20"/>
          <w:szCs w:val="20"/>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71"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4"/>
        <w:spacing w:after="0"/>
        <w:rPr>
          <w:sz w:val="20"/>
          <w:szCs w:val="20"/>
          <w:color w:val="auto"/>
        </w:rPr>
      </w:pPr>
      <w:r>
        <w:rPr>
          <w:rFonts w:ascii="Times New Roman" w:cs="Times New Roman" w:eastAsia="Times New Roman" w:hAnsi="Times New Roman"/>
          <w:sz w:val="18"/>
          <w:szCs w:val="18"/>
          <w:color w:val="auto"/>
        </w:rPr>
        <w:t>  People’s Republic of China</w:t>
      </w:r>
    </w:p>
    <w:p>
      <w:pPr>
        <w:spacing w:after="0" w:line="36" w:lineRule="exact"/>
        <w:rPr>
          <w:sz w:val="20"/>
          <w:szCs w:val="20"/>
          <w:color w:val="auto"/>
        </w:rPr>
      </w:pPr>
    </w:p>
    <w:p>
      <w:pPr>
        <w:ind w:left="1464" w:hanging="303"/>
        <w:spacing w:after="0"/>
        <w:tabs>
          <w:tab w:leader="none" w:pos="14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1"/>
        </w:trPr>
        <w:tc>
          <w:tcPr>
            <w:tcW w:w="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20" w:type="dxa"/>
            <w:vAlign w:val="bottom"/>
          </w:tcPr>
          <w:p>
            <w:pPr>
              <w:spacing w:after="0"/>
              <w:rPr>
                <w:sz w:val="18"/>
                <w:szCs w:val="18"/>
                <w:color w:val="auto"/>
              </w:rPr>
            </w:pPr>
          </w:p>
        </w:tc>
        <w:tc>
          <w:tcPr>
            <w:tcW w:w="95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15,941,084 shares (represented by 15,560,358 Class B ordinary shares and 380,726 Class A ordinary shares in the form of</w:t>
            </w:r>
          </w:p>
        </w:tc>
        <w:tc>
          <w:tcPr>
            <w:tcW w:w="0" w:type="dxa"/>
            <w:vAlign w:val="bottom"/>
          </w:tcPr>
          <w:p>
            <w:pPr>
              <w:spacing w:after="0"/>
              <w:rPr>
                <w:sz w:val="1"/>
                <w:szCs w:val="1"/>
                <w:color w:val="auto"/>
              </w:rPr>
            </w:pPr>
          </w:p>
        </w:tc>
      </w:tr>
      <w:tr>
        <w:trPr>
          <w:trHeight w:val="203"/>
        </w:trPr>
        <w:tc>
          <w:tcPr>
            <w:tcW w:w="8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Pr>
          <w:p>
            <w:pPr>
              <w:spacing w:after="0"/>
              <w:rPr>
                <w:sz w:val="17"/>
                <w:szCs w:val="17"/>
                <w:color w:val="auto"/>
              </w:rPr>
            </w:pPr>
          </w:p>
        </w:tc>
        <w:tc>
          <w:tcPr>
            <w:tcW w:w="9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20" w:type="dxa"/>
            <w:vAlign w:val="bottom"/>
            <w:tcBorders>
              <w:bottom w:val="single" w:sz="8" w:color="auto"/>
            </w:tcBorders>
          </w:tcPr>
          <w:p>
            <w:pPr>
              <w:spacing w:after="0"/>
              <w:rPr>
                <w:sz w:val="21"/>
                <w:szCs w:val="21"/>
                <w:color w:val="auto"/>
              </w:rPr>
            </w:pPr>
          </w:p>
        </w:tc>
        <w:tc>
          <w:tcPr>
            <w:tcW w:w="9540" w:type="dxa"/>
            <w:vAlign w:val="bottom"/>
            <w:tcBorders>
              <w:bottom w:val="single" w:sz="8" w:color="auto"/>
            </w:tcBorders>
          </w:tcPr>
          <w:p>
            <w:pPr>
              <w:ind w:left="220"/>
              <w:spacing w:after="0" w:line="247" w:lineRule="exact"/>
              <w:rPr>
                <w:sz w:val="20"/>
                <w:szCs w:val="20"/>
                <w:color w:val="auto"/>
              </w:rPr>
            </w:pPr>
            <w:r>
              <w:rPr>
                <w:rFonts w:ascii="Times New Roman" w:cs="Times New Roman" w:eastAsia="Times New Roman" w:hAnsi="Times New Roman"/>
                <w:sz w:val="18"/>
                <w:szCs w:val="18"/>
                <w:color w:val="auto"/>
              </w:rPr>
              <w:t>ADSs)</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9"/>
                <w:szCs w:val="19"/>
                <w:color w:val="auto"/>
              </w:rPr>
            </w:pPr>
          </w:p>
        </w:tc>
        <w:tc>
          <w:tcPr>
            <w:tcW w:w="9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5"/>
                <w:szCs w:val="5"/>
                <w:color w:val="auto"/>
              </w:rPr>
            </w:pPr>
          </w:p>
        </w:tc>
        <w:tc>
          <w:tcPr>
            <w:tcW w:w="9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4" w:right="540"/>
        <w:spacing w:after="0" w:line="227" w:lineRule="auto"/>
        <w:rPr>
          <w:sz w:val="20"/>
          <w:szCs w:val="20"/>
          <w:color w:val="auto"/>
        </w:rPr>
      </w:pPr>
      <w:r>
        <w:rPr>
          <w:rFonts w:ascii="Times New Roman" w:cs="Times New Roman" w:eastAsia="Times New Roman" w:hAnsi="Times New Roman"/>
          <w:sz w:val="18"/>
          <w:szCs w:val="18"/>
          <w:color w:val="auto"/>
        </w:rPr>
        <w:t>15,941,084 shares (represented by 15,560,358 Class B ordinary shares and 380,726 Class A ordinary shares in the form of ADSs)</w:t>
      </w:r>
      <w:r>
        <w:rPr>
          <w:rFonts w:ascii="Times New Roman" w:cs="Times New Roman" w:eastAsia="Times New Roman" w:hAnsi="Times New Roman"/>
          <w:sz w:val="26"/>
          <w:szCs w:val="26"/>
          <w:color w:val="auto"/>
          <w:vertAlign w:val="superscript"/>
        </w:rPr>
        <w:t>(1)</w:t>
      </w:r>
    </w:p>
    <w:p>
      <w:pPr>
        <w:ind w:left="164"/>
        <w:spacing w:after="0"/>
        <w:tabs>
          <w:tab w:leader="none" w:pos="504" w:val="left"/>
        </w:tabs>
        <w:rPr>
          <w:sz w:val="20"/>
          <w:szCs w:val="20"/>
          <w:color w:val="auto"/>
        </w:rPr>
      </w:pPr>
      <w:r>
        <w:rPr>
          <w:rFonts w:ascii="Times New Roman" w:cs="Times New Roman" w:eastAsia="Times New Roman" w:hAnsi="Times New Roman"/>
          <w:sz w:val="18"/>
          <w:szCs w:val="18"/>
          <w:color w:val="auto"/>
        </w:rPr>
        <w:t>  9</w:t>
      </w:r>
      <w:r>
        <w:rPr>
          <w:sz w:val="20"/>
          <w:szCs w:val="20"/>
          <w:color w:val="auto"/>
        </w:rPr>
        <w:tab/>
      </w:r>
      <w:r>
        <w:rPr>
          <w:rFonts w:ascii="Times New Roman" w:cs="Times New Roman" w:eastAsia="Times New Roman" w:hAnsi="Times New Roman"/>
          <w:sz w:val="17"/>
          <w:szCs w:val="17"/>
          <w:color w:val="auto"/>
        </w:rPr>
        <w:t>  Aggregate Amount Beneficially Owned by Each Reporting Person</w:t>
      </w:r>
    </w:p>
    <w:p>
      <w:pPr>
        <w:spacing w:after="0" w:line="232" w:lineRule="exact"/>
        <w:rPr>
          <w:sz w:val="20"/>
          <w:szCs w:val="20"/>
          <w:color w:val="auto"/>
        </w:rPr>
      </w:pPr>
    </w:p>
    <w:p>
      <w:pPr>
        <w:ind w:left="524"/>
        <w:spacing w:after="0"/>
        <w:rPr>
          <w:sz w:val="20"/>
          <w:szCs w:val="20"/>
          <w:color w:val="auto"/>
        </w:rPr>
      </w:pPr>
      <w:r>
        <w:rPr>
          <w:rFonts w:ascii="Times New Roman" w:cs="Times New Roman" w:eastAsia="Times New Roman" w:hAnsi="Times New Roman"/>
          <w:sz w:val="18"/>
          <w:szCs w:val="18"/>
          <w:color w:val="auto"/>
        </w:rPr>
        <w:t>  15,941,084 shares</w:t>
      </w:r>
    </w:p>
    <w:p>
      <w:pPr>
        <w:spacing w:after="0" w:line="36" w:lineRule="exact"/>
        <w:rPr>
          <w:sz w:val="20"/>
          <w:szCs w:val="20"/>
          <w:color w:val="auto"/>
        </w:rPr>
      </w:pPr>
    </w:p>
    <w:p>
      <w:pPr>
        <w:ind w:left="524" w:hanging="367"/>
        <w:spacing w:after="0"/>
        <w:tabs>
          <w:tab w:leader="none" w:pos="5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196"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held by Elegant Motion Holdings Limited, which is ultimately wholly owned by the SYZXC Trust. See Item 4.</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conversion of all Class B ordinary shares into Class A ordinary shares.</w:t>
      </w:r>
    </w:p>
    <w:p>
      <w:pPr>
        <w:spacing w:after="0" w:line="139"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4"/>
          </w:cols>
          <w:pgMar w:left="436" w:top="266" w:right="559" w:bottom="1440" w:gutter="0" w:footer="0" w:header="0"/>
        </w:sectPr>
      </w:pPr>
    </w:p>
    <w:bookmarkStart w:id="4" w:name="page5"/>
    <w:bookmarkEnd w:id="4"/>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3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Vipshop Holdings Limited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17145</wp:posOffset>
            </wp:positionV>
            <wp:extent cx="63607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33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13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Vipshop Headquarters, 128 Dingxin Road</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Haizhu District, Guangzhou 510220</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5715</wp:posOffset>
            </wp:positionV>
            <wp:extent cx="63607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60795" cy="8890"/>
                    </a:xfrm>
                    <a:prstGeom prst="rect">
                      <a:avLst/>
                    </a:prstGeom>
                    <a:noFill/>
                  </pic:spPr>
                </pic:pic>
              </a:graphicData>
            </a:graphic>
          </wp:anchor>
        </w:drawing>
      </w:r>
    </w:p>
    <w:p>
      <w:pPr>
        <w:spacing w:after="0" w:line="3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color w:val="auto"/>
        </w:rPr>
        <w:t>Name of Person Filing:</w:t>
      </w:r>
    </w:p>
    <w:p>
      <w:pPr>
        <w:spacing w:after="0" w:line="13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Elegant Motion Holdings Limited</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Eric Ya Shen</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Xiaochun Zhang</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(collectively,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5715</wp:posOffset>
            </wp:positionV>
            <wp:extent cx="63607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3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13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For Elegant Motion Holdings Limited:</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Trident Chambers, Wickhams Cay, PO Box 146</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Road Town, Tortola, British Virgin Islands</w:t>
      </w:r>
    </w:p>
    <w:p>
      <w:pPr>
        <w:spacing w:after="0" w:line="1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For Eric Ya Shen and Xiaochun Zhang:</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Vipshop Headquarters, 128 Dingxin Road</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Haizhu District, Guangzhou 510220</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5715</wp:posOffset>
            </wp:positionV>
            <wp:extent cx="63607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60795" cy="8890"/>
                    </a:xfrm>
                    <a:prstGeom prst="rect">
                      <a:avLst/>
                    </a:prstGeom>
                    <a:noFill/>
                  </pic:spPr>
                </pic:pic>
              </a:graphicData>
            </a:graphic>
          </wp:anchor>
        </w:drawing>
      </w:r>
    </w:p>
    <w:p>
      <w:pPr>
        <w:spacing w:after="0" w:line="3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13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Elegant Motion Holdings Limited – British Virgin Islands</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Eric Ya Shen and Xiaochun Zhang – People’s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5715</wp:posOffset>
            </wp:positionV>
            <wp:extent cx="63607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3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13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Class A ordinary shares, par value US$0.0001 per share, of the Issuer</w:t>
      </w:r>
    </w:p>
    <w:p>
      <w:pPr>
        <w:spacing w:after="0" w:line="131" w:lineRule="exact"/>
        <w:rPr>
          <w:sz w:val="20"/>
          <w:szCs w:val="20"/>
          <w:color w:val="auto"/>
        </w:rPr>
      </w:pPr>
    </w:p>
    <w:p>
      <w:pPr>
        <w:ind w:left="1000"/>
        <w:spacing w:after="0" w:line="277" w:lineRule="auto"/>
        <w:rPr>
          <w:sz w:val="20"/>
          <w:szCs w:val="20"/>
          <w:color w:val="auto"/>
        </w:rPr>
      </w:pPr>
      <w:r>
        <w:rPr>
          <w:rFonts w:ascii="Times New Roman" w:cs="Times New Roman" w:eastAsia="Times New Roman" w:hAnsi="Times New Roman"/>
          <w:sz w:val="17"/>
          <w:szCs w:val="17"/>
          <w:color w:val="auto"/>
        </w:rPr>
        <w:t xml:space="preserve">The Issuer’s ordinary shares consist of Class A ordinary shares and Class B ordinary shares, each with par value of US$0.0001 per share. The rights of the holders of Class A ordinary shares and Class B ordinary shares are identical, except with respect to conversion rights and voting rights. Each Class B ordinary share is convertible at the option of the holder at any time into one Class A ordinary share. Class A ordinary shares are not convertible into Class B ordinary shares under any circumstance. Each holder of Class A ordinary shares is entitled </w:t>
      </w:r>
      <w:r>
        <w:rPr>
          <w:rFonts w:ascii="Times New Roman" w:cs="Times New Roman" w:eastAsia="Times New Roman" w:hAnsi="Times New Roman"/>
          <w:sz w:val="17"/>
          <w:szCs w:val="17"/>
          <w:u w:val="single" w:color="auto"/>
          <w:color w:val="auto"/>
        </w:rPr>
        <w:t>to one vote per share and each holder of Class B ordinary shares is entitled to ten votes per share on all matters submitted to them for vote.</w:t>
      </w:r>
    </w:p>
    <w:p>
      <w:pPr>
        <w:spacing w:after="0" w:line="29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13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G93629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17145</wp:posOffset>
            </wp:positionV>
            <wp:extent cx="63607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66" w:right="499" w:bottom="1440" w:gutter="0" w:footer="0" w:header="0"/>
        </w:sectPr>
      </w:pPr>
    </w:p>
    <w:bookmarkStart w:id="5" w:name="page6"/>
    <w:bookmarkEnd w:id="5"/>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 240.13d-1(b), or 240.13d-2(b) or (c), check whether the persons filing is a:</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left="1000" w:right="120"/>
        <w:spacing w:after="0" w:line="282" w:lineRule="auto"/>
        <w:rPr>
          <w:sz w:val="20"/>
          <w:szCs w:val="20"/>
          <w:color w:val="auto"/>
        </w:rPr>
      </w:pPr>
      <w:r>
        <w:rPr>
          <w:rFonts w:ascii="Times New Roman" w:cs="Times New Roman" w:eastAsia="Times New Roman" w:hAnsi="Times New Roman"/>
          <w:sz w:val="18"/>
          <w:szCs w:val="18"/>
          <w:color w:val="auto"/>
        </w:rPr>
        <w:t>The following information with respect to the ownership of the ordinary shares of the Issuer by each of the Reporting Persons is provided as of September 30,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Shared</w:t>
            </w: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Sole power</w:t>
            </w:r>
          </w:p>
        </w:tc>
        <w:tc>
          <w:tcPr>
            <w:tcW w:w="92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Shared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Sole power</w:t>
            </w:r>
          </w:p>
        </w:tc>
        <w:tc>
          <w:tcPr>
            <w:tcW w:w="11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power to</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power to</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 dispose or</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dispose or to</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0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 vote or</w:t>
            </w: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vote or to</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to direct the</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 the</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Reporting Person</w:t>
            </w:r>
          </w:p>
        </w:tc>
        <w:tc>
          <w:tcPr>
            <w:tcW w:w="2560" w:type="dxa"/>
            <w:vAlign w:val="bottom"/>
            <w:vMerge w:val="restart"/>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direct the</w:t>
            </w: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direct the</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0" w:type="dxa"/>
            <w:vAlign w:val="bottom"/>
          </w:tcPr>
          <w:p>
            <w:pPr>
              <w:spacing w:after="0"/>
              <w:rPr>
                <w:sz w:val="1"/>
                <w:szCs w:val="1"/>
                <w:color w:val="auto"/>
              </w:rPr>
            </w:pPr>
          </w:p>
        </w:tc>
      </w:tr>
      <w:tr>
        <w:trPr>
          <w:trHeight w:val="165"/>
        </w:trPr>
        <w:tc>
          <w:tcPr>
            <w:tcW w:w="1080" w:type="dxa"/>
            <w:vAlign w:val="bottom"/>
            <w:tcBorders>
              <w:bottom w:val="single" w:sz="8" w:color="auto"/>
            </w:tcBorders>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11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020" w:type="dxa"/>
            <w:vAlign w:val="bottom"/>
            <w:gridSpan w:val="2"/>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class:</w:t>
            </w:r>
          </w:p>
        </w:tc>
        <w:tc>
          <w:tcPr>
            <w:tcW w:w="102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power</w:t>
            </w:r>
          </w:p>
        </w:tc>
        <w:tc>
          <w:tcPr>
            <w:tcW w:w="11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vote:</w:t>
            </w:r>
          </w:p>
        </w:tc>
        <w:tc>
          <w:tcPr>
            <w:tcW w:w="11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vote:</w:t>
            </w:r>
          </w:p>
        </w:tc>
        <w:tc>
          <w:tcPr>
            <w:tcW w:w="11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7"/>
              </w:rPr>
              <w:t>of:</w:t>
            </w:r>
          </w:p>
        </w:tc>
        <w:tc>
          <w:tcPr>
            <w:tcW w:w="920" w:type="dxa"/>
            <w:vAlign w:val="bottom"/>
          </w:tcPr>
          <w:p>
            <w:pPr>
              <w:jc w:val="center"/>
              <w:ind w:right="2"/>
              <w:spacing w:after="0" w:line="160" w:lineRule="exact"/>
              <w:rPr>
                <w:sz w:val="20"/>
                <w:szCs w:val="20"/>
                <w:color w:val="auto"/>
              </w:rPr>
            </w:pPr>
            <w:r>
              <w:rPr>
                <w:rFonts w:ascii="Times New Roman" w:cs="Times New Roman" w:eastAsia="Times New Roman" w:hAnsi="Times New Roman"/>
                <w:sz w:val="14"/>
                <w:szCs w:val="14"/>
                <w:b w:val="1"/>
                <w:bCs w:val="1"/>
                <w:color w:val="auto"/>
                <w:w w:val="97"/>
              </w:rPr>
              <w:t>of:</w:t>
            </w:r>
          </w:p>
        </w:tc>
        <w:tc>
          <w:tcPr>
            <w:tcW w:w="0" w:type="dxa"/>
            <w:vAlign w:val="bottom"/>
          </w:tcPr>
          <w:p>
            <w:pPr>
              <w:spacing w:after="0"/>
              <w:rPr>
                <w:sz w:val="1"/>
                <w:szCs w:val="1"/>
                <w:color w:val="auto"/>
              </w:rPr>
            </w:pPr>
          </w:p>
        </w:tc>
      </w:tr>
      <w:tr>
        <w:trPr>
          <w:trHeight w:val="20"/>
        </w:trPr>
        <w:tc>
          <w:tcPr>
            <w:tcW w:w="36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Elegant Motion Holdings Limited</w:t>
            </w: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gridSpan w:val="2"/>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15,941,084</w:t>
            </w:r>
          </w:p>
        </w:tc>
        <w:tc>
          <w:tcPr>
            <w:tcW w:w="24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15.5%</w:t>
            </w:r>
          </w:p>
        </w:tc>
        <w:tc>
          <w:tcPr>
            <w:tcW w:w="1020" w:type="dxa"/>
            <w:vAlign w:val="bottom"/>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64.3%</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15,941,084</w:t>
            </w:r>
          </w:p>
        </w:tc>
        <w:tc>
          <w:tcPr>
            <w:tcW w:w="24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4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15,941,084</w:t>
            </w:r>
          </w:p>
        </w:tc>
        <w:tc>
          <w:tcPr>
            <w:tcW w:w="240" w:type="dxa"/>
            <w:vAlign w:val="bottom"/>
            <w:vMerge w:val="continue"/>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Ya Shen</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18,075,700</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64.6%</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2,134,616</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15,941,084</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2,134,616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15,941,084</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Xiaochun Zhang</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15,941,084</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64.3%</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15,941,084</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15,941,084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spacing w:after="0" w:line="254" w:lineRule="auto"/>
        <w:rPr>
          <w:sz w:val="20"/>
          <w:szCs w:val="20"/>
          <w:color w:val="auto"/>
        </w:rPr>
      </w:pPr>
      <w:r>
        <w:rPr>
          <w:rFonts w:ascii="Times New Roman" w:cs="Times New Roman" w:eastAsia="Times New Roman" w:hAnsi="Times New Roman"/>
          <w:sz w:val="18"/>
          <w:szCs w:val="18"/>
          <w:color w:val="auto"/>
        </w:rPr>
        <w:t>Pursuant to Rule 13d-3(d)(1), all Class B ordinary shares (which are convertible into Class A ordinary shares) were deemed to be converted for the purpose of (i) determining the aggregate amount of Class A ordinary shares beneficially owned by the Reporting Persons and (ii) calculating the percentages of the Class A ordinary shares beneficially owned by the Reporting Persons. The percentage of the class of securities beneficially owned by each Reporting Person is calculated based on a total of 102,665,538 issued and outstanding ordinary shares (consisting of 87,105,180 Class A ordinary shares and 15,560,358 Class B ordinary shares) of the Issuer as of September 30, 2024 as a single class. In computing the percentage ownership of the Reporting Persons, the Reporting Persons have included, where applicable, shares that the reporting persons have the right to acquire within 60 days, including through the exercise of any option, warrant, or other right or the conversion of any other security, after September 30, 2024.</w:t>
      </w:r>
    </w:p>
    <w:p>
      <w:pPr>
        <w:spacing w:after="0" w:line="84" w:lineRule="exact"/>
        <w:rPr>
          <w:sz w:val="20"/>
          <w:szCs w:val="20"/>
          <w:color w:val="auto"/>
        </w:rPr>
      </w:pPr>
    </w:p>
    <w:p>
      <w:pPr>
        <w:ind w:left="980" w:right="80"/>
        <w:spacing w:after="0" w:line="272" w:lineRule="auto"/>
        <w:rPr>
          <w:sz w:val="20"/>
          <w:szCs w:val="20"/>
          <w:color w:val="auto"/>
        </w:rPr>
      </w:pPr>
      <w:r>
        <w:rPr>
          <w:rFonts w:ascii="Times New Roman" w:cs="Times New Roman" w:eastAsia="Times New Roman" w:hAnsi="Times New Roman"/>
          <w:sz w:val="17"/>
          <w:szCs w:val="17"/>
          <w:color w:val="auto"/>
        </w:rPr>
        <w:t>As of September 30, 2024, 15,560,358 Class B ordinary shares of the Issuer and 380,726 Class A ordinary shares in the form of ADSs of the Issuer were held by Elegant Motion Holdings Limited, a British Virgin Islands company. Elegant Motion Holdings Limited is ultimately wholly owned by the SYZXC Trust. Under the terms of the SYZXC Trust, Eric Ya Shen and his wife Xiaochun Zhang have the power to direct the trustee with respect to the retention or disposal of the ordinary shares of the Issuer held by Elegant Motion Holdings Limited and the exercise of any voting and other rights attached thereto. Other than the trustee, no other person has the power to direct the receipt of dividends from, or proceeds from the sale of the ordinary shares of the Issuer held by Elegant Motion Holdings Limited. Pursuant to Section 13(d) of the Securities Exchange Act of 1934, as amended, and the rules promulgated thereunder, Eric Ya Shen and Xiaochun Zhang may be deemed to beneficially own all the ordinary shares of the Issuer held by Elegant Motion Holdings Limited.</w:t>
      </w:r>
    </w:p>
    <w:p>
      <w:pPr>
        <w:spacing w:after="0" w:line="31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-409575</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520" w:space="480"/>
            <w:col w:w="9340"/>
          </w:cols>
          <w:pgMar w:left="440" w:top="590" w:right="1119" w:bottom="1440" w:gutter="0" w:footer="0" w:header="0"/>
        </w:sectPr>
      </w:pPr>
    </w:p>
    <w:p>
      <w:pPr>
        <w:ind w:left="100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340"/>
          </w:cols>
          <w:pgMar w:left="440" w:top="590" w:right="111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ectPr>
          <w:pgSz w:w="11900" w:h="16838" w:orient="portrait"/>
          <w:cols w:equalWidth="0" w:num="2">
            <w:col w:w="520" w:space="480"/>
            <w:col w:w="9340"/>
          </w:cols>
          <w:pgMar w:left="440" w:top="590" w:right="111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340"/>
          </w:cols>
          <w:pgMar w:left="440" w:top="590" w:right="111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3" w:lineRule="exact"/>
        <w:rPr>
          <w:sz w:val="20"/>
          <w:szCs w:val="20"/>
          <w:color w:val="auto"/>
        </w:rPr>
      </w:pPr>
    </w:p>
    <w:p>
      <w:pPr>
        <w:sectPr>
          <w:pgSz w:w="11900" w:h="16838" w:orient="portrait"/>
          <w:cols w:equalWidth="0" w:num="2">
            <w:col w:w="520" w:space="480"/>
            <w:col w:w="9340"/>
          </w:cols>
          <w:pgMar w:left="440" w:top="590" w:right="111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340"/>
          </w:cols>
          <w:pgMar w:left="440" w:top="590" w:right="111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133" w:lineRule="exact"/>
        <w:rPr>
          <w:sz w:val="20"/>
          <w:szCs w:val="20"/>
          <w:color w:val="auto"/>
        </w:rPr>
      </w:pPr>
    </w:p>
    <w:p>
      <w:pPr>
        <w:sectPr>
          <w:pgSz w:w="11900" w:h="16838" w:orient="portrait"/>
          <w:cols w:equalWidth="0" w:num="2">
            <w:col w:w="520" w:space="480"/>
            <w:col w:w="9340"/>
          </w:cols>
          <w:pgMar w:left="440" w:top="590" w:right="111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340"/>
          </w:cols>
          <w:pgMar w:left="440" w:top="590" w:right="111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133" w:lineRule="exact"/>
        <w:rPr>
          <w:sz w:val="20"/>
          <w:szCs w:val="20"/>
          <w:color w:val="auto"/>
        </w:rPr>
      </w:pPr>
    </w:p>
    <w:p>
      <w:pPr>
        <w:sectPr>
          <w:pgSz w:w="11900" w:h="16838" w:orient="portrait"/>
          <w:cols w:equalWidth="0" w:num="2">
            <w:col w:w="620" w:space="380"/>
            <w:col w:w="9340"/>
          </w:cols>
          <w:pgMar w:left="440" w:top="590" w:right="111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340"/>
          </w:cols>
          <w:pgMar w:left="440" w:top="590" w:right="111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380" w:type="dxa"/>
            <w:vAlign w:val="bottom"/>
            <w:gridSpan w:val="3"/>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9"/>
              </w:rPr>
              <w:t>LIST OF EXHIBITS</w:t>
            </w:r>
          </w:p>
        </w:tc>
      </w:tr>
      <w:tr>
        <w:trPr>
          <w:trHeight w:val="398"/>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20" w:type="dxa"/>
            <w:vAlign w:val="bottom"/>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920" w:type="dxa"/>
            <w:vAlign w:val="bottom"/>
          </w:tcPr>
          <w:p>
            <w:pPr>
              <w:spacing w:after="0"/>
              <w:rPr>
                <w:sz w:val="23"/>
                <w:szCs w:val="23"/>
                <w:color w:val="auto"/>
              </w:rPr>
            </w:pPr>
          </w:p>
        </w:tc>
        <w:tc>
          <w:tcPr>
            <w:tcW w:w="9380" w:type="dxa"/>
            <w:vAlign w:val="bottom"/>
            <w:gridSpan w:val="3"/>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Joint Filing Agreement (incorporated by reference to Exhibit A to Schedule 13G/A filed on February 11, 2015 by the reporting</w:t>
              </w:r>
            </w:hyperlink>
          </w:p>
        </w:tc>
      </w:tr>
      <w:tr>
        <w:trPr>
          <w:trHeight w:val="196"/>
        </w:trPr>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persons with the Securities and Exchange Commission)</w:t>
              </w:r>
            </w:hyperlink>
          </w:p>
        </w:tc>
        <w:tc>
          <w:tcPr>
            <w:tcW w:w="516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r>
      <w:tr>
        <w:trPr>
          <w:trHeight w:val="385"/>
        </w:trPr>
        <w:tc>
          <w:tcPr>
            <w:tcW w:w="720" w:type="dxa"/>
            <w:vAlign w:val="bottom"/>
          </w:tcPr>
          <w:p>
            <w:pPr>
              <w:spacing w:after="0"/>
              <w:rPr>
                <w:sz w:val="24"/>
                <w:szCs w:val="24"/>
                <w:color w:val="auto"/>
              </w:rPr>
            </w:pPr>
          </w:p>
        </w:tc>
        <w:tc>
          <w:tcPr>
            <w:tcW w:w="4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15,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Elegant Motion Holdings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Authorized Signatories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Stepway Limited</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Eric Ya Shen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Eric Ya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Xiaochun Zhang</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Xiaochun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
      <w:numFmt w:val="bullet"/>
      <w:start w:val="1"/>
    </w:lvl>
    <w:lvl w:ilvl="1">
      <w:lvlJc w:val="left"/>
      <w:lvlText w:val=" "/>
      <w:numFmt w:val="bullet"/>
      <w:start w:val="1"/>
    </w:lvl>
  </w:abstractNum>
  <w:abstractNum w:abstractNumId="3">
    <w:nsid w:val="1F16E9E8"/>
    <w:multiLevelType w:val="hybridMultilevel"/>
    <w:lvl w:ilvl="0">
      <w:lvlJc w:val="left"/>
      <w:lvlText w:val=" "/>
      <w:numFmt w:val="bullet"/>
      <w:start w:val="1"/>
    </w:lvl>
  </w:abstractNum>
  <w:abstractNum w:abstractNumId="4">
    <w:nsid w:val="1190CDE7"/>
    <w:multiLevelType w:val="hybridMultilevel"/>
    <w:lvl w:ilvl="0">
      <w:lvlJc w:val="left"/>
      <w:lvlText w:val="5"/>
      <w:numFmt w:val="bullet"/>
      <w:start w:val="1"/>
    </w:lvl>
  </w:abstractNum>
  <w:abstractNum w:abstractNumId="5">
    <w:nsid w:val="66EF438D"/>
    <w:multiLevelType w:val="hybridMultilevel"/>
    <w:lvl w:ilvl="0">
      <w:lvlJc w:val="left"/>
      <w:lvlText w:val=" "/>
      <w:numFmt w:val="bullet"/>
      <w:start w:val="1"/>
    </w:lvl>
    <w:lvl w:ilvl="1">
      <w:lvlJc w:val="left"/>
      <w:lvlText w:val=" "/>
      <w:numFmt w:val="bullet"/>
      <w:start w:val="1"/>
    </w:lvl>
    <w:lvl w:ilvl="2">
      <w:lvlJc w:val="left"/>
      <w:lvlText w:val="8"/>
      <w:numFmt w:val="bullet"/>
      <w:start w:val="1"/>
    </w:lvl>
  </w:abstractNum>
  <w:abstractNum w:abstractNumId="6">
    <w:nsid w:val="140E0F76"/>
    <w:multiLevelType w:val="hybridMultilevel"/>
    <w:lvl w:ilvl="0">
      <w:lvlJc w:val="left"/>
      <w:lvlText w:val="%1"/>
      <w:numFmt w:val="decimal"/>
      <w:start w:val="10"/>
    </w:lvl>
    <w:lvl w:ilvl="1">
      <w:lvlJc w:val="left"/>
      <w:lvlText w:val=" "/>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
      <w:numFmt w:val="bullet"/>
      <w:start w:val="1"/>
    </w:lvl>
    <w:lvl w:ilvl="1">
      <w:lvlJc w:val="left"/>
      <w:lvlText w:val=" "/>
      <w:numFmt w:val="bullet"/>
      <w:start w:val="1"/>
    </w:lvl>
  </w:abstractNum>
  <w:abstractNum w:abstractNumId="9">
    <w:nsid w:val="DED7263"/>
    <w:multiLevelType w:val="hybridMultilevel"/>
    <w:lvl w:ilvl="0">
      <w:lvlJc w:val="left"/>
      <w:lvlText w:val=" "/>
      <w:numFmt w:val="bullet"/>
      <w:start w:val="1"/>
    </w:lvl>
  </w:abstractNum>
  <w:abstractNum w:abstractNumId="10">
    <w:nsid w:val="7FDCC233"/>
    <w:multiLevelType w:val="hybridMultilevel"/>
    <w:lvl w:ilvl="0">
      <w:lvlJc w:val="left"/>
      <w:lvlText w:val="5"/>
      <w:numFmt w:val="bullet"/>
      <w:start w:val="1"/>
    </w:lvl>
  </w:abstractNum>
  <w:abstractNum w:abstractNumId="11">
    <w:nsid w:val="1BEFD79F"/>
    <w:multiLevelType w:val="hybridMultilevel"/>
    <w:lvl w:ilvl="0">
      <w:lvlJc w:val="left"/>
      <w:lvlText w:val="%1"/>
      <w:numFmt w:val="decimal"/>
      <w:start w:val="10"/>
    </w:lvl>
    <w:lvl w:ilvl="1">
      <w:lvlJc w:val="left"/>
      <w:lvlText w:val=" "/>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
      <w:numFmt w:val="bullet"/>
      <w:start w:val="1"/>
    </w:lvl>
    <w:lvl w:ilvl="1">
      <w:lvlJc w:val="left"/>
      <w:lvlText w:val=" "/>
      <w:numFmt w:val="bullet"/>
      <w:start w:val="1"/>
    </w:lvl>
  </w:abstractNum>
  <w:abstractNum w:abstractNumId="14">
    <w:nsid w:val="4E6AFB66"/>
    <w:multiLevelType w:val="hybridMultilevel"/>
    <w:lvl w:ilvl="0">
      <w:lvlJc w:val="left"/>
      <w:lvlText w:val=" "/>
      <w:numFmt w:val="bullet"/>
      <w:start w:val="1"/>
    </w:lvl>
  </w:abstractNum>
  <w:abstractNum w:abstractNumId="15">
    <w:nsid w:val="25E45D32"/>
    <w:multiLevelType w:val="hybridMultilevel"/>
    <w:lvl w:ilvl="0">
      <w:lvlJc w:val="left"/>
      <w:lvlText w:val="5"/>
      <w:numFmt w:val="bullet"/>
      <w:start w:val="1"/>
    </w:lvl>
  </w:abstractNum>
  <w:abstractNum w:abstractNumId="16">
    <w:nsid w:val="519B500D"/>
    <w:multiLevelType w:val="hybridMultilevel"/>
    <w:lvl w:ilvl="0">
      <w:lvlJc w:val="left"/>
      <w:lvlText w:val="%1"/>
      <w:numFmt w:val="decimal"/>
      <w:start w:val="10"/>
    </w:lvl>
    <w:lvl w:ilvl="1">
      <w:lvlJc w:val="left"/>
      <w:lvlText w:val=" "/>
      <w:numFmt w:val="bullet"/>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34" Type="http://schemas.openxmlformats.org/officeDocument/2006/relationships/hyperlink" Target="http://www.sec.gov/Archives/edgar/data/1529192/000110465915008504/a15-4286_1ex99d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2024-11-15T05:51:42Z</dcterms:created>
  <dcterms:modified xsi:type="dcterms:W3CDTF">2024-11-15T05:51:42Z</dcterms:modified>
</cp:coreProperties>
</file>