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Hong Arthur Xiaobo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128 DINGXIN ROAD, HAIZHU DISTRICT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60" w:val="left"/>
        </w:tabs>
        <w:rPr>
          <w:sz w:val="20"/>
          <w:szCs w:val="20"/>
          <w:color w:val="auto"/>
        </w:rPr>
      </w:pPr>
      <w:r>
        <w:rPr>
          <w:rFonts w:ascii="Times New Roman" w:cs="Times New Roman" w:eastAsia="Times New Roman" w:hAnsi="Times New Roman"/>
          <w:sz w:val="18"/>
          <w:szCs w:val="18"/>
          <w:color w:val="0000FF"/>
        </w:rPr>
        <w:t>GUANGZHOU</w:t>
      </w:r>
      <w:r>
        <w:rPr>
          <w:sz w:val="20"/>
          <w:szCs w:val="20"/>
          <w:color w:val="auto"/>
        </w:rPr>
        <w:tab/>
      </w:r>
      <w:r>
        <w:rPr>
          <w:rFonts w:ascii="Times New Roman" w:cs="Times New Roman" w:eastAsia="Times New Roman" w:hAnsi="Times New Roman"/>
          <w:sz w:val="18"/>
          <w:szCs w:val="18"/>
          <w:color w:val="0000FF"/>
        </w:rPr>
        <w:t>510220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8,707,142</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12/31/2029</w:t>
            </w:r>
          </w:p>
        </w:tc>
        <w:tc>
          <w:tcPr>
            <w:tcW w:w="180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2,681,894</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0000FF"/>
              </w:rPr>
              <w:t>66.85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directly held by High Vivacity Holdings Limited, a British Virgin Islands company, which is ultimately wholly owned by the Nasa Stand Trust. Under the terms of the Nasa Stand Trust, Arthur Xiaobo Hong has the power to direct the trustee with respect to the retention or disposal of the Class A ordinary shares of the Issuer and the exercise of any voting and other rights attached thereto.</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granted have been fully vested and exercisable as of the date hereof.</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Arthur Xiaobo Hong</w:t>
            </w: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978756"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2026-03-18T17:07:53Z</dcterms:created>
  <dcterms:modified xsi:type="dcterms:W3CDTF">2026-03-18T17:07:53Z</dcterms:modified>
</cp:coreProperties>
</file>