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Vipshop Holdings Limited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6392545</wp:posOffset>
            </wp:positionH>
            <wp:positionV relativeFrom="paragraph">
              <wp:posOffset>-116840</wp:posOffset>
            </wp:positionV>
            <wp:extent cx="600075" cy="3003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0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128 Dingxin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Haizhu District, Guangzhou 510220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People’s Republic of China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4,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Ms. Aamira Chaudhry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Ms. Theresa Brillant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Nicholas Nalbantian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Ms. Taylor Beech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Trade &amp; Services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  Vipshop Holdings Limited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20-F for Fiscal Year Ended December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April 19,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File No. 001-35454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Chaudhry, Ms. Brillant, Mr. Nalbantian, and Ms. Beech: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has received the letter dated November 7, 2023 from the staff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Staff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the Securities and Exchange Commission (the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regarding the Company’s annual report on Form 20-F for the fiscal year ended December 31, 2022 filed with the Commission 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April 19, 2023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2022 Form 20-F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and the Company’s correspondence filed with the Commission on September 13, 2023 (the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Correspondence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”). The Company respectfully submits to request an extension to the deadline for responding to the letter due to the additional time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required to gather sufficient information and prepare thorough responses. The Company will provide its response to the letter via EDGAR as soon as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possible, in any event no later than December 18, 2023.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additional questions or comments regarding the 2022 Form 20-F and the Correspondence, please contact the undersigned at + 86 20 2233-0025 or the Company’s U.S. counsel, Yuting Wu of Skadden, Arps, Slate, Meagher &amp; Flom LLP at +86 21 6193-8225 or yuting.wu@skadden.com.</w:t>
      </w:r>
    </w:p>
    <w:p>
      <w:pPr>
        <w:sectPr>
          <w:pgSz w:w="11900" w:h="16838" w:orient="portrait"/>
          <w:cols w:equalWidth="0" w:num="1">
            <w:col w:w="10880"/>
          </w:cols>
          <w:pgMar w:left="440" w:top="225" w:right="5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Vipshop Holdings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Mark Wang</w:t>
            </w:r>
          </w:p>
        </w:tc>
      </w:tr>
      <w:tr>
        <w:trPr>
          <w:trHeight w:val="191"/>
        </w:trPr>
        <w:tc>
          <w:tcPr>
            <w:tcW w:w="52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Mark Wang</w:t>
            </w:r>
          </w:p>
        </w:tc>
      </w:tr>
      <w:tr>
        <w:trPr>
          <w:trHeight w:val="23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44" w:right="2920" w:hanging="444"/>
        <w:spacing w:after="0" w:line="282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Eric Ya Shen, Chairman of the Board of Directors and Chief Executive Officer, Vipshop Holdings Limited Yuting Wu, Esq., Partner, Skadden, Arps, Slate, Meagher &amp; Flom LLP</w:t>
      </w:r>
    </w:p>
    <w:sectPr>
      <w:pgSz w:w="11900" w:h="16838" w:orient="portrait"/>
      <w:cols w:equalWidth="0" w:num="1">
        <w:col w:w="11024"/>
      </w:cols>
      <w:pgMar w:left="436" w:top="270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2024-04-03T16:17:06Z</dcterms:created>
  <dcterms:modified xsi:type="dcterms:W3CDTF">2024-04-03T16:17:06Z</dcterms:modified>
</cp:coreProperties>
</file>