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Vipshop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 xml:space="preserve">Class A ordinary shares, par value US$0.0001 per share </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71"/>
        <w:gridCol w:w="7934"/>
      </w:tblGrid>
      <w:tr>
        <w:trPr/>
        <w:tc>
          <w:tcPr>
            <w:tcW w:w="2271" w:type="dxa"/>
            <w:tcBorders/>
            <w:vAlign w:val="center"/>
          </w:tcPr>
          <w:p>
            <w:pPr>
              <w:pStyle w:val="TableContents"/>
              <w:bidi w:val="0"/>
              <w:spacing w:before="0" w:after="283"/>
              <w:jc w:val="left"/>
              <w:rPr/>
            </w:pPr>
            <w:r>
              <w:rPr/>
              <w:t>1</w:t>
            </w:r>
          </w:p>
        </w:tc>
        <w:tc>
          <w:tcPr>
            <w:tcW w:w="793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UBS Group AG</w:t>
            </w:r>
          </w:p>
        </w:tc>
      </w:tr>
      <w:tr>
        <w:trPr/>
        <w:tc>
          <w:tcPr>
            <w:tcW w:w="2271" w:type="dxa"/>
            <w:tcBorders/>
            <w:vAlign w:val="center"/>
          </w:tcPr>
          <w:p>
            <w:pPr>
              <w:pStyle w:val="TableContents"/>
              <w:bidi w:val="0"/>
              <w:spacing w:before="0" w:after="283"/>
              <w:jc w:val="left"/>
              <w:rPr/>
            </w:pPr>
            <w:r>
              <w:rPr/>
              <w:t>2</w:t>
            </w:r>
          </w:p>
        </w:tc>
        <w:tc>
          <w:tcPr>
            <w:tcW w:w="793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71" w:type="dxa"/>
            <w:tcBorders/>
            <w:vAlign w:val="center"/>
          </w:tcPr>
          <w:p>
            <w:pPr>
              <w:pStyle w:val="TableContents"/>
              <w:bidi w:val="0"/>
              <w:spacing w:before="0" w:after="283"/>
              <w:jc w:val="left"/>
              <w:rPr/>
            </w:pPr>
            <w:r>
              <w:rPr/>
              <w:t>3</w:t>
            </w:r>
          </w:p>
        </w:tc>
        <w:tc>
          <w:tcPr>
            <w:tcW w:w="7934" w:type="dxa"/>
            <w:tcBorders/>
            <w:vAlign w:val="center"/>
          </w:tcPr>
          <w:p>
            <w:pPr>
              <w:pStyle w:val="TableContents"/>
              <w:bidi w:val="0"/>
              <w:spacing w:before="0" w:after="283"/>
              <w:jc w:val="left"/>
              <w:rPr/>
            </w:pPr>
            <w:r>
              <w:rPr/>
              <w:t>Sec Use Only</w:t>
            </w:r>
          </w:p>
        </w:tc>
      </w:tr>
      <w:tr>
        <w:trPr/>
        <w:tc>
          <w:tcPr>
            <w:tcW w:w="2271" w:type="dxa"/>
            <w:tcBorders/>
            <w:vAlign w:val="center"/>
          </w:tcPr>
          <w:p>
            <w:pPr>
              <w:pStyle w:val="TableContents"/>
              <w:bidi w:val="0"/>
              <w:spacing w:before="0" w:after="283"/>
              <w:jc w:val="left"/>
              <w:rPr/>
            </w:pPr>
            <w:r>
              <w:rPr/>
              <w:t>4</w:t>
            </w:r>
          </w:p>
        </w:tc>
        <w:tc>
          <w:tcPr>
            <w:tcW w:w="793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27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188,844.00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16,129,947.00</w:t>
                  </w:r>
                </w:p>
              </w:tc>
            </w:tr>
          </w:tbl>
          <w:p>
            <w:pPr>
              <w:pStyle w:val="TableContents"/>
              <w:bidi w:val="0"/>
              <w:spacing w:before="0" w:after="283"/>
              <w:jc w:val="left"/>
              <w:rPr/>
            </w:pPr>
            <w:r>
              <w:rPr/>
            </w:r>
          </w:p>
        </w:tc>
        <w:tc>
          <w:tcPr>
            <w:tcW w:w="7934" w:type="dxa"/>
            <w:tcBorders/>
            <w:vAlign w:val="center"/>
          </w:tcPr>
          <w:p>
            <w:pPr>
              <w:pStyle w:val="TableContents"/>
              <w:bidi w:val="0"/>
              <w:spacing w:before="0" w:after="283"/>
              <w:jc w:val="left"/>
              <w:rPr>
                <w:sz w:val="4"/>
                <w:szCs w:val="4"/>
              </w:rPr>
            </w:pPr>
            <w:r>
              <w:rPr>
                <w:sz w:val="4"/>
                <w:szCs w:val="4"/>
              </w:rPr>
            </w:r>
          </w:p>
        </w:tc>
      </w:tr>
      <w:tr>
        <w:trPr/>
        <w:tc>
          <w:tcPr>
            <w:tcW w:w="2271" w:type="dxa"/>
            <w:tcBorders/>
            <w:vAlign w:val="center"/>
          </w:tcPr>
          <w:p>
            <w:pPr>
              <w:pStyle w:val="TableContents"/>
              <w:bidi w:val="0"/>
              <w:spacing w:before="0" w:after="283"/>
              <w:jc w:val="left"/>
              <w:rPr/>
            </w:pPr>
            <w:r>
              <w:rPr/>
              <w:t>9</w:t>
            </w:r>
          </w:p>
        </w:tc>
        <w:tc>
          <w:tcPr>
            <w:tcW w:w="793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16,129,947.00</w:t>
            </w:r>
          </w:p>
        </w:tc>
      </w:tr>
      <w:tr>
        <w:trPr/>
        <w:tc>
          <w:tcPr>
            <w:tcW w:w="2271" w:type="dxa"/>
            <w:tcBorders/>
            <w:vAlign w:val="center"/>
          </w:tcPr>
          <w:p>
            <w:pPr>
              <w:pStyle w:val="TableContents"/>
              <w:bidi w:val="0"/>
              <w:spacing w:before="0" w:after="283"/>
              <w:jc w:val="left"/>
              <w:rPr/>
            </w:pPr>
            <w:r>
              <w:rPr/>
              <w:t>10</w:t>
            </w:r>
          </w:p>
        </w:tc>
        <w:tc>
          <w:tcPr>
            <w:tcW w:w="793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71" w:type="dxa"/>
            <w:tcBorders/>
            <w:vAlign w:val="center"/>
          </w:tcPr>
          <w:p>
            <w:pPr>
              <w:pStyle w:val="TableContents"/>
              <w:bidi w:val="0"/>
              <w:spacing w:before="0" w:after="283"/>
              <w:jc w:val="left"/>
              <w:rPr/>
            </w:pPr>
            <w:r>
              <w:rPr/>
              <w:t>11</w:t>
            </w:r>
          </w:p>
        </w:tc>
        <w:tc>
          <w:tcPr>
            <w:tcW w:w="793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20.0 % </w:t>
            </w:r>
          </w:p>
        </w:tc>
      </w:tr>
      <w:tr>
        <w:trPr/>
        <w:tc>
          <w:tcPr>
            <w:tcW w:w="2271" w:type="dxa"/>
            <w:tcBorders/>
            <w:vAlign w:val="center"/>
          </w:tcPr>
          <w:p>
            <w:pPr>
              <w:pStyle w:val="TableContents"/>
              <w:bidi w:val="0"/>
              <w:spacing w:before="0" w:after="283"/>
              <w:jc w:val="left"/>
              <w:rPr/>
            </w:pPr>
            <w:r>
              <w:rPr/>
              <w:t>12</w:t>
            </w:r>
          </w:p>
        </w:tc>
        <w:tc>
          <w:tcPr>
            <w:tcW w:w="793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BK</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2"/>
        <w:gridCol w:w="8988"/>
        <w:gridCol w:w="155"/>
      </w:tblGrid>
      <w:tr>
        <w:trPr/>
        <w:tc>
          <w:tcPr>
            <w:tcW w:w="1062" w:type="dxa"/>
            <w:tcBorders/>
            <w:vAlign w:val="center"/>
          </w:tcPr>
          <w:p>
            <w:pPr>
              <w:pStyle w:val="TableContents"/>
              <w:bidi w:val="0"/>
              <w:spacing w:before="0" w:after="283"/>
              <w:jc w:val="left"/>
              <w:rPr/>
            </w:pPr>
            <w:r>
              <w:rPr/>
              <w:t>Item 1.</w:t>
            </w:r>
          </w:p>
        </w:tc>
        <w:tc>
          <w:tcPr>
            <w:tcW w:w="89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(a)</w:t>
            </w:r>
          </w:p>
        </w:tc>
        <w:tc>
          <w:tcPr>
            <w:tcW w:w="8988" w:type="dxa"/>
            <w:tcBorders/>
            <w:vAlign w:val="center"/>
          </w:tcPr>
          <w:p>
            <w:pPr>
              <w:pStyle w:val="TableContents"/>
              <w:bidi w:val="0"/>
              <w:jc w:val="left"/>
              <w:rPr/>
            </w:pPr>
            <w:r>
              <w:rPr/>
              <w:t xml:space="preserve">Name of issuer: </w:t>
            </w:r>
          </w:p>
          <w:p>
            <w:pPr>
              <w:pStyle w:val="TableContents"/>
              <w:bidi w:val="0"/>
              <w:spacing w:before="0" w:after="0"/>
              <w:jc w:val="left"/>
              <w:rPr/>
            </w:pPr>
            <w:r>
              <w:rPr/>
              <w:t>Vipshop Holdings Ltd</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(b)</w:t>
            </w:r>
          </w:p>
        </w:tc>
        <w:tc>
          <w:tcPr>
            <w:tcW w:w="89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VIPSHOP HEADQUARTERS, 128 DINGXIN ROAD, VIPSHOP HEADQUARTERS, 128 DINGXIN ROAD, Guangzhou, CHINA, 510335.</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Item 2.</w:t>
            </w:r>
          </w:p>
        </w:tc>
        <w:tc>
          <w:tcPr>
            <w:tcW w:w="89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(a)</w:t>
            </w:r>
          </w:p>
        </w:tc>
        <w:tc>
          <w:tcPr>
            <w:tcW w:w="8988"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UBS Group AG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(b)</w:t>
            </w:r>
          </w:p>
        </w:tc>
        <w:tc>
          <w:tcPr>
            <w:tcW w:w="898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Bahnhofstrasse 45 PO Box CH-8021, Zurich, Switzerland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(c)</w:t>
            </w:r>
          </w:p>
        </w:tc>
        <w:tc>
          <w:tcPr>
            <w:tcW w:w="8988"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Switzerland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(d)</w:t>
            </w:r>
          </w:p>
        </w:tc>
        <w:tc>
          <w:tcPr>
            <w:tcW w:w="89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 xml:space="preserve">Class A ordinary shares, par value US$0.0001 per share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(e)</w:t>
            </w:r>
          </w:p>
        </w:tc>
        <w:tc>
          <w:tcPr>
            <w:tcW w:w="898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Item 3.</w:t>
            </w:r>
          </w:p>
        </w:tc>
        <w:tc>
          <w:tcPr>
            <w:tcW w:w="898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(a)</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(b)</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(c)</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(d)</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(e)</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(f)</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(g)</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(h)</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(j)</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(k)</w:t>
            </w:r>
          </w:p>
        </w:tc>
        <w:tc>
          <w:tcPr>
            <w:tcW w:w="898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9143" w:type="dxa"/>
            <w:gridSpan w:val="2"/>
            <w:tcBorders/>
            <w:vAlign w:val="center"/>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Item 4.</w:t>
            </w:r>
          </w:p>
        </w:tc>
        <w:tc>
          <w:tcPr>
            <w:tcW w:w="898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(a)</w:t>
            </w:r>
          </w:p>
        </w:tc>
        <w:tc>
          <w:tcPr>
            <w:tcW w:w="898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16,129,947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(b)</w:t>
            </w:r>
          </w:p>
        </w:tc>
        <w:tc>
          <w:tcPr>
            <w:tcW w:w="898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20.04%   %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(c)</w:t>
            </w:r>
          </w:p>
        </w:tc>
        <w:tc>
          <w:tcPr>
            <w:tcW w:w="898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188,844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16,129,947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Item 5.</w:t>
            </w:r>
          </w:p>
        </w:tc>
        <w:tc>
          <w:tcPr>
            <w:tcW w:w="898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Item 6.</w:t>
            </w:r>
          </w:p>
        </w:tc>
        <w:tc>
          <w:tcPr>
            <w:tcW w:w="898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Item 7.</w:t>
            </w:r>
          </w:p>
        </w:tc>
        <w:tc>
          <w:tcPr>
            <w:tcW w:w="898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This statement on Schedule 13G is being filed by UBS Group AG on behalf of itself and its wholly owned subsidiaries UBS Financial Services Inc, UBS Securities LLC,UBS AG London Branch,UBS TC (Jersey) Ltd and UBS Europe SE.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Item 8.</w:t>
            </w:r>
          </w:p>
        </w:tc>
        <w:tc>
          <w:tcPr>
            <w:tcW w:w="898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Item 9.</w:t>
            </w:r>
          </w:p>
        </w:tc>
        <w:tc>
          <w:tcPr>
            <w:tcW w:w="898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UBS Group AG</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Andrew Johnson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05/07/2026</w:t>
                  </w:r>
                </w:p>
              </w:tc>
            </w:tr>
          </w:tbl>
          <w:p>
            <w:pPr>
              <w:pStyle w:val="TableContents"/>
              <w:bidi w:val="0"/>
              <w:spacing w:before="0" w:after="283"/>
              <w:jc w:val="left"/>
              <w:rPr/>
            </w:pPr>
            <w:r>
              <w:rPr/>
            </w:r>
          </w:p>
        </w:tc>
        <w:tc>
          <w:tcPr>
            <w:tcW w:w="440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830</Words>
  <Characters>4305</Characters>
  <CharactersWithSpaces>5136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