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99"/>
        <w:spacing w:after="0"/>
        <w:rPr>
          <w:sz w:val="20"/>
          <w:szCs w:val="20"/>
          <w:color w:val="auto"/>
        </w:rPr>
      </w:pPr>
      <w:r>
        <w:rPr>
          <w:rFonts w:ascii="Courier New" w:cs="Courier New" w:eastAsia="Courier New" w:hAnsi="Courier New"/>
          <w:sz w:val="18"/>
          <w:szCs w:val="18"/>
          <w:color w:val="auto"/>
        </w:rPr>
        <w:t>UNITED STATES</w:t>
      </w:r>
    </w:p>
    <w:p>
      <w:pPr>
        <w:jc w:val="center"/>
        <w:ind w:right="199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199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3" w:lineRule="exact"/>
        <w:rPr>
          <w:sz w:val="24"/>
          <w:szCs w:val="24"/>
          <w:color w:val="auto"/>
        </w:rPr>
      </w:pPr>
    </w:p>
    <w:p>
      <w:pPr>
        <w:jc w:val="center"/>
        <w:ind w:right="1999"/>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ind w:left="2000"/>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(Amendment No.1)*</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Vipshop Holdings Ltd</w:t>
      </w:r>
    </w:p>
    <w:p>
      <w:pPr>
        <w:ind w:left="1380"/>
        <w:spacing w:after="0" w:line="238" w:lineRule="auto"/>
        <w:rPr>
          <w:sz w:val="20"/>
          <w:szCs w:val="20"/>
          <w:color w:val="auto"/>
        </w:rPr>
      </w:pPr>
      <w:r>
        <w:rPr>
          <w:rFonts w:ascii="Courier New" w:cs="Courier New" w:eastAsia="Courier New" w:hAnsi="Courier New"/>
          <w:sz w:val="18"/>
          <w:szCs w:val="18"/>
          <w:color w:val="auto"/>
        </w:rPr>
        <w:t>-----------------------------------------------------</w:t>
      </w:r>
    </w:p>
    <w:p>
      <w:pPr>
        <w:ind w:left="3380"/>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Class A Common Stock</w:t>
      </w:r>
    </w:p>
    <w:p>
      <w:pPr>
        <w:ind w:left="1380"/>
        <w:spacing w:after="0" w:line="238" w:lineRule="auto"/>
        <w:rPr>
          <w:sz w:val="20"/>
          <w:szCs w:val="20"/>
          <w:color w:val="auto"/>
        </w:rPr>
      </w:pPr>
      <w:r>
        <w:rPr>
          <w:rFonts w:ascii="Courier New" w:cs="Courier New" w:eastAsia="Courier New" w:hAnsi="Courier New"/>
          <w:sz w:val="18"/>
          <w:szCs w:val="18"/>
          <w:color w:val="auto"/>
        </w:rPr>
        <w:t>-----------------------------------------------------</w:t>
      </w:r>
    </w:p>
    <w:p>
      <w:pPr>
        <w:ind w:left="2640"/>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jc w:val="center"/>
        <w:ind w:right="2099"/>
        <w:spacing w:after="0"/>
        <w:rPr>
          <w:sz w:val="20"/>
          <w:szCs w:val="20"/>
          <w:color w:val="auto"/>
        </w:rPr>
      </w:pPr>
      <w:r>
        <w:rPr>
          <w:rFonts w:ascii="Courier New" w:cs="Courier New" w:eastAsia="Courier New" w:hAnsi="Courier New"/>
          <w:sz w:val="18"/>
          <w:szCs w:val="18"/>
          <w:color w:val="auto"/>
        </w:rPr>
        <w:t>92763W103</w:t>
      </w:r>
    </w:p>
    <w:p>
      <w:pPr>
        <w:ind w:left="1380"/>
        <w:spacing w:after="0" w:line="238" w:lineRule="auto"/>
        <w:rPr>
          <w:sz w:val="20"/>
          <w:szCs w:val="20"/>
          <w:color w:val="auto"/>
        </w:rPr>
      </w:pPr>
      <w:r>
        <w:rPr>
          <w:rFonts w:ascii="Courier New" w:cs="Courier New" w:eastAsia="Courier New" w:hAnsi="Courier New"/>
          <w:sz w:val="18"/>
          <w:szCs w:val="18"/>
          <w:color w:val="auto"/>
        </w:rPr>
        <w:t>-----------------------------------------------------</w:t>
      </w:r>
    </w:p>
    <w:p>
      <w:pPr>
        <w:ind w:left="3480"/>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December 31, 2016</w:t>
      </w:r>
    </w:p>
    <w:p>
      <w:pPr>
        <w:ind w:left="1380"/>
        <w:spacing w:after="0" w:line="238" w:lineRule="auto"/>
        <w:rPr>
          <w:sz w:val="20"/>
          <w:szCs w:val="20"/>
          <w:color w:val="auto"/>
        </w:rPr>
      </w:pPr>
      <w:r>
        <w:rPr>
          <w:rFonts w:ascii="Courier New" w:cs="Courier New" w:eastAsia="Courier New" w:hAnsi="Courier New"/>
          <w:sz w:val="18"/>
          <w:szCs w:val="18"/>
          <w:color w:val="auto"/>
        </w:rPr>
        <w:t>-----------------------------------------------------</w:t>
      </w:r>
    </w:p>
    <w:p>
      <w:pPr>
        <w:ind w:left="1280"/>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0" w:lineRule="exact"/>
        <w:rPr>
          <w:sz w:val="24"/>
          <w:szCs w:val="24"/>
          <w:color w:val="auto"/>
        </w:rPr>
      </w:pPr>
    </w:p>
    <w:p>
      <w:pPr>
        <w:spacing w:after="0" w:line="200" w:lineRule="exact"/>
        <w:rPr>
          <w:sz w:val="24"/>
          <w:szCs w:val="24"/>
          <w:color w:val="auto"/>
        </w:rPr>
      </w:pPr>
    </w:p>
    <w:p>
      <w:pPr>
        <w:spacing w:after="0" w:line="211" w:lineRule="exact"/>
        <w:rPr>
          <w:sz w:val="24"/>
          <w:szCs w:val="24"/>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left="540" w:right="7899" w:hanging="5"/>
        <w:spacing w:after="0" w:line="536" w:lineRule="auto"/>
        <w:tabs>
          <w:tab w:leader="none" w:pos="751" w:val="left"/>
        </w:tabs>
        <w:numPr>
          <w:ilvl w:val="1"/>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 Rule 13d-1(b) [x] Rule 13d-1(c)</w:t>
      </w:r>
    </w:p>
    <w:p>
      <w:pPr>
        <w:ind w:left="740" w:hanging="205"/>
        <w:spacing w:after="0"/>
        <w:tabs>
          <w:tab w:leader="none" w:pos="740" w:val="left"/>
        </w:tabs>
        <w:numPr>
          <w:ilvl w:val="1"/>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Rule 13d-1(d)</w:t>
      </w:r>
    </w:p>
    <w:p>
      <w:pPr>
        <w:spacing w:after="0" w:line="200" w:lineRule="exact"/>
        <w:rPr>
          <w:rFonts w:ascii="Courier New" w:cs="Courier New" w:eastAsia="Courier New" w:hAnsi="Courier New"/>
          <w:sz w:val="18"/>
          <w:szCs w:val="18"/>
          <w:color w:val="auto"/>
        </w:rPr>
      </w:pPr>
    </w:p>
    <w:p>
      <w:pPr>
        <w:spacing w:after="0" w:line="209" w:lineRule="exact"/>
        <w:rPr>
          <w:rFonts w:ascii="Courier New" w:cs="Courier New" w:eastAsia="Courier New" w:hAnsi="Courier New"/>
          <w:sz w:val="18"/>
          <w:szCs w:val="18"/>
          <w:color w:val="auto"/>
        </w:rPr>
      </w:pPr>
    </w:p>
    <w:p>
      <w:pPr>
        <w:ind w:right="17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7" w:lineRule="exact"/>
        <w:rPr>
          <w:sz w:val="24"/>
          <w:szCs w:val="24"/>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9" w:lineRule="exact"/>
        <w:rPr>
          <w:sz w:val="24"/>
          <w:szCs w:val="24"/>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Persons who respond to the collection of information contained in this form are not required to respond unless the form displays a currently valid OMB control number.</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 1745 (3-06)</w:t>
      </w:r>
    </w:p>
    <w:p>
      <w:pPr>
        <w:spacing w:after="0" w:line="200" w:lineRule="exact"/>
        <w:rPr>
          <w:sz w:val="24"/>
          <w:szCs w:val="24"/>
          <w:color w:val="auto"/>
        </w:rPr>
      </w:pPr>
    </w:p>
    <w:p>
      <w:pPr>
        <w:spacing w:after="0" w:line="200" w:lineRule="exact"/>
        <w:rPr>
          <w:sz w:val="24"/>
          <w:szCs w:val="24"/>
          <w:color w:val="auto"/>
        </w:rPr>
      </w:pPr>
    </w:p>
    <w:p>
      <w:pPr>
        <w:spacing w:after="0" w:line="382" w:lineRule="exact"/>
        <w:rPr>
          <w:sz w:val="24"/>
          <w:szCs w:val="24"/>
          <w:color w:val="auto"/>
        </w:rPr>
      </w:pPr>
    </w:p>
    <w:p>
      <w:pPr>
        <w:spacing w:after="0"/>
        <w:tabs>
          <w:tab w:leader="none" w:pos="4100" w:val="left"/>
          <w:tab w:leader="none" w:pos="6520" w:val="left"/>
        </w:tabs>
        <w:rPr>
          <w:sz w:val="20"/>
          <w:szCs w:val="20"/>
          <w:color w:val="auto"/>
        </w:rPr>
      </w:pPr>
      <w:r>
        <w:rPr>
          <w:rFonts w:ascii="Courier New" w:cs="Courier New" w:eastAsia="Courier New" w:hAnsi="Courier New"/>
          <w:sz w:val="18"/>
          <w:szCs w:val="18"/>
          <w:color w:val="auto"/>
        </w:rPr>
        <w:t>CUSIP No. 92763W103</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2 of 8 Pages</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740" w:hanging="416"/>
        <w:spacing w:after="0"/>
        <w:tabs>
          <w:tab w:leader="none" w:pos="7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7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 OF ABOVE PERSON:</w:t>
      </w:r>
    </w:p>
    <w:p>
      <w:pPr>
        <w:spacing w:after="0" w:line="202" w:lineRule="exact"/>
        <w:rPr>
          <w:sz w:val="24"/>
          <w:szCs w:val="24"/>
          <w:color w:val="auto"/>
        </w:rPr>
      </w:pPr>
    </w:p>
    <w:p>
      <w:pPr>
        <w:ind w:left="740"/>
        <w:spacing w:after="0"/>
        <w:rPr>
          <w:sz w:val="20"/>
          <w:szCs w:val="20"/>
          <w:color w:val="auto"/>
        </w:rPr>
      </w:pPr>
      <w:r>
        <w:rPr>
          <w:rFonts w:ascii="Courier New" w:cs="Courier New" w:eastAsia="Courier New" w:hAnsi="Courier New"/>
          <w:sz w:val="18"/>
          <w:szCs w:val="18"/>
          <w:color w:val="auto"/>
        </w:rPr>
        <w:t>Morgan Stanley</w:t>
      </w:r>
    </w:p>
    <w:p>
      <w:pPr>
        <w:ind w:left="740"/>
        <w:spacing w:after="0" w:line="238" w:lineRule="auto"/>
        <w:rPr>
          <w:sz w:val="20"/>
          <w:szCs w:val="20"/>
          <w:color w:val="auto"/>
        </w:rPr>
      </w:pPr>
      <w:r>
        <w:rPr>
          <w:rFonts w:ascii="Courier New" w:cs="Courier New" w:eastAsia="Courier New" w:hAnsi="Courier New"/>
          <w:sz w:val="18"/>
          <w:szCs w:val="18"/>
          <w:color w:val="auto"/>
        </w:rPr>
        <w:t>I.R.S. # 36-3145972</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740" w:hanging="416"/>
        <w:spacing w:after="0"/>
        <w:tabs>
          <w:tab w:leader="none" w:pos="7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01" w:lineRule="exact"/>
        <w:rPr>
          <w:rFonts w:ascii="Courier New" w:cs="Courier New" w:eastAsia="Courier New" w:hAnsi="Courier New"/>
          <w:sz w:val="18"/>
          <w:szCs w:val="18"/>
          <w:color w:val="auto"/>
        </w:rPr>
      </w:pPr>
    </w:p>
    <w:p>
      <w:pPr>
        <w:ind w:left="1160" w:hanging="415"/>
        <w:spacing w:after="0"/>
        <w:tabs>
          <w:tab w:leader="none" w:pos="116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201" w:lineRule="exact"/>
        <w:rPr>
          <w:rFonts w:ascii="Courier New" w:cs="Courier New" w:eastAsia="Courier New" w:hAnsi="Courier New"/>
          <w:sz w:val="18"/>
          <w:szCs w:val="18"/>
          <w:color w:val="auto"/>
        </w:rPr>
      </w:pPr>
    </w:p>
    <w:p>
      <w:pPr>
        <w:ind w:left="1160" w:hanging="415"/>
        <w:spacing w:after="0"/>
        <w:tabs>
          <w:tab w:leader="none" w:pos="116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8"/>
          <w:szCs w:val="18"/>
          <w:color w:val="auto"/>
        </w:rPr>
      </w:pPr>
    </w:p>
    <w:p>
      <w:pPr>
        <w:ind w:left="740" w:hanging="416"/>
        <w:spacing w:after="0" w:line="238" w:lineRule="auto"/>
        <w:tabs>
          <w:tab w:leader="none" w:pos="7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1257" w:right="1440" w:bottom="0" w:gutter="0" w:footer="0" w:header="0"/>
        </w:sectPr>
      </w:pPr>
    </w:p>
    <w:bookmarkStart w:id="1" w:name="page2"/>
    <w:bookmarkEnd w:id="1"/>
    <w:p>
      <w:pPr>
        <w:ind w:left="740" w:hanging="416"/>
        <w:spacing w:after="0"/>
        <w:tabs>
          <w:tab w:leader="none" w:pos="7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The state of organization is Delaware.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220" w:type="dxa"/>
        <w:tblCellMar>
          <w:top w:w="0" w:type="dxa"/>
          <w:left w:w="0" w:type="dxa"/>
          <w:bottom w:w="0" w:type="dxa"/>
          <w:right w:w="0" w:type="dxa"/>
        </w:tblCellMar>
      </w:tblPr>
      <w:tr>
        <w:trPr>
          <w:trHeight w:val="204"/>
        </w:trPr>
        <w:tc>
          <w:tcPr>
            <w:tcW w:w="1480" w:type="dxa"/>
            <w:vAlign w:val="bottom"/>
          </w:tcPr>
          <w:p>
            <w:pPr>
              <w:ind w:left="100"/>
              <w:spacing w:after="0"/>
              <w:rPr>
                <w:sz w:val="20"/>
                <w:szCs w:val="20"/>
                <w:color w:val="auto"/>
              </w:rPr>
            </w:pPr>
            <w:r>
              <w:rPr>
                <w:rFonts w:ascii="Courier New" w:cs="Courier New" w:eastAsia="Courier New" w:hAnsi="Courier New"/>
                <w:sz w:val="18"/>
                <w:szCs w:val="18"/>
                <w:color w:val="auto"/>
              </w:rPr>
              <w:t>NUMBER OF</w:t>
            </w:r>
          </w:p>
        </w:tc>
        <w:tc>
          <w:tcPr>
            <w:tcW w:w="740" w:type="dxa"/>
            <w:vAlign w:val="bottom"/>
          </w:tcPr>
          <w:p>
            <w:pPr>
              <w:ind w:left="200"/>
              <w:spacing w:after="0"/>
              <w:rPr>
                <w:sz w:val="20"/>
                <w:szCs w:val="20"/>
                <w:color w:val="auto"/>
              </w:rPr>
            </w:pPr>
            <w:r>
              <w:rPr>
                <w:rFonts w:ascii="Courier New" w:cs="Courier New" w:eastAsia="Courier New" w:hAnsi="Courier New"/>
                <w:sz w:val="18"/>
                <w:szCs w:val="18"/>
                <w:color w:val="auto"/>
              </w:rPr>
              <w:t>5.</w:t>
            </w:r>
          </w:p>
        </w:tc>
        <w:tc>
          <w:tcPr>
            <w:tcW w:w="600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5"/>
              </w:rPr>
              <w:t>SHARES</w:t>
            </w:r>
          </w:p>
        </w:tc>
        <w:tc>
          <w:tcPr>
            <w:tcW w:w="740" w:type="dxa"/>
            <w:vAlign w:val="bottom"/>
          </w:tcPr>
          <w:p>
            <w:pPr>
              <w:spacing w:after="0"/>
              <w:rPr>
                <w:sz w:val="17"/>
                <w:szCs w:val="17"/>
                <w:color w:val="auto"/>
              </w:rPr>
            </w:pPr>
          </w:p>
        </w:tc>
        <w:tc>
          <w:tcPr>
            <w:tcW w:w="6000" w:type="dxa"/>
            <w:vAlign w:val="bottom"/>
          </w:tcPr>
          <w:p>
            <w:pPr>
              <w:spacing w:after="0" w:line="203" w:lineRule="exact"/>
              <w:rPr>
                <w:sz w:val="20"/>
                <w:szCs w:val="20"/>
                <w:color w:val="auto"/>
              </w:rPr>
            </w:pPr>
            <w:r>
              <w:rPr>
                <w:rFonts w:ascii="Courier New" w:cs="Courier New" w:eastAsia="Courier New" w:hAnsi="Courier New"/>
                <w:sz w:val="18"/>
                <w:szCs w:val="18"/>
                <w:color w:val="auto"/>
              </w:rPr>
              <w:t>5,366,262</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BENEFICIALLY</w:t>
            </w:r>
          </w:p>
        </w:tc>
        <w:tc>
          <w:tcPr>
            <w:tcW w:w="674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9"/>
              </w:rPr>
              <w:t>OWNED BY</w:t>
            </w:r>
          </w:p>
        </w:tc>
        <w:tc>
          <w:tcPr>
            <w:tcW w:w="7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6.</w:t>
            </w:r>
          </w:p>
        </w:tc>
        <w:tc>
          <w:tcPr>
            <w:tcW w:w="600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EACH</w:t>
            </w:r>
          </w:p>
        </w:tc>
        <w:tc>
          <w:tcPr>
            <w:tcW w:w="740" w:type="dxa"/>
            <w:vAlign w:val="bottom"/>
          </w:tcPr>
          <w:p>
            <w:pPr>
              <w:spacing w:after="0"/>
              <w:rPr>
                <w:sz w:val="17"/>
                <w:szCs w:val="17"/>
                <w:color w:val="auto"/>
              </w:rPr>
            </w:pPr>
          </w:p>
        </w:tc>
        <w:tc>
          <w:tcPr>
            <w:tcW w:w="6000" w:type="dxa"/>
            <w:vAlign w:val="bottom"/>
          </w:tcPr>
          <w:p>
            <w:pPr>
              <w:spacing w:after="0" w:line="203" w:lineRule="exact"/>
              <w:rPr>
                <w:sz w:val="20"/>
                <w:szCs w:val="20"/>
                <w:color w:val="auto"/>
              </w:rPr>
            </w:pPr>
            <w:r>
              <w:rPr>
                <w:rFonts w:ascii="Courier New" w:cs="Courier New" w:eastAsia="Courier New" w:hAnsi="Courier New"/>
                <w:sz w:val="18"/>
                <w:szCs w:val="18"/>
                <w:color w:val="auto"/>
              </w:rPr>
              <w:t>22,435</w:t>
            </w:r>
          </w:p>
        </w:tc>
      </w:tr>
      <w:tr>
        <w:trPr>
          <w:trHeight w:val="203"/>
        </w:trPr>
        <w:tc>
          <w:tcPr>
            <w:tcW w:w="14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REPORTING</w:t>
            </w:r>
          </w:p>
        </w:tc>
        <w:tc>
          <w:tcPr>
            <w:tcW w:w="674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5"/>
              </w:rPr>
              <w:t>PERSON</w:t>
            </w:r>
          </w:p>
        </w:tc>
        <w:tc>
          <w:tcPr>
            <w:tcW w:w="7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7.</w:t>
            </w:r>
          </w:p>
        </w:tc>
        <w:tc>
          <w:tcPr>
            <w:tcW w:w="600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4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WITH:</w:t>
            </w:r>
          </w:p>
        </w:tc>
        <w:tc>
          <w:tcPr>
            <w:tcW w:w="740" w:type="dxa"/>
            <w:vAlign w:val="bottom"/>
          </w:tcPr>
          <w:p>
            <w:pPr>
              <w:spacing w:after="0"/>
              <w:rPr>
                <w:sz w:val="17"/>
                <w:szCs w:val="17"/>
                <w:color w:val="auto"/>
              </w:rPr>
            </w:pPr>
          </w:p>
        </w:tc>
        <w:tc>
          <w:tcPr>
            <w:tcW w:w="6000" w:type="dxa"/>
            <w:vAlign w:val="bottom"/>
          </w:tcPr>
          <w:p>
            <w:pPr>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1480" w:type="dxa"/>
            <w:vAlign w:val="bottom"/>
          </w:tcPr>
          <w:p>
            <w:pPr>
              <w:spacing w:after="0"/>
              <w:rPr>
                <w:sz w:val="17"/>
                <w:szCs w:val="17"/>
                <w:color w:val="auto"/>
              </w:rPr>
            </w:pPr>
          </w:p>
        </w:tc>
        <w:tc>
          <w:tcPr>
            <w:tcW w:w="674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480" w:type="dxa"/>
            <w:vAlign w:val="bottom"/>
          </w:tcPr>
          <w:p>
            <w:pPr>
              <w:spacing w:after="0"/>
              <w:rPr>
                <w:sz w:val="17"/>
                <w:szCs w:val="17"/>
                <w:color w:val="auto"/>
              </w:rPr>
            </w:pPr>
          </w:p>
        </w:tc>
        <w:tc>
          <w:tcPr>
            <w:tcW w:w="7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8.</w:t>
            </w:r>
          </w:p>
        </w:tc>
        <w:tc>
          <w:tcPr>
            <w:tcW w:w="600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14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00" w:type="dxa"/>
            <w:vAlign w:val="bottom"/>
          </w:tcPr>
          <w:p>
            <w:pPr>
              <w:spacing w:after="0" w:line="203" w:lineRule="exact"/>
              <w:rPr>
                <w:sz w:val="20"/>
                <w:szCs w:val="20"/>
                <w:color w:val="auto"/>
              </w:rPr>
            </w:pPr>
            <w:r>
              <w:rPr>
                <w:rFonts w:ascii="Courier New" w:cs="Courier New" w:eastAsia="Courier New" w:hAnsi="Courier New"/>
                <w:sz w:val="18"/>
                <w:szCs w:val="18"/>
                <w:color w:val="auto"/>
              </w:rPr>
              <w:t>5,389,889</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740" w:right="3039" w:hanging="416"/>
        <w:spacing w:after="0" w:line="235" w:lineRule="auto"/>
        <w:tabs>
          <w:tab w:leader="none" w:pos="7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5,389,889</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740" w:right="2199" w:hanging="521"/>
        <w:spacing w:after="0" w:line="235" w:lineRule="auto"/>
        <w:tabs>
          <w:tab w:leader="none" w:pos="7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 [ ]</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740" w:hanging="521"/>
        <w:spacing w:after="0"/>
        <w:tabs>
          <w:tab w:leader="none" w:pos="7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ind w:left="740"/>
        <w:spacing w:after="0" w:line="238" w:lineRule="auto"/>
        <w:rPr>
          <w:sz w:val="20"/>
          <w:szCs w:val="20"/>
          <w:color w:val="auto"/>
        </w:rPr>
      </w:pPr>
      <w:r>
        <w:rPr>
          <w:rFonts w:ascii="Courier New" w:cs="Courier New" w:eastAsia="Courier New" w:hAnsi="Courier New"/>
          <w:sz w:val="18"/>
          <w:szCs w:val="18"/>
          <w:color w:val="auto"/>
        </w:rPr>
        <w:t>5.3%</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740" w:right="6839" w:hanging="521"/>
        <w:spacing w:after="0" w:line="235" w:lineRule="auto"/>
        <w:tabs>
          <w:tab w:leader="none" w:pos="7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HC, CO</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136" w:right="1440" w:bottom="1440" w:gutter="0" w:footer="0" w:header="0"/>
        </w:sectPr>
      </w:pPr>
    </w:p>
    <w:bookmarkStart w:id="2" w:name="page3"/>
    <w:bookmarkEnd w:id="2"/>
    <w:p>
      <w:pPr>
        <w:spacing w:after="0"/>
        <w:tabs>
          <w:tab w:leader="none" w:pos="4420" w:val="left"/>
          <w:tab w:leader="none" w:pos="6620" w:val="left"/>
        </w:tabs>
        <w:rPr>
          <w:sz w:val="20"/>
          <w:szCs w:val="20"/>
          <w:color w:val="auto"/>
        </w:rPr>
      </w:pPr>
      <w:r>
        <w:rPr>
          <w:rFonts w:ascii="Courier New" w:cs="Courier New" w:eastAsia="Courier New" w:hAnsi="Courier New"/>
          <w:sz w:val="18"/>
          <w:szCs w:val="18"/>
          <w:color w:val="auto"/>
        </w:rPr>
        <w:t>CUSIP No. 92763W103</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3 of 8 Pages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740" w:hanging="416"/>
        <w:spacing w:after="0"/>
        <w:tabs>
          <w:tab w:leader="none" w:pos="7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spacing w:after="0" w:line="4" w:lineRule="exact"/>
        <w:rPr>
          <w:rFonts w:ascii="Courier New" w:cs="Courier New" w:eastAsia="Courier New" w:hAnsi="Courier New"/>
          <w:sz w:val="18"/>
          <w:szCs w:val="18"/>
          <w:color w:val="auto"/>
        </w:rPr>
      </w:pPr>
    </w:p>
    <w:p>
      <w:pPr>
        <w:ind w:left="740" w:right="5059"/>
        <w:spacing w:after="0" w:line="402"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I.R.S. IDENTIFICATION NO. OF ABOVE PERSON: Morgan Stanley Capital Services LLC</w:t>
      </w:r>
    </w:p>
    <w:p>
      <w:pPr>
        <w:ind w:left="740"/>
        <w:spacing w:after="0" w:line="233" w:lineRule="auto"/>
        <w:rPr>
          <w:sz w:val="20"/>
          <w:szCs w:val="20"/>
          <w:color w:val="auto"/>
        </w:rPr>
      </w:pPr>
      <w:r>
        <w:rPr>
          <w:rFonts w:ascii="Courier New" w:cs="Courier New" w:eastAsia="Courier New" w:hAnsi="Courier New"/>
          <w:sz w:val="18"/>
          <w:szCs w:val="18"/>
          <w:color w:val="auto"/>
        </w:rPr>
        <w:t>I.R.S. #13-3292567</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740" w:hanging="416"/>
        <w:spacing w:after="0"/>
        <w:tabs>
          <w:tab w:leader="none" w:pos="7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01" w:lineRule="exact"/>
        <w:rPr>
          <w:rFonts w:ascii="Courier New" w:cs="Courier New" w:eastAsia="Courier New" w:hAnsi="Courier New"/>
          <w:sz w:val="18"/>
          <w:szCs w:val="18"/>
          <w:color w:val="auto"/>
        </w:rPr>
      </w:pPr>
    </w:p>
    <w:p>
      <w:pPr>
        <w:ind w:left="1160" w:hanging="415"/>
        <w:spacing w:after="0"/>
        <w:tabs>
          <w:tab w:leader="none" w:pos="1160" w:val="left"/>
        </w:tabs>
        <w:numPr>
          <w:ilvl w:val="1"/>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201" w:lineRule="exact"/>
        <w:rPr>
          <w:rFonts w:ascii="Courier New" w:cs="Courier New" w:eastAsia="Courier New" w:hAnsi="Courier New"/>
          <w:sz w:val="18"/>
          <w:szCs w:val="18"/>
          <w:color w:val="auto"/>
        </w:rPr>
      </w:pPr>
    </w:p>
    <w:p>
      <w:pPr>
        <w:ind w:left="1160" w:hanging="415"/>
        <w:spacing w:after="0"/>
        <w:tabs>
          <w:tab w:leader="none" w:pos="1160" w:val="left"/>
        </w:tabs>
        <w:numPr>
          <w:ilvl w:val="1"/>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8"/>
          <w:szCs w:val="18"/>
          <w:color w:val="auto"/>
        </w:rPr>
      </w:pPr>
    </w:p>
    <w:p>
      <w:pPr>
        <w:ind w:left="740" w:hanging="416"/>
        <w:spacing w:after="0" w:line="238" w:lineRule="auto"/>
        <w:tabs>
          <w:tab w:leader="none" w:pos="7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740" w:hanging="416"/>
        <w:spacing w:after="0"/>
        <w:tabs>
          <w:tab w:leader="none" w:pos="7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The state of organization is Delaware.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220" w:type="dxa"/>
        <w:tblCellMar>
          <w:top w:w="0" w:type="dxa"/>
          <w:left w:w="0" w:type="dxa"/>
          <w:bottom w:w="0" w:type="dxa"/>
          <w:right w:w="0" w:type="dxa"/>
        </w:tblCellMar>
      </w:tblPr>
      <w:tr>
        <w:trPr>
          <w:trHeight w:val="204"/>
        </w:trPr>
        <w:tc>
          <w:tcPr>
            <w:tcW w:w="1480" w:type="dxa"/>
            <w:vAlign w:val="bottom"/>
          </w:tcPr>
          <w:p>
            <w:pPr>
              <w:ind w:left="100"/>
              <w:spacing w:after="0"/>
              <w:rPr>
                <w:sz w:val="20"/>
                <w:szCs w:val="20"/>
                <w:color w:val="auto"/>
              </w:rPr>
            </w:pPr>
            <w:r>
              <w:rPr>
                <w:rFonts w:ascii="Courier New" w:cs="Courier New" w:eastAsia="Courier New" w:hAnsi="Courier New"/>
                <w:sz w:val="18"/>
                <w:szCs w:val="18"/>
                <w:color w:val="auto"/>
              </w:rPr>
              <w:t>NUMBER OF</w:t>
            </w:r>
          </w:p>
        </w:tc>
        <w:tc>
          <w:tcPr>
            <w:tcW w:w="740" w:type="dxa"/>
            <w:vAlign w:val="bottom"/>
          </w:tcPr>
          <w:p>
            <w:pPr>
              <w:ind w:left="200"/>
              <w:spacing w:after="0"/>
              <w:rPr>
                <w:sz w:val="20"/>
                <w:szCs w:val="20"/>
                <w:color w:val="auto"/>
              </w:rPr>
            </w:pPr>
            <w:r>
              <w:rPr>
                <w:rFonts w:ascii="Courier New" w:cs="Courier New" w:eastAsia="Courier New" w:hAnsi="Courier New"/>
                <w:sz w:val="18"/>
                <w:szCs w:val="18"/>
                <w:color w:val="auto"/>
              </w:rPr>
              <w:t>5.</w:t>
            </w:r>
          </w:p>
        </w:tc>
        <w:tc>
          <w:tcPr>
            <w:tcW w:w="600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5"/>
              </w:rPr>
              <w:t>SHARES</w:t>
            </w:r>
          </w:p>
        </w:tc>
        <w:tc>
          <w:tcPr>
            <w:tcW w:w="740" w:type="dxa"/>
            <w:vAlign w:val="bottom"/>
          </w:tcPr>
          <w:p>
            <w:pPr>
              <w:spacing w:after="0"/>
              <w:rPr>
                <w:sz w:val="17"/>
                <w:szCs w:val="17"/>
                <w:color w:val="auto"/>
              </w:rPr>
            </w:pPr>
          </w:p>
        </w:tc>
        <w:tc>
          <w:tcPr>
            <w:tcW w:w="6000" w:type="dxa"/>
            <w:vAlign w:val="bottom"/>
          </w:tcPr>
          <w:p>
            <w:pPr>
              <w:spacing w:after="0" w:line="203" w:lineRule="exact"/>
              <w:rPr>
                <w:sz w:val="20"/>
                <w:szCs w:val="20"/>
                <w:color w:val="auto"/>
              </w:rPr>
            </w:pPr>
            <w:r>
              <w:rPr>
                <w:rFonts w:ascii="Courier New" w:cs="Courier New" w:eastAsia="Courier New" w:hAnsi="Courier New"/>
                <w:sz w:val="18"/>
                <w:szCs w:val="18"/>
                <w:color w:val="auto"/>
              </w:rPr>
              <w:t>5,336,305</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BENEFICIALLY</w:t>
            </w:r>
          </w:p>
        </w:tc>
        <w:tc>
          <w:tcPr>
            <w:tcW w:w="674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9"/>
              </w:rPr>
              <w:t>OWNED BY</w:t>
            </w:r>
          </w:p>
        </w:tc>
        <w:tc>
          <w:tcPr>
            <w:tcW w:w="7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6.</w:t>
            </w:r>
          </w:p>
        </w:tc>
        <w:tc>
          <w:tcPr>
            <w:tcW w:w="600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EACH</w:t>
            </w:r>
          </w:p>
        </w:tc>
        <w:tc>
          <w:tcPr>
            <w:tcW w:w="740" w:type="dxa"/>
            <w:vAlign w:val="bottom"/>
          </w:tcPr>
          <w:p>
            <w:pPr>
              <w:spacing w:after="0"/>
              <w:rPr>
                <w:sz w:val="17"/>
                <w:szCs w:val="17"/>
                <w:color w:val="auto"/>
              </w:rPr>
            </w:pPr>
          </w:p>
        </w:tc>
        <w:tc>
          <w:tcPr>
            <w:tcW w:w="6000" w:type="dxa"/>
            <w:vAlign w:val="bottom"/>
          </w:tcPr>
          <w:p>
            <w:pPr>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14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REPORTING</w:t>
            </w:r>
          </w:p>
        </w:tc>
        <w:tc>
          <w:tcPr>
            <w:tcW w:w="674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5"/>
              </w:rPr>
              <w:t>PERSON</w:t>
            </w:r>
          </w:p>
        </w:tc>
        <w:tc>
          <w:tcPr>
            <w:tcW w:w="7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7.</w:t>
            </w:r>
          </w:p>
        </w:tc>
        <w:tc>
          <w:tcPr>
            <w:tcW w:w="600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4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WITH:</w:t>
            </w:r>
          </w:p>
        </w:tc>
        <w:tc>
          <w:tcPr>
            <w:tcW w:w="740" w:type="dxa"/>
            <w:vAlign w:val="bottom"/>
          </w:tcPr>
          <w:p>
            <w:pPr>
              <w:spacing w:after="0"/>
              <w:rPr>
                <w:sz w:val="17"/>
                <w:szCs w:val="17"/>
                <w:color w:val="auto"/>
              </w:rPr>
            </w:pPr>
          </w:p>
        </w:tc>
        <w:tc>
          <w:tcPr>
            <w:tcW w:w="6000" w:type="dxa"/>
            <w:vAlign w:val="bottom"/>
          </w:tcPr>
          <w:p>
            <w:pPr>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1480" w:type="dxa"/>
            <w:vAlign w:val="bottom"/>
          </w:tcPr>
          <w:p>
            <w:pPr>
              <w:spacing w:after="0"/>
              <w:rPr>
                <w:sz w:val="17"/>
                <w:szCs w:val="17"/>
                <w:color w:val="auto"/>
              </w:rPr>
            </w:pPr>
          </w:p>
        </w:tc>
        <w:tc>
          <w:tcPr>
            <w:tcW w:w="674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480" w:type="dxa"/>
            <w:vAlign w:val="bottom"/>
          </w:tcPr>
          <w:p>
            <w:pPr>
              <w:spacing w:after="0"/>
              <w:rPr>
                <w:sz w:val="17"/>
                <w:szCs w:val="17"/>
                <w:color w:val="auto"/>
              </w:rPr>
            </w:pPr>
          </w:p>
        </w:tc>
        <w:tc>
          <w:tcPr>
            <w:tcW w:w="7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8.</w:t>
            </w:r>
          </w:p>
        </w:tc>
        <w:tc>
          <w:tcPr>
            <w:tcW w:w="600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14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00" w:type="dxa"/>
            <w:vAlign w:val="bottom"/>
          </w:tcPr>
          <w:p>
            <w:pPr>
              <w:spacing w:after="0" w:line="203" w:lineRule="exact"/>
              <w:rPr>
                <w:sz w:val="20"/>
                <w:szCs w:val="20"/>
                <w:color w:val="auto"/>
              </w:rPr>
            </w:pPr>
            <w:r>
              <w:rPr>
                <w:rFonts w:ascii="Courier New" w:cs="Courier New" w:eastAsia="Courier New" w:hAnsi="Courier New"/>
                <w:sz w:val="18"/>
                <w:szCs w:val="18"/>
                <w:color w:val="auto"/>
              </w:rPr>
              <w:t>5,336,305</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740" w:hanging="416"/>
        <w:spacing w:after="0"/>
        <w:tabs>
          <w:tab w:leader="none" w:pos="7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ind w:left="740"/>
        <w:spacing w:after="0" w:line="238" w:lineRule="auto"/>
        <w:rPr>
          <w:sz w:val="20"/>
          <w:szCs w:val="20"/>
          <w:color w:val="auto"/>
        </w:rPr>
      </w:pPr>
      <w:r>
        <w:rPr>
          <w:rFonts w:ascii="Courier New" w:cs="Courier New" w:eastAsia="Courier New" w:hAnsi="Courier New"/>
          <w:sz w:val="18"/>
          <w:szCs w:val="18"/>
          <w:color w:val="auto"/>
        </w:rPr>
        <w:t>5,336,305</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740" w:hanging="521"/>
        <w:spacing w:after="0"/>
        <w:tabs>
          <w:tab w:leader="none" w:pos="74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w:t>
      </w:r>
    </w:p>
    <w:p>
      <w:pPr>
        <w:spacing w:after="0" w:line="201" w:lineRule="exact"/>
        <w:rPr>
          <w:sz w:val="20"/>
          <w:szCs w:val="20"/>
          <w:color w:val="auto"/>
        </w:rPr>
      </w:pPr>
    </w:p>
    <w:p>
      <w:pPr>
        <w:ind w:left="960" w:hanging="215"/>
        <w:spacing w:after="0"/>
        <w:tabs>
          <w:tab w:leader="none" w:pos="960" w:val="left"/>
        </w:tabs>
        <w:numPr>
          <w:ilvl w:val="1"/>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8"/>
          <w:szCs w:val="18"/>
          <w:color w:val="auto"/>
        </w:rPr>
      </w:pPr>
    </w:p>
    <w:p>
      <w:pPr>
        <w:ind w:left="740" w:right="4199" w:hanging="521"/>
        <w:spacing w:after="0" w:line="235" w:lineRule="auto"/>
        <w:tabs>
          <w:tab w:leader="none" w:pos="74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5.3%</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740" w:hanging="521"/>
        <w:spacing w:after="0"/>
        <w:tabs>
          <w:tab w:leader="none" w:pos="74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ind w:left="740"/>
        <w:spacing w:after="0" w:line="238" w:lineRule="auto"/>
        <w:rPr>
          <w:sz w:val="20"/>
          <w:szCs w:val="20"/>
          <w:color w:val="auto"/>
        </w:rPr>
      </w:pPr>
      <w:r>
        <w:rPr>
          <w:rFonts w:ascii="Courier New" w:cs="Courier New" w:eastAsia="Courier New" w:hAnsi="Courier New"/>
          <w:sz w:val="18"/>
          <w:szCs w:val="18"/>
          <w:color w:val="auto"/>
        </w:rPr>
        <w:t>CO</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717" w:right="1440" w:bottom="1440" w:gutter="0" w:footer="0" w:header="0"/>
        </w:sectPr>
      </w:pPr>
    </w:p>
    <w:bookmarkStart w:id="3" w:name="page4"/>
    <w:bookmarkEnd w:id="3"/>
    <w:p>
      <w:pPr>
        <w:spacing w:after="0"/>
        <w:tabs>
          <w:tab w:leader="none" w:pos="4000" w:val="left"/>
          <w:tab w:leader="none" w:pos="6620" w:val="left"/>
        </w:tabs>
        <w:rPr>
          <w:sz w:val="20"/>
          <w:szCs w:val="20"/>
          <w:color w:val="auto"/>
        </w:rPr>
      </w:pPr>
      <w:r>
        <w:rPr>
          <w:rFonts w:ascii="Courier New" w:cs="Courier New" w:eastAsia="Courier New" w:hAnsi="Courier New"/>
          <w:sz w:val="18"/>
          <w:szCs w:val="18"/>
          <w:color w:val="auto"/>
        </w:rPr>
        <w:t>CUSIP No. 92763W103</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4 of 8 Pages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717" w:right="1440" w:bottom="1440" w:gutter="0" w:footer="0" w:header="0"/>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1.</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6"/>
          <w:szCs w:val="16"/>
          <w:color w:val="auto"/>
        </w:rPr>
        <w:t>(a)</w:t>
      </w:r>
      <w:r>
        <w:rPr>
          <w:sz w:val="20"/>
          <w:szCs w:val="20"/>
          <w:color w:val="auto"/>
        </w:rPr>
        <w:tab/>
      </w:r>
      <w:r>
        <w:rPr>
          <w:rFonts w:ascii="Courier New" w:cs="Courier New" w:eastAsia="Courier New" w:hAnsi="Courier New"/>
          <w:sz w:val="16"/>
          <w:szCs w:val="16"/>
          <w:color w:val="auto"/>
        </w:rPr>
        <w:t>Name of Issuer:</w:t>
      </w:r>
    </w:p>
    <w:p>
      <w:pPr>
        <w:spacing w:after="0" w:line="200" w:lineRule="exact"/>
        <w:rPr>
          <w:sz w:val="20"/>
          <w:szCs w:val="20"/>
          <w:color w:val="auto"/>
        </w:rPr>
      </w:pPr>
    </w:p>
    <w:p>
      <w:pPr>
        <w:sectPr>
          <w:pgSz w:w="11900" w:h="16838" w:orient="portrait"/>
          <w:cols w:equalWidth="0" w:num="2">
            <w:col w:w="740" w:space="540"/>
            <w:col w:w="8939"/>
          </w:cols>
          <w:pgMar w:left="240" w:top="717" w:right="1440" w:bottom="1440" w:gutter="0" w:footer="0" w:header="0"/>
          <w:type w:val="continuous"/>
        </w:sectPr>
      </w:pPr>
    </w:p>
    <w:p>
      <w:pPr>
        <w:spacing w:after="0" w:line="18"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Vipshop Holdings Ltd</w:t>
      </w:r>
    </w:p>
    <w:p>
      <w:pPr>
        <w:spacing w:after="0" w:line="4" w:lineRule="exact"/>
        <w:rPr>
          <w:sz w:val="20"/>
          <w:szCs w:val="20"/>
          <w:color w:val="auto"/>
        </w:rPr>
      </w:pPr>
    </w:p>
    <w:p>
      <w:pPr>
        <w:ind w:left="19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280"/>
        <w:spacing w:after="0"/>
        <w:tabs>
          <w:tab w:leader="none" w:pos="1880" w:val="left"/>
        </w:tabs>
        <w:rPr>
          <w:sz w:val="20"/>
          <w:szCs w:val="20"/>
          <w:color w:val="auto"/>
        </w:rPr>
      </w:pPr>
      <w:r>
        <w:rPr>
          <w:rFonts w:ascii="Courier New" w:cs="Courier New" w:eastAsia="Courier New" w:hAnsi="Courier New"/>
          <w:sz w:val="18"/>
          <w:szCs w:val="18"/>
          <w:color w:val="auto"/>
        </w:rPr>
        <w:t>(b)</w:t>
      </w:r>
      <w:r>
        <w:rPr>
          <w:sz w:val="20"/>
          <w:szCs w:val="20"/>
          <w:color w:val="auto"/>
        </w:rPr>
        <w:tab/>
      </w:r>
      <w:r>
        <w:rPr>
          <w:rFonts w:ascii="Courier New" w:cs="Courier New" w:eastAsia="Courier New" w:hAnsi="Courier New"/>
          <w:sz w:val="18"/>
          <w:szCs w:val="18"/>
          <w:color w:val="auto"/>
        </w:rPr>
        <w:t>Address of Issuer's Principal Executive Offices:</w:t>
      </w:r>
    </w:p>
    <w:p>
      <w:pPr>
        <w:sectPr>
          <w:pgSz w:w="11900" w:h="16838" w:orient="portrait"/>
          <w:cols w:equalWidth="0" w:num="1">
            <w:col w:w="10219"/>
          </w:cols>
          <w:pgMar w:left="240" w:top="717"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2.</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ind w:left="620"/>
        <w:spacing w:after="0"/>
        <w:rPr>
          <w:sz w:val="20"/>
          <w:szCs w:val="20"/>
          <w:color w:val="auto"/>
        </w:rPr>
      </w:pPr>
      <w:r>
        <w:rPr>
          <w:rFonts w:ascii="Courier New" w:cs="Courier New" w:eastAsia="Courier New" w:hAnsi="Courier New"/>
          <w:sz w:val="18"/>
          <w:szCs w:val="18"/>
          <w:color w:val="auto"/>
        </w:rPr>
        <w:t>No. 20 Huahai Street</w:t>
      </w:r>
    </w:p>
    <w:p>
      <w:pPr>
        <w:ind w:left="620"/>
        <w:spacing w:after="0" w:line="238" w:lineRule="auto"/>
        <w:rPr>
          <w:sz w:val="20"/>
          <w:szCs w:val="20"/>
          <w:color w:val="auto"/>
        </w:rPr>
      </w:pPr>
      <w:r>
        <w:rPr>
          <w:rFonts w:ascii="Courier New" w:cs="Courier New" w:eastAsia="Courier New" w:hAnsi="Courier New"/>
          <w:sz w:val="18"/>
          <w:szCs w:val="18"/>
          <w:color w:val="auto"/>
        </w:rPr>
        <w:t>Liwan district, Guangzhou F4 510370</w:t>
      </w:r>
    </w:p>
    <w:p>
      <w:pPr>
        <w:ind w:left="620"/>
        <w:spacing w:after="0"/>
        <w:rPr>
          <w:sz w:val="20"/>
          <w:szCs w:val="20"/>
          <w:color w:val="auto"/>
        </w:rPr>
      </w:pPr>
      <w:r>
        <w:rPr>
          <w:rFonts w:ascii="Courier New" w:cs="Courier New" w:eastAsia="Courier New" w:hAnsi="Courier New"/>
          <w:sz w:val="18"/>
          <w:szCs w:val="18"/>
          <w:color w:val="auto"/>
        </w:rPr>
        <w:t>China</w:t>
      </w:r>
    </w:p>
    <w:p>
      <w:pPr>
        <w:spacing w:after="0" w:line="3" w:lineRule="exact"/>
        <w:rPr>
          <w:sz w:val="20"/>
          <w:szCs w:val="20"/>
          <w:color w:val="auto"/>
        </w:rPr>
      </w:pPr>
    </w:p>
    <w:p>
      <w:pPr>
        <w:ind w:left="6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8"/>
          <w:szCs w:val="18"/>
          <w:color w:val="auto"/>
        </w:rPr>
        <w:t>(a)</w:t>
      </w:r>
      <w:r>
        <w:rPr>
          <w:sz w:val="20"/>
          <w:szCs w:val="20"/>
          <w:color w:val="auto"/>
        </w:rPr>
        <w:tab/>
      </w:r>
      <w:r>
        <w:rPr>
          <w:rFonts w:ascii="Courier New" w:cs="Courier New" w:eastAsia="Courier New" w:hAnsi="Courier New"/>
          <w:sz w:val="18"/>
          <w:szCs w:val="18"/>
          <w:color w:val="auto"/>
        </w:rPr>
        <w:t>Name of Person Filing:</w:t>
      </w:r>
    </w:p>
    <w:p>
      <w:pPr>
        <w:spacing w:after="0" w:line="200" w:lineRule="exact"/>
        <w:rPr>
          <w:sz w:val="20"/>
          <w:szCs w:val="20"/>
          <w:color w:val="auto"/>
        </w:rPr>
      </w:pPr>
    </w:p>
    <w:p>
      <w:pPr>
        <w:sectPr>
          <w:pgSz w:w="11900" w:h="16838" w:orient="portrait"/>
          <w:cols w:equalWidth="0" w:num="2">
            <w:col w:w="740" w:space="540"/>
            <w:col w:w="8939"/>
          </w:cols>
          <w:pgMar w:left="240" w:top="717" w:right="1440" w:bottom="1440" w:gutter="0" w:footer="0" w:header="0"/>
          <w:type w:val="continuous"/>
        </w:sectPr>
      </w:pPr>
    </w:p>
    <w:p>
      <w:pPr>
        <w:spacing w:after="0" w:line="1" w:lineRule="exact"/>
        <w:rPr>
          <w:sz w:val="20"/>
          <w:szCs w:val="20"/>
          <w:color w:val="auto"/>
        </w:rPr>
      </w:pPr>
    </w:p>
    <w:p>
      <w:pPr>
        <w:ind w:left="2320" w:hanging="416"/>
        <w:spacing w:after="0"/>
        <w:tabs>
          <w:tab w:leader="none" w:pos="2320" w:val="left"/>
        </w:tabs>
        <w:numPr>
          <w:ilvl w:val="1"/>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Morgan Stanley</w:t>
      </w:r>
    </w:p>
    <w:p>
      <w:pPr>
        <w:ind w:left="2320" w:hanging="416"/>
        <w:spacing w:after="0" w:line="238" w:lineRule="auto"/>
        <w:tabs>
          <w:tab w:leader="none" w:pos="2320" w:val="left"/>
        </w:tabs>
        <w:numPr>
          <w:ilvl w:val="1"/>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Morgan Stanley Capital Services LLC</w:t>
      </w:r>
    </w:p>
    <w:p>
      <w:pPr>
        <w:spacing w:after="0" w:line="4" w:lineRule="exact"/>
        <w:rPr>
          <w:rFonts w:ascii="Courier New" w:cs="Courier New" w:eastAsia="Courier New" w:hAnsi="Courier New"/>
          <w:sz w:val="18"/>
          <w:szCs w:val="18"/>
          <w:color w:val="auto"/>
        </w:rPr>
      </w:pPr>
    </w:p>
    <w:p>
      <w:pPr>
        <w:ind w:left="190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8"/>
          <w:szCs w:val="18"/>
          <w:color w:val="auto"/>
        </w:rPr>
      </w:pPr>
    </w:p>
    <w:p>
      <w:pPr>
        <w:ind w:left="1900" w:hanging="628"/>
        <w:spacing w:after="0" w:line="238" w:lineRule="auto"/>
        <w:tabs>
          <w:tab w:leader="none" w:pos="190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Principal Business Office, or if None, Residence:</w:t>
      </w:r>
    </w:p>
    <w:p>
      <w:pPr>
        <w:spacing w:after="0" w:line="201" w:lineRule="exact"/>
        <w:rPr>
          <w:rFonts w:ascii="Courier New" w:cs="Courier New" w:eastAsia="Courier New" w:hAnsi="Courier New"/>
          <w:sz w:val="18"/>
          <w:szCs w:val="18"/>
          <w:color w:val="auto"/>
        </w:rPr>
      </w:pPr>
    </w:p>
    <w:p>
      <w:pPr>
        <w:ind w:left="2320" w:hanging="416"/>
        <w:spacing w:after="0"/>
        <w:tabs>
          <w:tab w:leader="none" w:pos="2320" w:val="left"/>
        </w:tabs>
        <w:numPr>
          <w:ilvl w:val="1"/>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1585 Broadway</w:t>
      </w:r>
    </w:p>
    <w:p>
      <w:pPr>
        <w:ind w:left="2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New York, NY 10036</w:t>
      </w:r>
    </w:p>
    <w:p>
      <w:pPr>
        <w:ind w:left="2320" w:hanging="416"/>
        <w:spacing w:after="0" w:line="238" w:lineRule="auto"/>
        <w:tabs>
          <w:tab w:leader="none" w:pos="2320" w:val="left"/>
        </w:tabs>
        <w:numPr>
          <w:ilvl w:val="1"/>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1585 Broadway</w:t>
      </w:r>
    </w:p>
    <w:p>
      <w:pPr>
        <w:ind w:left="2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New York, NY 10036</w:t>
      </w:r>
    </w:p>
    <w:p>
      <w:pPr>
        <w:spacing w:after="0" w:line="5" w:lineRule="exact"/>
        <w:rPr>
          <w:sz w:val="20"/>
          <w:szCs w:val="20"/>
          <w:color w:val="auto"/>
        </w:rPr>
      </w:pPr>
    </w:p>
    <w:p>
      <w:pPr>
        <w:ind w:left="19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900" w:hanging="628"/>
        <w:spacing w:after="0"/>
        <w:tabs>
          <w:tab w:leader="none" w:pos="190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w:t>
      </w:r>
    </w:p>
    <w:p>
      <w:pPr>
        <w:spacing w:after="0" w:line="201" w:lineRule="exact"/>
        <w:rPr>
          <w:rFonts w:ascii="Courier New" w:cs="Courier New" w:eastAsia="Courier New" w:hAnsi="Courier New"/>
          <w:sz w:val="18"/>
          <w:szCs w:val="18"/>
          <w:color w:val="auto"/>
        </w:rPr>
      </w:pPr>
    </w:p>
    <w:p>
      <w:pPr>
        <w:ind w:left="2320" w:hanging="416"/>
        <w:spacing w:after="0"/>
        <w:tabs>
          <w:tab w:leader="none" w:pos="2320" w:val="left"/>
        </w:tabs>
        <w:numPr>
          <w:ilvl w:val="1"/>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state of organization is Delaware.</w:t>
      </w:r>
    </w:p>
    <w:p>
      <w:pPr>
        <w:ind w:left="2320" w:hanging="416"/>
        <w:spacing w:after="0" w:line="238" w:lineRule="auto"/>
        <w:tabs>
          <w:tab w:leader="none" w:pos="2320" w:val="left"/>
        </w:tabs>
        <w:numPr>
          <w:ilvl w:val="1"/>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state of organization is Delaware.</w:t>
      </w:r>
    </w:p>
    <w:p>
      <w:pPr>
        <w:spacing w:after="0" w:line="4" w:lineRule="exact"/>
        <w:rPr>
          <w:rFonts w:ascii="Courier New" w:cs="Courier New" w:eastAsia="Courier New" w:hAnsi="Courier New"/>
          <w:sz w:val="18"/>
          <w:szCs w:val="18"/>
          <w:color w:val="auto"/>
        </w:rPr>
      </w:pPr>
    </w:p>
    <w:p>
      <w:pPr>
        <w:ind w:left="190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8"/>
          <w:szCs w:val="18"/>
          <w:color w:val="auto"/>
        </w:rPr>
      </w:pPr>
    </w:p>
    <w:p>
      <w:pPr>
        <w:ind w:left="1900" w:hanging="628"/>
        <w:spacing w:after="0" w:line="238" w:lineRule="auto"/>
        <w:tabs>
          <w:tab w:leader="none" w:pos="190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Class of Securities:</w:t>
      </w:r>
    </w:p>
    <w:p>
      <w:pPr>
        <w:spacing w:after="0" w:line="201" w:lineRule="exact"/>
        <w:rPr>
          <w:rFonts w:ascii="Courier New" w:cs="Courier New" w:eastAsia="Courier New" w:hAnsi="Courier New"/>
          <w:sz w:val="18"/>
          <w:szCs w:val="18"/>
          <w:color w:val="auto"/>
        </w:rPr>
      </w:pPr>
    </w:p>
    <w:p>
      <w:pPr>
        <w:ind w:left="190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Class A Common Stock</w:t>
      </w:r>
    </w:p>
    <w:p>
      <w:pPr>
        <w:spacing w:after="0" w:line="4" w:lineRule="exact"/>
        <w:rPr>
          <w:rFonts w:ascii="Courier New" w:cs="Courier New" w:eastAsia="Courier New" w:hAnsi="Courier New"/>
          <w:sz w:val="18"/>
          <w:szCs w:val="18"/>
          <w:color w:val="auto"/>
        </w:rPr>
      </w:pPr>
    </w:p>
    <w:p>
      <w:pPr>
        <w:ind w:left="190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8"/>
          <w:szCs w:val="18"/>
          <w:color w:val="auto"/>
        </w:rPr>
      </w:pPr>
    </w:p>
    <w:p>
      <w:pPr>
        <w:ind w:left="1900" w:hanging="628"/>
        <w:spacing w:after="0" w:line="238" w:lineRule="auto"/>
        <w:tabs>
          <w:tab w:leader="none" w:pos="190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CUSIP Number:</w:t>
      </w:r>
    </w:p>
    <w:p>
      <w:pPr>
        <w:spacing w:after="0" w:line="202"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92763W103</w:t>
      </w:r>
    </w:p>
    <w:p>
      <w:pPr>
        <w:spacing w:after="0" w:line="4" w:lineRule="exact"/>
        <w:rPr>
          <w:sz w:val="20"/>
          <w:szCs w:val="20"/>
          <w:color w:val="auto"/>
        </w:rPr>
      </w:pPr>
    </w:p>
    <w:p>
      <w:pPr>
        <w:ind w:left="1900"/>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If this statement is filed pursuant to Sections 240.13d-1(b) or</w:t>
      </w:r>
    </w:p>
    <w:p>
      <w:pPr>
        <w:ind w:left="1280"/>
        <w:spacing w:after="0" w:line="238" w:lineRule="auto"/>
        <w:rPr>
          <w:sz w:val="20"/>
          <w:szCs w:val="20"/>
          <w:color w:val="auto"/>
        </w:rPr>
      </w:pPr>
      <w:r>
        <w:rPr>
          <w:rFonts w:ascii="Courier New" w:cs="Courier New" w:eastAsia="Courier New" w:hAnsi="Courier New"/>
          <w:sz w:val="18"/>
          <w:szCs w:val="18"/>
          <w:color w:val="auto"/>
        </w:rPr>
        <w:t>240.13d-2(b) or (c), check whether the person filing is a:</w:t>
      </w:r>
    </w:p>
    <w:p>
      <w:pPr>
        <w:spacing w:after="0" w:line="207" w:lineRule="exact"/>
        <w:rPr>
          <w:sz w:val="20"/>
          <w:szCs w:val="20"/>
          <w:color w:val="auto"/>
        </w:rPr>
      </w:pPr>
    </w:p>
    <w:p>
      <w:pPr>
        <w:ind w:left="2220" w:right="2199" w:hanging="948"/>
        <w:spacing w:after="0" w:line="235" w:lineRule="auto"/>
        <w:tabs>
          <w:tab w:leader="none" w:pos="1693"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Broker or dealer registered under Section 15 of the Act (15 U.S.C. 78o).</w:t>
      </w:r>
    </w:p>
    <w:p>
      <w:pPr>
        <w:spacing w:after="0" w:line="202" w:lineRule="exact"/>
        <w:rPr>
          <w:rFonts w:ascii="Courier New" w:cs="Courier New" w:eastAsia="Courier New" w:hAnsi="Courier New"/>
          <w:sz w:val="18"/>
          <w:szCs w:val="18"/>
          <w:color w:val="auto"/>
        </w:rPr>
      </w:pPr>
    </w:p>
    <w:p>
      <w:pPr>
        <w:ind w:left="1700" w:hanging="428"/>
        <w:spacing w:after="0"/>
        <w:tabs>
          <w:tab w:leader="none" w:pos="170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Bank as defined in Section 3(a)(6) of the Act</w:t>
      </w:r>
    </w:p>
    <w:p>
      <w:pPr>
        <w:ind w:left="2220"/>
        <w:spacing w:after="0" w:line="238" w:lineRule="auto"/>
        <w:rPr>
          <w:sz w:val="20"/>
          <w:szCs w:val="20"/>
          <w:color w:val="auto"/>
        </w:rPr>
      </w:pPr>
      <w:r>
        <w:rPr>
          <w:rFonts w:ascii="Courier New" w:cs="Courier New" w:eastAsia="Courier New" w:hAnsi="Courier New"/>
          <w:sz w:val="18"/>
          <w:szCs w:val="18"/>
          <w:color w:val="auto"/>
        </w:rPr>
        <w:t>(15 U.S.C. 78c).</w:t>
      </w:r>
    </w:p>
    <w:p>
      <w:pPr>
        <w:spacing w:after="0" w:line="207" w:lineRule="exact"/>
        <w:rPr>
          <w:sz w:val="20"/>
          <w:szCs w:val="20"/>
          <w:color w:val="auto"/>
        </w:rPr>
      </w:pPr>
    </w:p>
    <w:p>
      <w:pPr>
        <w:ind w:left="2220" w:right="1779" w:hanging="948"/>
        <w:spacing w:after="0" w:line="235" w:lineRule="auto"/>
        <w:tabs>
          <w:tab w:leader="none" w:pos="1693"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Insurance company as defined in Section 3(a)(19) of the Act (15 U.S.C. 78c).</w:t>
      </w:r>
    </w:p>
    <w:p>
      <w:pPr>
        <w:spacing w:after="0" w:line="208" w:lineRule="exact"/>
        <w:rPr>
          <w:rFonts w:ascii="Courier New" w:cs="Courier New" w:eastAsia="Courier New" w:hAnsi="Courier New"/>
          <w:sz w:val="18"/>
          <w:szCs w:val="18"/>
          <w:color w:val="auto"/>
        </w:rPr>
      </w:pPr>
    </w:p>
    <w:p>
      <w:pPr>
        <w:ind w:left="2220" w:right="2519" w:hanging="948"/>
        <w:spacing w:after="0" w:line="290" w:lineRule="auto"/>
        <w:tabs>
          <w:tab w:leader="none" w:pos="1693"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Investment company registered under Section 8 of the Investment Company Act of 1940 (15 U.S.C. 80a-8).</w:t>
      </w:r>
    </w:p>
    <w:p>
      <w:pPr>
        <w:spacing w:after="0" w:line="164" w:lineRule="exact"/>
        <w:rPr>
          <w:rFonts w:ascii="Courier New" w:cs="Courier New" w:eastAsia="Courier New" w:hAnsi="Courier New"/>
          <w:sz w:val="16"/>
          <w:szCs w:val="16"/>
          <w:color w:val="auto"/>
        </w:rPr>
      </w:pPr>
    </w:p>
    <w:p>
      <w:pPr>
        <w:ind w:left="1700" w:hanging="428"/>
        <w:spacing w:after="0"/>
        <w:tabs>
          <w:tab w:leader="none" w:pos="170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An investment adviser in accordance with Sections</w:t>
      </w:r>
    </w:p>
    <w:p>
      <w:pPr>
        <w:ind w:left="2220"/>
        <w:spacing w:after="0" w:line="238" w:lineRule="auto"/>
        <w:rPr>
          <w:sz w:val="20"/>
          <w:szCs w:val="20"/>
          <w:color w:val="auto"/>
        </w:rPr>
      </w:pPr>
      <w:r>
        <w:rPr>
          <w:rFonts w:ascii="Courier New" w:cs="Courier New" w:eastAsia="Courier New" w:hAnsi="Courier New"/>
          <w:sz w:val="18"/>
          <w:szCs w:val="18"/>
          <w:color w:val="auto"/>
        </w:rPr>
        <w:t>240.13d-1(b)(1)(ii)(E);</w:t>
      </w:r>
    </w:p>
    <w:p>
      <w:pPr>
        <w:spacing w:after="0" w:line="207" w:lineRule="exact"/>
        <w:rPr>
          <w:sz w:val="20"/>
          <w:szCs w:val="20"/>
          <w:color w:val="auto"/>
        </w:rPr>
      </w:pPr>
    </w:p>
    <w:p>
      <w:pPr>
        <w:ind w:left="2220" w:right="2099" w:hanging="948"/>
        <w:spacing w:after="0" w:line="235" w:lineRule="auto"/>
        <w:tabs>
          <w:tab w:leader="none" w:pos="1693"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An employee benefit plan or endowment fund in accordance with Section 240.13d-1(b)(1)(ii)(F);</w:t>
      </w:r>
    </w:p>
    <w:p>
      <w:pPr>
        <w:spacing w:after="0" w:line="208" w:lineRule="exact"/>
        <w:rPr>
          <w:rFonts w:ascii="Courier New" w:cs="Courier New" w:eastAsia="Courier New" w:hAnsi="Courier New"/>
          <w:sz w:val="18"/>
          <w:szCs w:val="18"/>
          <w:color w:val="auto"/>
        </w:rPr>
      </w:pPr>
    </w:p>
    <w:p>
      <w:pPr>
        <w:ind w:left="2220" w:right="2099" w:hanging="948"/>
        <w:spacing w:after="0" w:line="235" w:lineRule="auto"/>
        <w:tabs>
          <w:tab w:leader="none" w:pos="1693"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parent holding company or control person in accordance with Section 240.13d-1(b)(1)(ii)(G);</w:t>
      </w:r>
    </w:p>
    <w:p>
      <w:pPr>
        <w:spacing w:after="0" w:line="208" w:lineRule="exact"/>
        <w:rPr>
          <w:rFonts w:ascii="Courier New" w:cs="Courier New" w:eastAsia="Courier New" w:hAnsi="Courier New"/>
          <w:sz w:val="18"/>
          <w:szCs w:val="18"/>
          <w:color w:val="auto"/>
        </w:rPr>
      </w:pPr>
    </w:p>
    <w:p>
      <w:pPr>
        <w:ind w:left="2220" w:right="2199" w:hanging="948"/>
        <w:spacing w:after="0" w:line="235" w:lineRule="auto"/>
        <w:tabs>
          <w:tab w:leader="none" w:pos="1693"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savings association as defined in Section 3(b) of the Federal Deposit Insurance Act (12 U.S.C. 1813);</w:t>
      </w:r>
    </w:p>
    <w:p>
      <w:pPr>
        <w:spacing w:after="0" w:line="208" w:lineRule="exact"/>
        <w:rPr>
          <w:rFonts w:ascii="Courier New" w:cs="Courier New" w:eastAsia="Courier New" w:hAnsi="Courier New"/>
          <w:sz w:val="18"/>
          <w:szCs w:val="18"/>
          <w:color w:val="auto"/>
        </w:rPr>
      </w:pPr>
    </w:p>
    <w:p>
      <w:pPr>
        <w:ind w:left="2220" w:right="2099" w:hanging="948"/>
        <w:spacing w:after="0" w:line="236" w:lineRule="auto"/>
        <w:tabs>
          <w:tab w:leader="none" w:pos="1693"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church plan that is excluded from the definition of an investment company under Section 3(c)(14) of the Investment Company Act of 1940 (15 U.S.C. 80a-3);</w:t>
      </w:r>
    </w:p>
    <w:p>
      <w:pPr>
        <w:spacing w:after="0" w:line="203" w:lineRule="exact"/>
        <w:rPr>
          <w:rFonts w:ascii="Courier New" w:cs="Courier New" w:eastAsia="Courier New" w:hAnsi="Courier New"/>
          <w:sz w:val="18"/>
          <w:szCs w:val="18"/>
          <w:color w:val="auto"/>
        </w:rPr>
      </w:pPr>
    </w:p>
    <w:p>
      <w:pPr>
        <w:ind w:left="1700" w:hanging="428"/>
        <w:spacing w:after="0"/>
        <w:tabs>
          <w:tab w:leader="none" w:pos="170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Group, in accordance with Section 240.13d-1(b)(1)(ii)(J).</w:t>
      </w:r>
    </w:p>
    <w:p>
      <w:pPr>
        <w:sectPr>
          <w:pgSz w:w="11900" w:h="16838" w:orient="portrait"/>
          <w:cols w:equalWidth="0" w:num="1">
            <w:col w:w="10219"/>
          </w:cols>
          <w:pgMar w:left="240" w:top="717" w:right="1440" w:bottom="1440" w:gutter="0" w:footer="0" w:header="0"/>
          <w:type w:val="continuous"/>
        </w:sectPr>
      </w:pPr>
    </w:p>
    <w:bookmarkStart w:id="4" w:name="page5"/>
    <w:bookmarkEnd w:id="4"/>
    <w:p>
      <w:pPr>
        <w:spacing w:after="0"/>
        <w:tabs>
          <w:tab w:leader="none" w:pos="3880" w:val="left"/>
          <w:tab w:leader="none" w:pos="6620" w:val="left"/>
        </w:tabs>
        <w:rPr>
          <w:sz w:val="20"/>
          <w:szCs w:val="20"/>
          <w:color w:val="auto"/>
        </w:rPr>
      </w:pPr>
      <w:r>
        <w:rPr>
          <w:rFonts w:ascii="Courier New" w:cs="Courier New" w:eastAsia="Courier New" w:hAnsi="Courier New"/>
          <w:sz w:val="18"/>
          <w:szCs w:val="18"/>
          <w:color w:val="auto"/>
        </w:rPr>
        <w:t>CUSIP No. 92763W103</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5 of 8 Pages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spacing w:after="0"/>
        <w:tabs>
          <w:tab w:leader="none" w:pos="1140" w:val="left"/>
          <w:tab w:leader="none" w:pos="29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8"/>
          <w:szCs w:val="18"/>
          <w:color w:val="auto"/>
        </w:rPr>
        <w:t>Ownership as of</w:t>
      </w:r>
      <w:r>
        <w:rPr>
          <w:sz w:val="20"/>
          <w:szCs w:val="20"/>
          <w:color w:val="auto"/>
        </w:rPr>
        <w:tab/>
      </w:r>
      <w:r>
        <w:rPr>
          <w:rFonts w:ascii="Courier New" w:cs="Courier New" w:eastAsia="Courier New" w:hAnsi="Courier New"/>
          <w:sz w:val="16"/>
          <w:szCs w:val="16"/>
          <w:color w:val="auto"/>
        </w:rPr>
        <w:t>December 31, 2016.*</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(a) Amount beneficially owned:</w:t>
      </w:r>
    </w:p>
    <w:p>
      <w:pPr>
        <w:ind w:left="1160"/>
        <w:spacing w:after="0" w:line="238" w:lineRule="auto"/>
        <w:rPr>
          <w:sz w:val="20"/>
          <w:szCs w:val="20"/>
          <w:color w:val="auto"/>
        </w:rPr>
      </w:pPr>
      <w:r>
        <w:rPr>
          <w:rFonts w:ascii="Courier New" w:cs="Courier New" w:eastAsia="Courier New" w:hAnsi="Courier New"/>
          <w:sz w:val="18"/>
          <w:szCs w:val="18"/>
          <w:color w:val="auto"/>
        </w:rPr>
        <w:t>See the response(s) to Item 9 on the attached cover page(s).</w:t>
      </w:r>
    </w:p>
    <w:p>
      <w:pPr>
        <w:spacing w:after="0" w:line="202"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(b) Percent of Class:</w:t>
      </w:r>
    </w:p>
    <w:p>
      <w:pPr>
        <w:ind w:left="1160"/>
        <w:spacing w:after="0" w:line="238" w:lineRule="auto"/>
        <w:rPr>
          <w:sz w:val="20"/>
          <w:szCs w:val="20"/>
          <w:color w:val="auto"/>
        </w:rPr>
      </w:pPr>
      <w:r>
        <w:rPr>
          <w:rFonts w:ascii="Courier New" w:cs="Courier New" w:eastAsia="Courier New" w:hAnsi="Courier New"/>
          <w:sz w:val="18"/>
          <w:szCs w:val="18"/>
          <w:color w:val="auto"/>
        </w:rPr>
        <w:t>See the response(s) to Item 11 on the attached cover page(s).</w:t>
      </w:r>
    </w:p>
    <w:p>
      <w:pPr>
        <w:spacing w:after="0" w:line="202" w:lineRule="exact"/>
        <w:rPr>
          <w:sz w:val="20"/>
          <w:szCs w:val="20"/>
          <w:color w:val="auto"/>
        </w:rPr>
      </w:pPr>
    </w:p>
    <w:p>
      <w:pPr>
        <w:ind w:left="1580" w:hanging="413"/>
        <w:spacing w:after="0"/>
        <w:tabs>
          <w:tab w:leader="none" w:pos="158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201" w:lineRule="exact"/>
        <w:rPr>
          <w:rFonts w:ascii="Courier New" w:cs="Courier New" w:eastAsia="Courier New" w:hAnsi="Courier New"/>
          <w:sz w:val="18"/>
          <w:szCs w:val="18"/>
          <w:color w:val="auto"/>
        </w:rPr>
      </w:pPr>
    </w:p>
    <w:p>
      <w:pPr>
        <w:ind w:left="2120" w:hanging="637"/>
        <w:spacing w:after="0"/>
        <w:tabs>
          <w:tab w:leader="none" w:pos="2120" w:val="left"/>
        </w:tabs>
        <w:numPr>
          <w:ilvl w:val="1"/>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w:t>
      </w:r>
    </w:p>
    <w:p>
      <w:pPr>
        <w:spacing w:after="0" w:line="4" w:lineRule="exact"/>
        <w:rPr>
          <w:rFonts w:ascii="Courier New" w:cs="Courier New" w:eastAsia="Courier New" w:hAnsi="Courier New"/>
          <w:sz w:val="18"/>
          <w:szCs w:val="18"/>
          <w:color w:val="auto"/>
        </w:rPr>
      </w:pPr>
    </w:p>
    <w:p>
      <w:pPr>
        <w:ind w:left="212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See the response(s) to Item 5 on the attached cover page(s).</w:t>
      </w:r>
    </w:p>
    <w:p>
      <w:pPr>
        <w:spacing w:after="0" w:line="218" w:lineRule="exact"/>
        <w:rPr>
          <w:rFonts w:ascii="Courier New" w:cs="Courier New" w:eastAsia="Courier New" w:hAnsi="Courier New"/>
          <w:sz w:val="18"/>
          <w:szCs w:val="18"/>
          <w:color w:val="auto"/>
        </w:rPr>
      </w:pPr>
    </w:p>
    <w:p>
      <w:pPr>
        <w:ind w:left="2120" w:hanging="637"/>
        <w:spacing w:after="0"/>
        <w:tabs>
          <w:tab w:leader="none" w:pos="2120" w:val="left"/>
        </w:tabs>
        <w:numPr>
          <w:ilvl w:val="1"/>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w:t>
      </w:r>
    </w:p>
    <w:p>
      <w:pPr>
        <w:spacing w:after="0" w:line="4" w:lineRule="exact"/>
        <w:rPr>
          <w:rFonts w:ascii="Courier New" w:cs="Courier New" w:eastAsia="Courier New" w:hAnsi="Courier New"/>
          <w:sz w:val="18"/>
          <w:szCs w:val="18"/>
          <w:color w:val="auto"/>
        </w:rPr>
      </w:pPr>
    </w:p>
    <w:p>
      <w:pPr>
        <w:ind w:left="212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See the response(s) to Item 6 on the attached cover page(s).</w:t>
      </w:r>
    </w:p>
    <w:p>
      <w:pPr>
        <w:spacing w:after="0" w:line="218" w:lineRule="exact"/>
        <w:rPr>
          <w:rFonts w:ascii="Courier New" w:cs="Courier New" w:eastAsia="Courier New" w:hAnsi="Courier New"/>
          <w:sz w:val="18"/>
          <w:szCs w:val="18"/>
          <w:color w:val="auto"/>
        </w:rPr>
      </w:pPr>
    </w:p>
    <w:p>
      <w:pPr>
        <w:ind w:left="2120" w:hanging="637"/>
        <w:spacing w:after="0"/>
        <w:tabs>
          <w:tab w:leader="none" w:pos="2120" w:val="left"/>
        </w:tabs>
        <w:numPr>
          <w:ilvl w:val="1"/>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w:t>
      </w:r>
    </w:p>
    <w:p>
      <w:pPr>
        <w:spacing w:after="0" w:line="4" w:lineRule="exact"/>
        <w:rPr>
          <w:rFonts w:ascii="Courier New" w:cs="Courier New" w:eastAsia="Courier New" w:hAnsi="Courier New"/>
          <w:sz w:val="18"/>
          <w:szCs w:val="18"/>
          <w:color w:val="auto"/>
        </w:rPr>
      </w:pPr>
    </w:p>
    <w:p>
      <w:pPr>
        <w:ind w:left="212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See the response(s) to Item 7 on the attached cover page(s).</w:t>
      </w:r>
    </w:p>
    <w:p>
      <w:pPr>
        <w:spacing w:after="0" w:line="218" w:lineRule="exact"/>
        <w:rPr>
          <w:rFonts w:ascii="Courier New" w:cs="Courier New" w:eastAsia="Courier New" w:hAnsi="Courier New"/>
          <w:sz w:val="18"/>
          <w:szCs w:val="18"/>
          <w:color w:val="auto"/>
        </w:rPr>
      </w:pPr>
    </w:p>
    <w:p>
      <w:pPr>
        <w:ind w:left="2120" w:hanging="637"/>
        <w:spacing w:after="0"/>
        <w:tabs>
          <w:tab w:leader="none" w:pos="2120" w:val="left"/>
        </w:tabs>
        <w:numPr>
          <w:ilvl w:val="1"/>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w:t>
      </w:r>
    </w:p>
    <w:p>
      <w:pPr>
        <w:spacing w:after="0" w:line="4" w:lineRule="exact"/>
        <w:rPr>
          <w:rFonts w:ascii="Courier New" w:cs="Courier New" w:eastAsia="Courier New" w:hAnsi="Courier New"/>
          <w:sz w:val="18"/>
          <w:szCs w:val="18"/>
          <w:color w:val="auto"/>
        </w:rPr>
      </w:pPr>
    </w:p>
    <w:p>
      <w:pPr>
        <w:ind w:left="212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See the response(s) to Item 8 on the attached cover page(s).</w:t>
      </w:r>
    </w:p>
    <w:p>
      <w:pPr>
        <w:spacing w:after="0" w:line="218"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Five Percent or Less of a Class.</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Ownership of More Than Five Percent on Behalf of Another Person.</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left="1160" w:right="2099" w:hanging="1158"/>
        <w:spacing w:after="0" w:line="290" w:lineRule="auto"/>
        <w:tabs>
          <w:tab w:leader="none" w:pos="11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Identification and Classification of the Subsidiary which Acquired the Security Being Reported on By the Parent Holding Company.</w:t>
      </w:r>
    </w:p>
    <w:p>
      <w:pPr>
        <w:spacing w:after="0" w:line="164"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See Exhibit 99.2</w:t>
      </w:r>
    </w:p>
    <w:p>
      <w:pPr>
        <w:spacing w:after="0" w:line="201"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By signing below I certify that, to the best of my knowledge and</w:t>
      </w:r>
    </w:p>
    <w:p>
      <w:pPr>
        <w:ind w:left="1160"/>
        <w:spacing w:after="0" w:line="238" w:lineRule="auto"/>
        <w:rPr>
          <w:sz w:val="20"/>
          <w:szCs w:val="20"/>
          <w:color w:val="auto"/>
        </w:rPr>
      </w:pPr>
      <w:r>
        <w:rPr>
          <w:rFonts w:ascii="Courier New" w:cs="Courier New" w:eastAsia="Courier New" w:hAnsi="Courier New"/>
          <w:sz w:val="18"/>
          <w:szCs w:val="18"/>
          <w:color w:val="auto"/>
        </w:rPr>
        <w:t>belief, the securities referred to above were not acquired and</w:t>
      </w:r>
    </w:p>
    <w:p>
      <w:pPr>
        <w:ind w:left="1160"/>
        <w:spacing w:after="0"/>
        <w:rPr>
          <w:sz w:val="20"/>
          <w:szCs w:val="20"/>
          <w:color w:val="auto"/>
        </w:rPr>
      </w:pPr>
      <w:r>
        <w:rPr>
          <w:rFonts w:ascii="Courier New" w:cs="Courier New" w:eastAsia="Courier New" w:hAnsi="Courier New"/>
          <w:sz w:val="18"/>
          <w:szCs w:val="18"/>
          <w:color w:val="auto"/>
        </w:rPr>
        <w:t>are not held for the purpose of or with the effect of changing or</w:t>
      </w:r>
    </w:p>
    <w:p>
      <w:pPr>
        <w:ind w:left="1160"/>
        <w:spacing w:after="0" w:line="237" w:lineRule="auto"/>
        <w:rPr>
          <w:sz w:val="20"/>
          <w:szCs w:val="20"/>
          <w:color w:val="auto"/>
        </w:rPr>
      </w:pPr>
      <w:r>
        <w:rPr>
          <w:rFonts w:ascii="Courier New" w:cs="Courier New" w:eastAsia="Courier New" w:hAnsi="Courier New"/>
          <w:sz w:val="18"/>
          <w:szCs w:val="18"/>
          <w:color w:val="auto"/>
        </w:rPr>
        <w:t>influencing the control of the issuer of the securities and were</w:t>
      </w:r>
    </w:p>
    <w:p>
      <w:pPr>
        <w:spacing w:after="0" w:line="5" w:lineRule="exact"/>
        <w:rPr>
          <w:sz w:val="20"/>
          <w:szCs w:val="20"/>
          <w:color w:val="auto"/>
        </w:rPr>
      </w:pPr>
    </w:p>
    <w:p>
      <w:pPr>
        <w:ind w:left="1160"/>
        <w:spacing w:after="0"/>
        <w:rPr>
          <w:sz w:val="20"/>
          <w:szCs w:val="20"/>
          <w:color w:val="auto"/>
        </w:rPr>
      </w:pPr>
      <w:r>
        <w:rPr>
          <w:rFonts w:ascii="Courier New" w:cs="Courier New" w:eastAsia="Courier New" w:hAnsi="Courier New"/>
          <w:sz w:val="16"/>
          <w:szCs w:val="16"/>
          <w:color w:val="auto"/>
        </w:rPr>
        <w:t>not acquired and are not held in connection with or as a participant</w:t>
      </w:r>
    </w:p>
    <w:p>
      <w:pPr>
        <w:spacing w:after="0" w:line="16"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in any transaction having that purpose or effect.</w:t>
      </w:r>
    </w:p>
    <w:p>
      <w:pPr>
        <w:spacing w:after="0" w:line="201" w:lineRule="exact"/>
        <w:rPr>
          <w:sz w:val="20"/>
          <w:szCs w:val="20"/>
          <w:color w:val="auto"/>
        </w:rPr>
      </w:pPr>
    </w:p>
    <w:p>
      <w:pPr>
        <w:ind w:left="320" w:hanging="312"/>
        <w:spacing w:after="0"/>
        <w:tabs>
          <w:tab w:leader="none" w:pos="32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Accordance with the Securities and Exchange Commission Release</w:t>
      </w:r>
    </w:p>
    <w:p>
      <w:pPr>
        <w:spacing w:after="0" w:line="4"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No. 34-39538 (January 12, 1998) (the "Release"), this filing reflects the securities beneficially owned, or that may be deemed to be beneficially owned, by certain operating units (collectively, the "MS Reporting Units") of Morgan Stanley and its subsidiaries and affiliates (collectively, "MS"). This filing does not reflect securities, if any, beneficially owned by any operating units of MS whose ownership of securities is disaggregated from that of the MS Reporting Units in accordance with the Release.</w:t>
      </w:r>
    </w:p>
    <w:p>
      <w:pPr>
        <w:sectPr>
          <w:pgSz w:w="11900" w:h="16838" w:orient="portrait"/>
          <w:cols w:equalWidth="0" w:num="1">
            <w:col w:w="10219"/>
          </w:cols>
          <w:pgMar w:left="240" w:top="717" w:right="1440" w:bottom="1440" w:gutter="0" w:footer="0" w:header="0"/>
        </w:sectPr>
      </w:pPr>
    </w:p>
    <w:bookmarkStart w:id="5" w:name="page6"/>
    <w:bookmarkEnd w:id="5"/>
    <w:p>
      <w:pPr>
        <w:spacing w:after="0"/>
        <w:tabs>
          <w:tab w:leader="none" w:pos="3780" w:val="left"/>
          <w:tab w:leader="none" w:pos="6520" w:val="left"/>
        </w:tabs>
        <w:rPr>
          <w:sz w:val="20"/>
          <w:szCs w:val="20"/>
          <w:color w:val="auto"/>
        </w:rPr>
      </w:pPr>
      <w:r>
        <w:rPr>
          <w:rFonts w:ascii="Courier New" w:cs="Courier New" w:eastAsia="Courier New" w:hAnsi="Courier New"/>
          <w:sz w:val="18"/>
          <w:szCs w:val="18"/>
          <w:color w:val="auto"/>
        </w:rPr>
        <w:t>CUSIP No. 92763W103</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6 of 8 Pages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Signature</w:t>
      </w:r>
    </w:p>
    <w:p>
      <w:pPr>
        <w:spacing w:after="0" w:line="200" w:lineRule="exact"/>
        <w:rPr>
          <w:sz w:val="20"/>
          <w:szCs w:val="20"/>
          <w:color w:val="auto"/>
        </w:rPr>
      </w:pPr>
    </w:p>
    <w:p>
      <w:pPr>
        <w:spacing w:after="0" w:line="209" w:lineRule="exact"/>
        <w:rPr>
          <w:sz w:val="20"/>
          <w:szCs w:val="20"/>
          <w:color w:val="auto"/>
        </w:rPr>
      </w:pPr>
    </w:p>
    <w:p>
      <w:pPr>
        <w:ind w:right="1879"/>
        <w:spacing w:after="0" w:line="290" w:lineRule="auto"/>
        <w:rPr>
          <w:sz w:val="20"/>
          <w:szCs w:val="20"/>
          <w:color w:val="auto"/>
        </w:rPr>
      </w:pPr>
      <w:r>
        <w:rPr>
          <w:rFonts w:ascii="Courier New" w:cs="Courier New" w:eastAsia="Courier New" w:hAnsi="Courier New"/>
          <w:sz w:val="16"/>
          <w:szCs w:val="16"/>
          <w:color w:val="auto"/>
        </w:rPr>
        <w:t>After reasonable inquiry and to the best of my knowledge and belief, I certify that the information set forth in this statement is true, complete and correct.</w:t>
      </w: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220" w:type="dxa"/>
            <w:vAlign w:val="bottom"/>
          </w:tcPr>
          <w:p>
            <w:pPr>
              <w:spacing w:after="0"/>
              <w:rPr>
                <w:sz w:val="20"/>
                <w:szCs w:val="20"/>
                <w:color w:val="auto"/>
              </w:rPr>
            </w:pPr>
            <w:r>
              <w:rPr>
                <w:rFonts w:ascii="Courier New" w:cs="Courier New" w:eastAsia="Courier New" w:hAnsi="Courier New"/>
                <w:sz w:val="18"/>
                <w:szCs w:val="18"/>
                <w:color w:val="auto"/>
              </w:rPr>
              <w:t>Date:</w:t>
            </w:r>
          </w:p>
        </w:tc>
        <w:tc>
          <w:tcPr>
            <w:tcW w:w="5840" w:type="dxa"/>
            <w:vAlign w:val="bottom"/>
          </w:tcPr>
          <w:p>
            <w:pPr>
              <w:ind w:left="60"/>
              <w:spacing w:after="0"/>
              <w:rPr>
                <w:sz w:val="20"/>
                <w:szCs w:val="20"/>
                <w:color w:val="auto"/>
              </w:rPr>
            </w:pPr>
            <w:r>
              <w:rPr>
                <w:rFonts w:ascii="Courier New" w:cs="Courier New" w:eastAsia="Courier New" w:hAnsi="Courier New"/>
                <w:sz w:val="18"/>
                <w:szCs w:val="18"/>
                <w:color w:val="auto"/>
              </w:rPr>
              <w:t>February 13, 2017</w:t>
            </w:r>
          </w:p>
        </w:tc>
        <w:tc>
          <w:tcPr>
            <w:tcW w:w="1380" w:type="dxa"/>
            <w:vAlign w:val="bottom"/>
          </w:tcPr>
          <w:p>
            <w:pPr>
              <w:spacing w:after="0"/>
              <w:rPr>
                <w:sz w:val="17"/>
                <w:szCs w:val="17"/>
                <w:color w:val="auto"/>
              </w:rPr>
            </w:pPr>
          </w:p>
        </w:tc>
      </w:tr>
      <w:tr>
        <w:trPr>
          <w:trHeight w:val="405"/>
        </w:trPr>
        <w:tc>
          <w:tcPr>
            <w:tcW w:w="1220" w:type="dxa"/>
            <w:vAlign w:val="bottom"/>
          </w:tcPr>
          <w:p>
            <w:pPr>
              <w:spacing w:after="0"/>
              <w:rPr>
                <w:sz w:val="20"/>
                <w:szCs w:val="20"/>
                <w:color w:val="auto"/>
              </w:rPr>
            </w:pPr>
            <w:r>
              <w:rPr>
                <w:rFonts w:ascii="Courier New" w:cs="Courier New" w:eastAsia="Courier New" w:hAnsi="Courier New"/>
                <w:sz w:val="18"/>
                <w:szCs w:val="18"/>
                <w:color w:val="auto"/>
              </w:rPr>
              <w:t>Signature:</w:t>
            </w:r>
          </w:p>
        </w:tc>
        <w:tc>
          <w:tcPr>
            <w:tcW w:w="5840" w:type="dxa"/>
            <w:vAlign w:val="bottom"/>
          </w:tcPr>
          <w:p>
            <w:pPr>
              <w:ind w:left="60"/>
              <w:spacing w:after="0"/>
              <w:rPr>
                <w:sz w:val="20"/>
                <w:szCs w:val="20"/>
                <w:color w:val="auto"/>
              </w:rPr>
            </w:pPr>
            <w:r>
              <w:rPr>
                <w:rFonts w:ascii="Courier New" w:cs="Courier New" w:eastAsia="Courier New" w:hAnsi="Courier New"/>
                <w:sz w:val="18"/>
                <w:szCs w:val="18"/>
                <w:color w:val="auto"/>
              </w:rPr>
              <w:t>/s/ Cesar Coy</w:t>
            </w:r>
          </w:p>
        </w:tc>
        <w:tc>
          <w:tcPr>
            <w:tcW w:w="1380" w:type="dxa"/>
            <w:vAlign w:val="bottom"/>
          </w:tcPr>
          <w:p>
            <w:pPr>
              <w:spacing w:after="0"/>
              <w:rPr>
                <w:sz w:val="24"/>
                <w:szCs w:val="24"/>
                <w:color w:val="auto"/>
              </w:rPr>
            </w:pPr>
          </w:p>
        </w:tc>
      </w:tr>
      <w:tr>
        <w:trPr>
          <w:trHeight w:val="203"/>
        </w:trPr>
        <w:tc>
          <w:tcPr>
            <w:tcW w:w="1220" w:type="dxa"/>
            <w:vAlign w:val="bottom"/>
          </w:tcPr>
          <w:p>
            <w:pPr>
              <w:spacing w:after="0"/>
              <w:rPr>
                <w:sz w:val="17"/>
                <w:szCs w:val="17"/>
                <w:color w:val="auto"/>
              </w:rPr>
            </w:pPr>
          </w:p>
        </w:tc>
        <w:tc>
          <w:tcPr>
            <w:tcW w:w="72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8"/>
              </w:rPr>
              <w:t>--------------------------------------------------------------------</w:t>
            </w:r>
          </w:p>
        </w:tc>
      </w:tr>
      <w:tr>
        <w:trPr>
          <w:trHeight w:val="405"/>
        </w:trPr>
        <w:tc>
          <w:tcPr>
            <w:tcW w:w="7060" w:type="dxa"/>
            <w:vAlign w:val="bottom"/>
            <w:gridSpan w:val="2"/>
          </w:tcPr>
          <w:p>
            <w:pPr>
              <w:spacing w:after="0"/>
              <w:rPr>
                <w:sz w:val="20"/>
                <w:szCs w:val="20"/>
                <w:color w:val="auto"/>
              </w:rPr>
            </w:pPr>
            <w:r>
              <w:rPr>
                <w:rFonts w:ascii="Courier New" w:cs="Courier New" w:eastAsia="Courier New" w:hAnsi="Courier New"/>
                <w:sz w:val="18"/>
                <w:szCs w:val="18"/>
                <w:color w:val="auto"/>
              </w:rPr>
              <w:t>Name/Title: Cesar Coy/Authorized Signatory, Morgan Stanley</w:t>
            </w:r>
          </w:p>
        </w:tc>
        <w:tc>
          <w:tcPr>
            <w:tcW w:w="1380" w:type="dxa"/>
            <w:vAlign w:val="bottom"/>
          </w:tcPr>
          <w:p>
            <w:pPr>
              <w:spacing w:after="0"/>
              <w:rPr>
                <w:sz w:val="24"/>
                <w:szCs w:val="24"/>
                <w:color w:val="auto"/>
              </w:rPr>
            </w:pPr>
          </w:p>
        </w:tc>
      </w:tr>
      <w:tr>
        <w:trPr>
          <w:trHeight w:val="203"/>
        </w:trPr>
        <w:tc>
          <w:tcPr>
            <w:tcW w:w="1220" w:type="dxa"/>
            <w:vAlign w:val="bottom"/>
          </w:tcPr>
          <w:p>
            <w:pPr>
              <w:spacing w:after="0"/>
              <w:rPr>
                <w:sz w:val="17"/>
                <w:szCs w:val="17"/>
                <w:color w:val="auto"/>
              </w:rPr>
            </w:pPr>
          </w:p>
        </w:tc>
        <w:tc>
          <w:tcPr>
            <w:tcW w:w="72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8"/>
              </w:rPr>
              <w:t>--------------------------------------------------------------------</w:t>
            </w:r>
          </w:p>
        </w:tc>
      </w:tr>
      <w:tr>
        <w:trPr>
          <w:trHeight w:val="203"/>
        </w:trPr>
        <w:tc>
          <w:tcPr>
            <w:tcW w:w="1220" w:type="dxa"/>
            <w:vAlign w:val="bottom"/>
          </w:tcPr>
          <w:p>
            <w:pPr>
              <w:spacing w:after="0"/>
              <w:rPr>
                <w:sz w:val="17"/>
                <w:szCs w:val="17"/>
                <w:color w:val="auto"/>
              </w:rPr>
            </w:pPr>
          </w:p>
        </w:tc>
        <w:tc>
          <w:tcPr>
            <w:tcW w:w="5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MORGAN STANLEY</w:t>
            </w:r>
          </w:p>
        </w:tc>
        <w:tc>
          <w:tcPr>
            <w:tcW w:w="1380" w:type="dxa"/>
            <w:vAlign w:val="bottom"/>
          </w:tcPr>
          <w:p>
            <w:pPr>
              <w:spacing w:after="0"/>
              <w:rPr>
                <w:sz w:val="17"/>
                <w:szCs w:val="17"/>
                <w:color w:val="auto"/>
              </w:rPr>
            </w:pPr>
          </w:p>
        </w:tc>
      </w:tr>
      <w:tr>
        <w:trPr>
          <w:trHeight w:val="608"/>
        </w:trPr>
        <w:tc>
          <w:tcPr>
            <w:tcW w:w="1220" w:type="dxa"/>
            <w:vAlign w:val="bottom"/>
          </w:tcPr>
          <w:p>
            <w:pPr>
              <w:ind w:left="120"/>
              <w:spacing w:after="0"/>
              <w:rPr>
                <w:sz w:val="20"/>
                <w:szCs w:val="20"/>
                <w:color w:val="auto"/>
              </w:rPr>
            </w:pPr>
            <w:r>
              <w:rPr>
                <w:rFonts w:ascii="Courier New" w:cs="Courier New" w:eastAsia="Courier New" w:hAnsi="Courier New"/>
                <w:sz w:val="18"/>
                <w:szCs w:val="18"/>
                <w:color w:val="auto"/>
              </w:rPr>
              <w:t>Date:</w:t>
            </w:r>
          </w:p>
        </w:tc>
        <w:tc>
          <w:tcPr>
            <w:tcW w:w="5840" w:type="dxa"/>
            <w:vAlign w:val="bottom"/>
          </w:tcPr>
          <w:p>
            <w:pPr>
              <w:ind w:left="160"/>
              <w:spacing w:after="0"/>
              <w:rPr>
                <w:sz w:val="20"/>
                <w:szCs w:val="20"/>
                <w:color w:val="auto"/>
              </w:rPr>
            </w:pPr>
            <w:r>
              <w:rPr>
                <w:rFonts w:ascii="Courier New" w:cs="Courier New" w:eastAsia="Courier New" w:hAnsi="Courier New"/>
                <w:sz w:val="18"/>
                <w:szCs w:val="18"/>
                <w:color w:val="auto"/>
              </w:rPr>
              <w:t>February 13, 2017</w:t>
            </w:r>
          </w:p>
        </w:tc>
        <w:tc>
          <w:tcPr>
            <w:tcW w:w="1380" w:type="dxa"/>
            <w:vAlign w:val="bottom"/>
          </w:tcPr>
          <w:p>
            <w:pPr>
              <w:spacing w:after="0"/>
              <w:rPr>
                <w:sz w:val="24"/>
                <w:szCs w:val="24"/>
                <w:color w:val="auto"/>
              </w:rPr>
            </w:pPr>
          </w:p>
        </w:tc>
      </w:tr>
      <w:tr>
        <w:trPr>
          <w:trHeight w:val="405"/>
        </w:trPr>
        <w:tc>
          <w:tcPr>
            <w:tcW w:w="1220" w:type="dxa"/>
            <w:vAlign w:val="bottom"/>
          </w:tcPr>
          <w:p>
            <w:pPr>
              <w:spacing w:after="0"/>
              <w:rPr>
                <w:sz w:val="20"/>
                <w:szCs w:val="20"/>
                <w:color w:val="auto"/>
              </w:rPr>
            </w:pPr>
            <w:r>
              <w:rPr>
                <w:rFonts w:ascii="Courier New" w:cs="Courier New" w:eastAsia="Courier New" w:hAnsi="Courier New"/>
                <w:sz w:val="18"/>
                <w:szCs w:val="18"/>
                <w:color w:val="auto"/>
              </w:rPr>
              <w:t>Signature:</w:t>
            </w:r>
          </w:p>
        </w:tc>
        <w:tc>
          <w:tcPr>
            <w:tcW w:w="5840" w:type="dxa"/>
            <w:vAlign w:val="bottom"/>
          </w:tcPr>
          <w:p>
            <w:pPr>
              <w:ind w:left="60"/>
              <w:spacing w:after="0"/>
              <w:rPr>
                <w:sz w:val="20"/>
                <w:szCs w:val="20"/>
                <w:color w:val="auto"/>
              </w:rPr>
            </w:pPr>
            <w:r>
              <w:rPr>
                <w:rFonts w:ascii="Courier New" w:cs="Courier New" w:eastAsia="Courier New" w:hAnsi="Courier New"/>
                <w:sz w:val="18"/>
                <w:szCs w:val="18"/>
                <w:color w:val="auto"/>
              </w:rPr>
              <w:t>/s/ Christina Huffman</w:t>
            </w:r>
          </w:p>
        </w:tc>
        <w:tc>
          <w:tcPr>
            <w:tcW w:w="1380" w:type="dxa"/>
            <w:vAlign w:val="bottom"/>
          </w:tcPr>
          <w:p>
            <w:pPr>
              <w:spacing w:after="0"/>
              <w:rPr>
                <w:sz w:val="24"/>
                <w:szCs w:val="24"/>
                <w:color w:val="auto"/>
              </w:rPr>
            </w:pPr>
          </w:p>
        </w:tc>
      </w:tr>
      <w:tr>
        <w:trPr>
          <w:trHeight w:val="203"/>
        </w:trPr>
        <w:tc>
          <w:tcPr>
            <w:tcW w:w="1220" w:type="dxa"/>
            <w:vAlign w:val="bottom"/>
          </w:tcPr>
          <w:p>
            <w:pPr>
              <w:spacing w:after="0"/>
              <w:rPr>
                <w:sz w:val="17"/>
                <w:szCs w:val="17"/>
                <w:color w:val="auto"/>
              </w:rPr>
            </w:pPr>
          </w:p>
        </w:tc>
        <w:tc>
          <w:tcPr>
            <w:tcW w:w="72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8"/>
              </w:rPr>
              <w:t>--------------------------------------------------------------------</w:t>
            </w:r>
          </w:p>
        </w:tc>
      </w:tr>
      <w:tr>
        <w:trPr>
          <w:trHeight w:val="405"/>
        </w:trPr>
        <w:tc>
          <w:tcPr>
            <w:tcW w:w="7060" w:type="dxa"/>
            <w:vAlign w:val="bottom"/>
            <w:gridSpan w:val="2"/>
          </w:tcPr>
          <w:p>
            <w:pPr>
              <w:spacing w:after="0"/>
              <w:rPr>
                <w:sz w:val="20"/>
                <w:szCs w:val="20"/>
                <w:color w:val="auto"/>
              </w:rPr>
            </w:pPr>
            <w:r>
              <w:rPr>
                <w:rFonts w:ascii="Courier New" w:cs="Courier New" w:eastAsia="Courier New" w:hAnsi="Courier New"/>
                <w:sz w:val="18"/>
                <w:szCs w:val="18"/>
                <w:color w:val="auto"/>
              </w:rPr>
              <w:t>Name/Title: Christina Huffman/Authorized Signatory,</w:t>
            </w:r>
          </w:p>
        </w:tc>
        <w:tc>
          <w:tcPr>
            <w:tcW w:w="1380" w:type="dxa"/>
            <w:vAlign w:val="bottom"/>
          </w:tcPr>
          <w:p>
            <w:pPr>
              <w:spacing w:after="0"/>
              <w:rPr>
                <w:sz w:val="24"/>
                <w:szCs w:val="24"/>
                <w:color w:val="auto"/>
              </w:rPr>
            </w:pPr>
          </w:p>
        </w:tc>
      </w:tr>
      <w:tr>
        <w:trPr>
          <w:trHeight w:val="203"/>
        </w:trPr>
        <w:tc>
          <w:tcPr>
            <w:tcW w:w="1220" w:type="dxa"/>
            <w:vAlign w:val="bottom"/>
          </w:tcPr>
          <w:p>
            <w:pPr>
              <w:spacing w:after="0"/>
              <w:rPr>
                <w:sz w:val="17"/>
                <w:szCs w:val="17"/>
                <w:color w:val="auto"/>
              </w:rPr>
            </w:pPr>
          </w:p>
        </w:tc>
        <w:tc>
          <w:tcPr>
            <w:tcW w:w="5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Morgan Stanley Capital Services LLC</w:t>
            </w:r>
          </w:p>
        </w:tc>
        <w:tc>
          <w:tcPr>
            <w:tcW w:w="1380" w:type="dxa"/>
            <w:vAlign w:val="bottom"/>
          </w:tcPr>
          <w:p>
            <w:pPr>
              <w:spacing w:after="0"/>
              <w:rPr>
                <w:sz w:val="17"/>
                <w:szCs w:val="17"/>
                <w:color w:val="auto"/>
              </w:rPr>
            </w:pPr>
          </w:p>
        </w:tc>
      </w:tr>
      <w:tr>
        <w:trPr>
          <w:trHeight w:val="203"/>
        </w:trPr>
        <w:tc>
          <w:tcPr>
            <w:tcW w:w="1220" w:type="dxa"/>
            <w:vAlign w:val="bottom"/>
          </w:tcPr>
          <w:p>
            <w:pPr>
              <w:spacing w:after="0"/>
              <w:rPr>
                <w:sz w:val="17"/>
                <w:szCs w:val="17"/>
                <w:color w:val="auto"/>
              </w:rPr>
            </w:pPr>
          </w:p>
        </w:tc>
        <w:tc>
          <w:tcPr>
            <w:tcW w:w="72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8"/>
              </w:rPr>
              <w:t>--------------------------------------------------------------------</w:t>
            </w:r>
          </w:p>
        </w:tc>
      </w:tr>
      <w:tr>
        <w:trPr>
          <w:trHeight w:val="203"/>
        </w:trPr>
        <w:tc>
          <w:tcPr>
            <w:tcW w:w="1220" w:type="dxa"/>
            <w:vAlign w:val="bottom"/>
          </w:tcPr>
          <w:p>
            <w:pPr>
              <w:spacing w:after="0"/>
              <w:rPr>
                <w:sz w:val="17"/>
                <w:szCs w:val="17"/>
                <w:color w:val="auto"/>
              </w:rPr>
            </w:pPr>
          </w:p>
        </w:tc>
        <w:tc>
          <w:tcPr>
            <w:tcW w:w="5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Morgan Stanley Capital Services LLC</w:t>
            </w:r>
          </w:p>
        </w:tc>
        <w:tc>
          <w:tcPr>
            <w:tcW w:w="1380" w:type="dxa"/>
            <w:vAlign w:val="bottom"/>
          </w:tcPr>
          <w:p>
            <w:pPr>
              <w:spacing w:after="0"/>
              <w:rPr>
                <w:sz w:val="17"/>
                <w:szCs w:val="17"/>
                <w:color w:val="auto"/>
              </w:rPr>
            </w:pPr>
          </w:p>
        </w:tc>
      </w:tr>
      <w:tr>
        <w:trPr>
          <w:trHeight w:val="810"/>
        </w:trPr>
        <w:tc>
          <w:tcPr>
            <w:tcW w:w="1220" w:type="dxa"/>
            <w:vAlign w:val="bottom"/>
          </w:tcPr>
          <w:p>
            <w:pPr>
              <w:spacing w:after="0"/>
              <w:rPr>
                <w:sz w:val="20"/>
                <w:szCs w:val="20"/>
                <w:color w:val="auto"/>
              </w:rPr>
            </w:pPr>
            <w:r>
              <w:rPr>
                <w:rFonts w:ascii="Courier New" w:cs="Courier New" w:eastAsia="Courier New" w:hAnsi="Courier New"/>
                <w:sz w:val="18"/>
                <w:szCs w:val="18"/>
                <w:color w:val="auto"/>
              </w:rPr>
              <w:t>EXHIBIT NO.</w:t>
            </w:r>
          </w:p>
        </w:tc>
        <w:tc>
          <w:tcPr>
            <w:tcW w:w="5840" w:type="dxa"/>
            <w:vAlign w:val="bottom"/>
          </w:tcPr>
          <w:p>
            <w:pPr>
              <w:ind w:left="2580"/>
              <w:spacing w:after="0"/>
              <w:rPr>
                <w:sz w:val="20"/>
                <w:szCs w:val="20"/>
                <w:color w:val="auto"/>
              </w:rPr>
            </w:pPr>
            <w:r>
              <w:rPr>
                <w:rFonts w:ascii="Courier New" w:cs="Courier New" w:eastAsia="Courier New" w:hAnsi="Courier New"/>
                <w:sz w:val="18"/>
                <w:szCs w:val="18"/>
                <w:color w:val="auto"/>
              </w:rPr>
              <w:t>EXHIBITS</w:t>
            </w:r>
          </w:p>
        </w:tc>
        <w:tc>
          <w:tcPr>
            <w:tcW w:w="1380" w:type="dxa"/>
            <w:vAlign w:val="bottom"/>
          </w:tcPr>
          <w:p>
            <w:pPr>
              <w:jc w:val="right"/>
              <w:spacing w:after="0"/>
              <w:rPr>
                <w:sz w:val="20"/>
                <w:szCs w:val="20"/>
                <w:color w:val="auto"/>
              </w:rPr>
            </w:pPr>
            <w:r>
              <w:rPr>
                <w:rFonts w:ascii="Courier New" w:cs="Courier New" w:eastAsia="Courier New" w:hAnsi="Courier New"/>
                <w:sz w:val="18"/>
                <w:szCs w:val="18"/>
                <w:color w:val="auto"/>
              </w:rPr>
              <w:t>PAGE</w:t>
            </w:r>
          </w:p>
        </w:tc>
      </w:tr>
      <w:tr>
        <w:trPr>
          <w:trHeight w:val="203"/>
        </w:trPr>
        <w:tc>
          <w:tcPr>
            <w:tcW w:w="122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5840" w:type="dxa"/>
            <w:vAlign w:val="bottom"/>
          </w:tcPr>
          <w:p>
            <w:pPr>
              <w:ind w:left="2480"/>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1220" w:type="dxa"/>
            <w:vAlign w:val="bottom"/>
          </w:tcPr>
          <w:p>
            <w:pPr>
              <w:ind w:left="320"/>
              <w:spacing w:after="0"/>
              <w:rPr>
                <w:sz w:val="20"/>
                <w:szCs w:val="20"/>
                <w:color w:val="auto"/>
              </w:rPr>
            </w:pPr>
            <w:r>
              <w:rPr>
                <w:rFonts w:ascii="Courier New" w:cs="Courier New" w:eastAsia="Courier New" w:hAnsi="Courier New"/>
                <w:sz w:val="18"/>
                <w:szCs w:val="18"/>
                <w:color w:val="auto"/>
              </w:rPr>
              <w:t>99.1</w:t>
            </w:r>
          </w:p>
        </w:tc>
        <w:tc>
          <w:tcPr>
            <w:tcW w:w="5840" w:type="dxa"/>
            <w:vAlign w:val="bottom"/>
          </w:tcPr>
          <w:p>
            <w:pPr>
              <w:ind w:left="1940"/>
              <w:spacing w:after="0"/>
              <w:rPr>
                <w:sz w:val="20"/>
                <w:szCs w:val="20"/>
                <w:color w:val="auto"/>
              </w:rPr>
            </w:pPr>
            <w:r>
              <w:rPr>
                <w:rFonts w:ascii="Courier New" w:cs="Courier New" w:eastAsia="Courier New" w:hAnsi="Courier New"/>
                <w:sz w:val="18"/>
                <w:szCs w:val="18"/>
                <w:color w:val="auto"/>
              </w:rPr>
              <w:t>Joint Filing Agreement</w:t>
            </w:r>
          </w:p>
        </w:tc>
        <w:tc>
          <w:tcPr>
            <w:tcW w:w="13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7</w:t>
            </w:r>
          </w:p>
        </w:tc>
      </w:tr>
      <w:tr>
        <w:trPr>
          <w:trHeight w:val="405"/>
        </w:trPr>
        <w:tc>
          <w:tcPr>
            <w:tcW w:w="1220" w:type="dxa"/>
            <w:vAlign w:val="bottom"/>
          </w:tcPr>
          <w:p>
            <w:pPr>
              <w:ind w:left="320"/>
              <w:spacing w:after="0"/>
              <w:rPr>
                <w:sz w:val="20"/>
                <w:szCs w:val="20"/>
                <w:color w:val="auto"/>
              </w:rPr>
            </w:pPr>
            <w:r>
              <w:rPr>
                <w:rFonts w:ascii="Courier New" w:cs="Courier New" w:eastAsia="Courier New" w:hAnsi="Courier New"/>
                <w:sz w:val="18"/>
                <w:szCs w:val="18"/>
                <w:color w:val="auto"/>
              </w:rPr>
              <w:t>99.2</w:t>
            </w:r>
          </w:p>
        </w:tc>
        <w:tc>
          <w:tcPr>
            <w:tcW w:w="5840" w:type="dxa"/>
            <w:vAlign w:val="bottom"/>
          </w:tcPr>
          <w:p>
            <w:pPr>
              <w:ind w:left="1940"/>
              <w:spacing w:after="0"/>
              <w:rPr>
                <w:sz w:val="20"/>
                <w:szCs w:val="20"/>
                <w:color w:val="auto"/>
              </w:rPr>
            </w:pPr>
            <w:r>
              <w:rPr>
                <w:rFonts w:ascii="Courier New" w:cs="Courier New" w:eastAsia="Courier New" w:hAnsi="Courier New"/>
                <w:sz w:val="18"/>
                <w:szCs w:val="18"/>
                <w:color w:val="auto"/>
              </w:rPr>
              <w:t>Item 7 Information</w:t>
            </w:r>
          </w:p>
        </w:tc>
        <w:tc>
          <w:tcPr>
            <w:tcW w:w="13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8</w:t>
            </w:r>
          </w:p>
        </w:tc>
      </w:tr>
    </w:tbl>
    <w:p>
      <w:pPr>
        <w:spacing w:after="0" w:line="207" w:lineRule="exact"/>
        <w:rPr>
          <w:sz w:val="20"/>
          <w:szCs w:val="20"/>
          <w:color w:val="auto"/>
        </w:rPr>
      </w:pPr>
    </w:p>
    <w:p>
      <w:pPr>
        <w:ind w:right="1879" w:firstLine="8"/>
        <w:spacing w:after="0" w:line="235" w:lineRule="auto"/>
        <w:tabs>
          <w:tab w:leader="none" w:pos="316"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ectPr>
          <w:pgSz w:w="11900" w:h="16838" w:orient="portrait"/>
          <w:cols w:equalWidth="0" w:num="1">
            <w:col w:w="10219"/>
          </w:cols>
          <w:pgMar w:left="240" w:top="717" w:right="1440" w:bottom="1440" w:gutter="0" w:footer="0" w:header="0"/>
        </w:sectPr>
      </w:pPr>
    </w:p>
    <w:bookmarkStart w:id="6" w:name="page7"/>
    <w:bookmarkEnd w:id="6"/>
    <w:p>
      <w:pPr>
        <w:spacing w:after="0"/>
        <w:tabs>
          <w:tab w:leader="none" w:pos="3880" w:val="left"/>
          <w:tab w:leader="none" w:pos="6620" w:val="left"/>
        </w:tabs>
        <w:rPr>
          <w:sz w:val="20"/>
          <w:szCs w:val="20"/>
          <w:color w:val="auto"/>
        </w:rPr>
      </w:pPr>
      <w:r>
        <w:rPr>
          <w:rFonts w:ascii="Courier New" w:cs="Courier New" w:eastAsia="Courier New" w:hAnsi="Courier New"/>
          <w:sz w:val="18"/>
          <w:szCs w:val="18"/>
          <w:color w:val="auto"/>
        </w:rPr>
        <w:t>CUSIP No.92763W103</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7 of 8 Pages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8"/>
          <w:szCs w:val="18"/>
          <w:color w:val="auto"/>
        </w:rPr>
        <w:t>EXHIBIT NO. 99.1 TO SCHEDULE 13G</w:t>
      </w:r>
    </w:p>
    <w:p>
      <w:pPr>
        <w:jc w:val="center"/>
        <w:ind w:right="1999"/>
        <w:spacing w:after="0" w:line="238" w:lineRule="auto"/>
        <w:rPr>
          <w:sz w:val="20"/>
          <w:szCs w:val="20"/>
          <w:color w:val="auto"/>
        </w:rPr>
      </w:pPr>
      <w:r>
        <w:rPr>
          <w:rFonts w:ascii="Courier New" w:cs="Courier New" w:eastAsia="Courier New" w:hAnsi="Courier New"/>
          <w:sz w:val="18"/>
          <w:szCs w:val="18"/>
          <w:color w:val="auto"/>
        </w:rPr>
        <w:t>JOINT FILING AGREEMENT</w:t>
      </w:r>
    </w:p>
    <w:p>
      <w:pPr>
        <w:ind w:left="148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3"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February 13, 2017</w:t>
      </w:r>
    </w:p>
    <w:p>
      <w:pPr>
        <w:ind w:left="148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MORGAN STANLEY and Morgan Stanley Capital Services LLC</w:t>
      </w:r>
    </w:p>
    <w:p>
      <w:pPr>
        <w:spacing w:after="0" w:line="201"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hereby agree that, unless differentiated, this</w:t>
      </w:r>
    </w:p>
    <w:p>
      <w:pPr>
        <w:spacing w:after="0" w:line="201"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Schedule 13G is filed on behalf of each of the parties.</w:t>
      </w:r>
    </w:p>
    <w:p>
      <w:pPr>
        <w:spacing w:after="0" w:line="200" w:lineRule="exact"/>
        <w:rPr>
          <w:sz w:val="20"/>
          <w:szCs w:val="20"/>
          <w:color w:val="auto"/>
        </w:rPr>
      </w:pPr>
    </w:p>
    <w:p>
      <w:pPr>
        <w:spacing w:after="0" w:line="204"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MORGAN STANLEY</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BY: /s/ Cesar Coy</w:t>
      </w:r>
    </w:p>
    <w:p>
      <w:pPr>
        <w:spacing w:after="0" w:line="4" w:lineRule="exact"/>
        <w:rPr>
          <w:sz w:val="20"/>
          <w:szCs w:val="20"/>
          <w:color w:val="auto"/>
        </w:rPr>
      </w:pPr>
    </w:p>
    <w:p>
      <w:pPr>
        <w:ind w:left="116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Cesar Coy/Authorized Signatory, Morgan Stanley</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Morgan Stanley Capital Services LLC</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BY: /s/ Christina Huffman</w:t>
      </w:r>
    </w:p>
    <w:p>
      <w:pPr>
        <w:spacing w:after="0" w:line="4" w:lineRule="exact"/>
        <w:rPr>
          <w:sz w:val="20"/>
          <w:szCs w:val="20"/>
          <w:color w:val="auto"/>
        </w:rPr>
      </w:pPr>
    </w:p>
    <w:p>
      <w:pPr>
        <w:ind w:left="116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Christina Huffman/Authorized Signatory,</w:t>
      </w:r>
    </w:p>
    <w:p>
      <w:pPr>
        <w:ind w:left="1160"/>
        <w:spacing w:after="0" w:line="238" w:lineRule="auto"/>
        <w:rPr>
          <w:sz w:val="20"/>
          <w:szCs w:val="20"/>
          <w:color w:val="auto"/>
        </w:rPr>
      </w:pPr>
      <w:r>
        <w:rPr>
          <w:rFonts w:ascii="Courier New" w:cs="Courier New" w:eastAsia="Courier New" w:hAnsi="Courier New"/>
          <w:sz w:val="18"/>
          <w:szCs w:val="18"/>
          <w:color w:val="auto"/>
        </w:rPr>
        <w:t>Morgan Stanley Capital Services LLC</w:t>
      </w:r>
    </w:p>
    <w:p>
      <w:pPr>
        <w:spacing w:after="0" w:line="200" w:lineRule="exact"/>
        <w:rPr>
          <w:sz w:val="20"/>
          <w:szCs w:val="20"/>
          <w:color w:val="auto"/>
        </w:rPr>
      </w:pPr>
    </w:p>
    <w:p>
      <w:pPr>
        <w:spacing w:after="0" w:line="210" w:lineRule="exact"/>
        <w:rPr>
          <w:sz w:val="20"/>
          <w:szCs w:val="20"/>
          <w:color w:val="auto"/>
        </w:rPr>
      </w:pPr>
    </w:p>
    <w:p>
      <w:pPr>
        <w:ind w:right="1879" w:firstLine="8"/>
        <w:spacing w:after="0" w:line="235" w:lineRule="auto"/>
        <w:tabs>
          <w:tab w:leader="none" w:pos="316"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ectPr>
          <w:pgSz w:w="11900" w:h="16838" w:orient="portrait"/>
          <w:cols w:equalWidth="0" w:num="1">
            <w:col w:w="10219"/>
          </w:cols>
          <w:pgMar w:left="240" w:top="717" w:right="1440" w:bottom="1440" w:gutter="0" w:footer="0" w:header="0"/>
        </w:sectPr>
      </w:pPr>
    </w:p>
    <w:bookmarkStart w:id="7" w:name="page8"/>
    <w:bookmarkEnd w:id="7"/>
    <w:p>
      <w:pPr>
        <w:spacing w:after="0"/>
        <w:tabs>
          <w:tab w:leader="none" w:pos="4000" w:val="left"/>
          <w:tab w:leader="none" w:pos="6620" w:val="left"/>
        </w:tabs>
        <w:rPr>
          <w:sz w:val="20"/>
          <w:szCs w:val="20"/>
          <w:color w:val="auto"/>
        </w:rPr>
      </w:pPr>
      <w:r>
        <w:rPr>
          <w:rFonts w:ascii="Courier New" w:cs="Courier New" w:eastAsia="Courier New" w:hAnsi="Courier New"/>
          <w:sz w:val="18"/>
          <w:szCs w:val="18"/>
          <w:color w:val="auto"/>
        </w:rPr>
        <w:t>CUSIP No.92763W103</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8 of 8 Pages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jc w:val="center"/>
        <w:ind w:right="1559"/>
        <w:spacing w:after="0"/>
        <w:rPr>
          <w:sz w:val="20"/>
          <w:szCs w:val="20"/>
          <w:color w:val="auto"/>
        </w:rPr>
      </w:pPr>
      <w:r>
        <w:rPr>
          <w:rFonts w:ascii="Courier New" w:cs="Courier New" w:eastAsia="Courier New" w:hAnsi="Courier New"/>
          <w:sz w:val="18"/>
          <w:szCs w:val="18"/>
          <w:color w:val="auto"/>
        </w:rPr>
        <w:t>EXHIBIT NO. 99.2</w:t>
      </w:r>
    </w:p>
    <w:p>
      <w:pPr>
        <w:ind w:left="338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ITEM 7 INFORMATION</w:t>
      </w:r>
    </w:p>
    <w:p>
      <w:pPr>
        <w:spacing w:after="0" w:line="200" w:lineRule="exact"/>
        <w:rPr>
          <w:sz w:val="20"/>
          <w:szCs w:val="20"/>
          <w:color w:val="auto"/>
        </w:rPr>
      </w:pPr>
    </w:p>
    <w:p>
      <w:pPr>
        <w:spacing w:after="0" w:line="209" w:lineRule="exact"/>
        <w:rPr>
          <w:sz w:val="20"/>
          <w:szCs w:val="20"/>
          <w:color w:val="auto"/>
        </w:rPr>
      </w:pPr>
    </w:p>
    <w:p>
      <w:pPr>
        <w:ind w:left="540" w:right="2099" w:firstLine="843"/>
        <w:spacing w:after="0" w:line="474" w:lineRule="auto"/>
        <w:rPr>
          <w:sz w:val="20"/>
          <w:szCs w:val="20"/>
          <w:color w:val="auto"/>
        </w:rPr>
      </w:pPr>
      <w:r>
        <w:rPr>
          <w:rFonts w:ascii="Courier New" w:cs="Courier New" w:eastAsia="Courier New" w:hAnsi="Courier New"/>
          <w:sz w:val="18"/>
          <w:szCs w:val="18"/>
          <w:color w:val="auto"/>
        </w:rPr>
        <w:t>The securities being reported on by Morgan Stanley as a parent holding company are owned, or may be deemed to be beneficially owned, by Morgan Stanley Capital Services LLC, a wholly-owned subsidiary of Morgan Stanley.</w:t>
      </w:r>
    </w:p>
    <w:sectPr>
      <w:pgSz w:w="11900" w:h="16838" w:orient="portrait"/>
      <w:cols w:equalWidth="0" w:num="1">
        <w:col w:w="10219"/>
      </w:cols>
      <w:pgMar w:left="240" w:top="71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352255A"/>
    <w:multiLevelType w:val="hybridMultilevel"/>
    <w:lvl w:ilvl="0">
      <w:lvlJc w:val="left"/>
      <w:lvlText w:val="*"/>
      <w:numFmt w:val="bullet"/>
      <w:start w:val="1"/>
    </w:lvl>
    <w:lvl w:ilvl="1">
      <w:lvlJc w:val="left"/>
      <w:lvlText w:val="["/>
      <w:numFmt w:val="bullet"/>
      <w:start w:val="1"/>
    </w:lvl>
  </w:abstractNum>
  <w:abstractNum w:abstractNumId="1">
    <w:nsid w:val="109CF92E"/>
    <w:multiLevelType w:val="hybridMultilevel"/>
    <w:lvl w:ilvl="0">
      <w:lvlJc w:val="left"/>
      <w:lvlText w:val="%1."/>
      <w:numFmt w:val="decimal"/>
      <w:start w:val="1"/>
    </w:lvl>
  </w:abstractNum>
  <w:abstractNum w:abstractNumId="2">
    <w:nsid w:val="DED7263"/>
    <w:multiLevelType w:val="hybridMultilevel"/>
    <w:lvl w:ilvl="0">
      <w:lvlJc w:val="left"/>
      <w:lvlText w:val="%1."/>
      <w:numFmt w:val="decimal"/>
      <w:start w:val="2"/>
    </w:lvl>
    <w:lvl w:ilvl="1">
      <w:lvlJc w:val="left"/>
      <w:lvlText w:val="(%2)"/>
      <w:numFmt w:val="lowerLetter"/>
      <w:start w:val="1"/>
    </w:lvl>
  </w:abstractNum>
  <w:abstractNum w:abstractNumId="3">
    <w:nsid w:val="7FDCC233"/>
    <w:multiLevelType w:val="hybridMultilevel"/>
    <w:lvl w:ilvl="0">
      <w:lvlJc w:val="left"/>
      <w:lvlText w:val="%1."/>
      <w:numFmt w:val="decimal"/>
      <w:start w:val="4"/>
    </w:lvl>
  </w:abstractNum>
  <w:abstractNum w:abstractNumId="4">
    <w:nsid w:val="1BEFD79F"/>
    <w:multiLevelType w:val="hybridMultilevel"/>
    <w:lvl w:ilvl="0">
      <w:lvlJc w:val="left"/>
      <w:lvlText w:val="%1."/>
      <w:numFmt w:val="decimal"/>
      <w:start w:val="9"/>
    </w:lvl>
  </w:abstractNum>
  <w:abstractNum w:abstractNumId="5">
    <w:nsid w:val="41A7C4C9"/>
    <w:multiLevelType w:val="hybridMultilevel"/>
    <w:lvl w:ilvl="0">
      <w:lvlJc w:val="left"/>
      <w:lvlText w:val="%1."/>
      <w:numFmt w:val="decimal"/>
      <w:start w:val="10"/>
    </w:lvl>
  </w:abstractNum>
  <w:abstractNum w:abstractNumId="6">
    <w:nsid w:val="6B68079A"/>
    <w:multiLevelType w:val="hybridMultilevel"/>
    <w:lvl w:ilvl="0">
      <w:lvlJc w:val="left"/>
      <w:lvlText w:val="%1."/>
      <w:numFmt w:val="decimal"/>
      <w:start w:val="11"/>
    </w:lvl>
  </w:abstractNum>
  <w:abstractNum w:abstractNumId="7">
    <w:nsid w:val="4E6AFB66"/>
    <w:multiLevelType w:val="hybridMultilevel"/>
    <w:lvl w:ilvl="0">
      <w:lvlJc w:val="left"/>
      <w:lvlText w:val="%1."/>
      <w:numFmt w:val="decimal"/>
      <w:start w:val="12"/>
    </w:lvl>
  </w:abstractNum>
  <w:abstractNum w:abstractNumId="8">
    <w:nsid w:val="25E45D32"/>
    <w:multiLevelType w:val="hybridMultilevel"/>
    <w:lvl w:ilvl="0">
      <w:lvlJc w:val="left"/>
      <w:lvlText w:val="%1."/>
      <w:numFmt w:val="decimal"/>
      <w:start w:val="1"/>
    </w:lvl>
  </w:abstractNum>
  <w:abstractNum w:abstractNumId="9">
    <w:nsid w:val="519B500D"/>
    <w:multiLevelType w:val="hybridMultilevel"/>
    <w:lvl w:ilvl="0">
      <w:lvlJc w:val="left"/>
      <w:lvlText w:val="%1."/>
      <w:numFmt w:val="decimal"/>
      <w:start w:val="2"/>
    </w:lvl>
    <w:lvl w:ilvl="1">
      <w:lvlJc w:val="left"/>
      <w:lvlText w:val="(%2)"/>
      <w:numFmt w:val="lowerLetter"/>
      <w:start w:val="1"/>
    </w:lvl>
  </w:abstractNum>
  <w:abstractNum w:abstractNumId="10">
    <w:nsid w:val="431BD7B7"/>
    <w:multiLevelType w:val="hybridMultilevel"/>
    <w:lvl w:ilvl="0">
      <w:lvlJc w:val="left"/>
      <w:lvlText w:val="%1."/>
      <w:numFmt w:val="decimal"/>
      <w:start w:val="4"/>
    </w:lvl>
  </w:abstractNum>
  <w:abstractNum w:abstractNumId="11">
    <w:nsid w:val="3F2DBA31"/>
    <w:multiLevelType w:val="hybridMultilevel"/>
    <w:lvl w:ilvl="0">
      <w:lvlJc w:val="left"/>
      <w:lvlText w:val="%1."/>
      <w:numFmt w:val="decimal"/>
      <w:start w:val="9"/>
    </w:lvl>
  </w:abstractNum>
  <w:abstractNum w:abstractNumId="12">
    <w:nsid w:val="7C83E458"/>
    <w:multiLevelType w:val="hybridMultilevel"/>
    <w:lvl w:ilvl="0">
      <w:lvlJc w:val="left"/>
      <w:lvlText w:val="%1."/>
      <w:numFmt w:val="decimal"/>
      <w:start w:val="10"/>
    </w:lvl>
  </w:abstractNum>
  <w:abstractNum w:abstractNumId="13">
    <w:nsid w:val="257130A3"/>
    <w:multiLevelType w:val="hybridMultilevel"/>
    <w:lvl w:ilvl="0">
      <w:lvlJc w:val="left"/>
      <w:lvlText w:val="%1."/>
      <w:numFmt w:val="decimal"/>
      <w:start w:val="10"/>
    </w:lvl>
    <w:lvl w:ilvl="1">
      <w:lvlJc w:val="left"/>
      <w:lvlText w:val="["/>
      <w:numFmt w:val="bullet"/>
      <w:start w:val="1"/>
    </w:lvl>
  </w:abstractNum>
  <w:abstractNum w:abstractNumId="14">
    <w:nsid w:val="62BBD95A"/>
    <w:multiLevelType w:val="hybridMultilevel"/>
    <w:lvl w:ilvl="0">
      <w:lvlJc w:val="left"/>
      <w:lvlText w:val="%1."/>
      <w:numFmt w:val="decimal"/>
      <w:start w:val="12"/>
    </w:lvl>
  </w:abstractNum>
  <w:abstractNum w:abstractNumId="15">
    <w:nsid w:val="436C6125"/>
    <w:multiLevelType w:val="hybridMultilevel"/>
    <w:lvl w:ilvl="0">
      <w:lvlJc w:val="left"/>
      <w:lvlText w:val="%1"/>
      <w:numFmt w:val="lowerLetter"/>
      <w:start w:val="1"/>
    </w:lvl>
    <w:lvl w:ilvl="1">
      <w:lvlJc w:val="left"/>
      <w:lvlText w:val="(%2)"/>
      <w:numFmt w:val="decimal"/>
      <w:start w:val="1"/>
    </w:lvl>
  </w:abstractNum>
  <w:abstractNum w:abstractNumId="16">
    <w:nsid w:val="628C895D"/>
    <w:multiLevelType w:val="hybridMultilevel"/>
    <w:lvl w:ilvl="0">
      <w:lvlJc w:val="left"/>
      <w:lvlText w:val="(%1)"/>
      <w:numFmt w:val="lowerLetter"/>
      <w:start w:val="2"/>
    </w:lvl>
    <w:lvl w:ilvl="1">
      <w:lvlJc w:val="left"/>
      <w:lvlText w:val="(%2)"/>
      <w:numFmt w:val="decimal"/>
      <w:start w:val="1"/>
    </w:lvl>
  </w:abstractNum>
  <w:abstractNum w:abstractNumId="17">
    <w:nsid w:val="333AB105"/>
    <w:multiLevelType w:val="hybridMultilevel"/>
    <w:lvl w:ilvl="0">
      <w:lvlJc w:val="left"/>
      <w:lvlText w:val="(%1)"/>
      <w:numFmt w:val="lowerLetter"/>
      <w:start w:val="3"/>
    </w:lvl>
    <w:lvl w:ilvl="1">
      <w:lvlJc w:val="left"/>
      <w:lvlText w:val="(%2)"/>
      <w:numFmt w:val="decimal"/>
      <w:start w:val="1"/>
    </w:lvl>
  </w:abstractNum>
  <w:abstractNum w:abstractNumId="18">
    <w:nsid w:val="721DA317"/>
    <w:multiLevelType w:val="hybridMultilevel"/>
    <w:lvl w:ilvl="0">
      <w:lvlJc w:val="left"/>
      <w:lvlText w:val="(%1)"/>
      <w:numFmt w:val="lowerLetter"/>
      <w:start w:val="1"/>
    </w:lvl>
  </w:abstractNum>
  <w:abstractNum w:abstractNumId="19">
    <w:nsid w:val="2443A858"/>
    <w:multiLevelType w:val="hybridMultilevel"/>
    <w:lvl w:ilvl="0">
      <w:lvlJc w:val="left"/>
      <w:lvlText w:val="(%1)"/>
      <w:numFmt w:val="lowerLetter"/>
      <w:start w:val="3"/>
    </w:lvl>
  </w:abstractNum>
  <w:abstractNum w:abstractNumId="20">
    <w:nsid w:val="2D1D5AE9"/>
    <w:multiLevelType w:val="hybridMultilevel"/>
    <w:lvl w:ilvl="0">
      <w:lvlJc w:val="left"/>
      <w:lvlText w:val="(%1)"/>
      <w:numFmt w:val="lowerLetter"/>
      <w:start w:val="6"/>
    </w:lvl>
  </w:abstractNum>
  <w:abstractNum w:abstractNumId="21">
    <w:nsid w:val="6763845E"/>
    <w:multiLevelType w:val="hybridMultilevel"/>
    <w:lvl w:ilvl="0">
      <w:lvlJc w:val="left"/>
      <w:lvlText w:val="(%1)"/>
      <w:numFmt w:val="lowerLetter"/>
      <w:start w:val="3"/>
    </w:lvl>
    <w:lvl w:ilvl="1">
      <w:lvlJc w:val="left"/>
      <w:lvlText w:val="(%2)"/>
      <w:numFmt w:val="lowerRoman"/>
      <w:start w:val="1"/>
    </w:lvl>
  </w:abstractNum>
  <w:abstractNum w:abstractNumId="22">
    <w:nsid w:val="75A2A8D4"/>
    <w:multiLevelType w:val="hybridMultilevel"/>
    <w:lvl w:ilvl="0">
      <w:lvlJc w:val="left"/>
      <w:lvlText w:val="*"/>
      <w:numFmt w:val="bullet"/>
      <w:start w:val="1"/>
    </w:lvl>
  </w:abstractNum>
  <w:abstractNum w:abstractNumId="23">
    <w:nsid w:val="8EDBDAB"/>
    <w:multiLevelType w:val="hybridMultilevel"/>
    <w:lvl w:ilvl="0">
      <w:lvlJc w:val="left"/>
      <w:lvlText w:val="*"/>
      <w:numFmt w:val="bullet"/>
      <w:start w:val="1"/>
    </w:lvl>
  </w:abstractNum>
  <w:abstractNum w:abstractNumId="24">
    <w:nsid w:val="79838CB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2019-12-07T15:39:41Z</dcterms:created>
  <dcterms:modified xsi:type="dcterms:W3CDTF">2019-12-07T15:39:41Z</dcterms:modified>
</cp:coreProperties>
</file>