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SCHEDULE 13D/A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3)*</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92763W103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Tencent Holdings Limited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29/F., Three Pacific Place,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 1 Queen’s Road East, Wanchai, Hong Kong</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Telephone: +852 3148 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Receive Notices and Communications)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December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240.13d-l(f) or 240.13d-l(g),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(“Exchange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291465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553085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80"/>
          </w:cols>
          <w:pgMar w:left="740" w:top="540" w:right="6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7"/>
        </w:trPr>
        <w:tc>
          <w:tcPr>
            <w:tcW w:w="40" w:type="dxa"/>
            <w:vAlign w:val="bottom"/>
            <w:tcBorders>
              <w:right w:val="single" w:sz="8" w:color="auto"/>
            </w:tcBorders>
          </w:tcPr>
          <w:p>
            <w:pPr>
              <w:spacing w:after="0"/>
              <w:rPr>
                <w:sz w:val="23"/>
                <w:szCs w:val="23"/>
                <w:color w:val="auto"/>
              </w:rPr>
            </w:pPr>
          </w:p>
        </w:tc>
        <w:tc>
          <w:tcPr>
            <w:tcW w:w="22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92763W103</w:t>
            </w:r>
          </w:p>
        </w:tc>
        <w:tc>
          <w:tcPr>
            <w:tcW w:w="2280" w:type="dxa"/>
            <w:vAlign w:val="bottom"/>
          </w:tcPr>
          <w:p>
            <w:pPr>
              <w:spacing w:after="0"/>
              <w:rPr>
                <w:sz w:val="23"/>
                <w:szCs w:val="23"/>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13D</w:t>
            </w:r>
          </w:p>
        </w:tc>
        <w:tc>
          <w:tcPr>
            <w:tcW w:w="840" w:type="dxa"/>
            <w:vAlign w:val="bottom"/>
            <w:tcBorders>
              <w:top w:val="single" w:sz="8" w:color="auto"/>
            </w:tcBorders>
          </w:tcPr>
          <w:p>
            <w:pPr>
              <w:spacing w:after="0"/>
              <w:rPr>
                <w:sz w:val="23"/>
                <w:szCs w:val="23"/>
                <w:color w:val="auto"/>
              </w:rPr>
            </w:pPr>
          </w:p>
        </w:tc>
        <w:tc>
          <w:tcPr>
            <w:tcW w:w="14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9"/>
              </w:rPr>
              <w:t>Page 2 of 7</w:t>
            </w:r>
          </w:p>
        </w:tc>
      </w:tr>
      <w:tr>
        <w:trPr>
          <w:trHeight w:val="31"/>
        </w:trPr>
        <w:tc>
          <w:tcPr>
            <w:tcW w:w="4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60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416"/>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320" w:type="dxa"/>
            <w:vAlign w:val="bottom"/>
            <w:gridSpan w:val="4"/>
          </w:tcPr>
          <w:p>
            <w:pPr>
              <w:ind w:left="540"/>
              <w:spacing w:after="0"/>
              <w:rPr>
                <w:sz w:val="20"/>
                <w:szCs w:val="20"/>
                <w:color w:val="auto"/>
              </w:rPr>
            </w:pPr>
            <w:r>
              <w:rPr>
                <w:rFonts w:ascii="Arial" w:cs="Arial" w:eastAsia="Arial" w:hAnsi="Arial"/>
                <w:sz w:val="18"/>
                <w:szCs w:val="18"/>
                <w:color w:val="auto"/>
              </w:rPr>
              <w:t>I.R.S. IDENTIFICATION NO. OF ABOVE PERSON</w:t>
            </w:r>
          </w:p>
        </w:tc>
        <w:tc>
          <w:tcPr>
            <w:tcW w:w="14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Tencent Mobility Limited</w:t>
            </w: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2</w:t>
            </w:r>
          </w:p>
        </w:tc>
        <w:tc>
          <w:tcPr>
            <w:tcW w:w="9320" w:type="dxa"/>
            <w:vAlign w:val="bottom"/>
            <w:gridSpan w:val="4"/>
          </w:tcPr>
          <w:p>
            <w:pPr>
              <w:ind w:left="54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1420" w:type="dxa"/>
            <w:vAlign w:val="bottom"/>
          </w:tcPr>
          <w:p>
            <w:pPr>
              <w:ind w:left="320"/>
              <w:spacing w:after="0" w:line="196" w:lineRule="exact"/>
              <w:rPr>
                <w:sz w:val="20"/>
                <w:szCs w:val="20"/>
                <w:color w:val="auto"/>
              </w:rPr>
            </w:pPr>
            <w:r>
              <w:rPr>
                <w:rFonts w:ascii="Arial" w:cs="Arial" w:eastAsia="Arial" w:hAnsi="Arial"/>
                <w:sz w:val="18"/>
                <w:szCs w:val="18"/>
                <w:color w:val="auto"/>
              </w:rPr>
              <w:t>(a) o</w:t>
            </w:r>
          </w:p>
        </w:tc>
      </w:tr>
      <w:tr>
        <w:trPr>
          <w:trHeight w:val="283"/>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0"/>
        </w:trPr>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66"/>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4</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SOURCE OF FUNDS</w:t>
            </w:r>
          </w:p>
        </w:tc>
        <w:tc>
          <w:tcPr>
            <w:tcW w:w="4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AF</w:t>
            </w: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5</w:t>
            </w:r>
          </w:p>
        </w:tc>
        <w:tc>
          <w:tcPr>
            <w:tcW w:w="9320" w:type="dxa"/>
            <w:vAlign w:val="bottom"/>
            <w:gridSpan w:val="4"/>
          </w:tcPr>
          <w:p>
            <w:pPr>
              <w:ind w:left="540"/>
              <w:spacing w:after="0"/>
              <w:rPr>
                <w:sz w:val="20"/>
                <w:szCs w:val="20"/>
                <w:color w:val="auto"/>
              </w:rPr>
            </w:pPr>
            <w:r>
              <w:rPr>
                <w:rFonts w:ascii="Arial" w:cs="Arial" w:eastAsia="Arial" w:hAnsi="Arial"/>
                <w:sz w:val="18"/>
                <w:szCs w:val="18"/>
                <w:color w:val="auto"/>
                <w:w w:val="98"/>
              </w:rPr>
              <w:t>CHECK BOX IF DISCLOSURE OF LEGAL PROCEEDINGS IS REQUIRED PURSUANT TO ITEMS 2(d) or 2(e)</w:t>
            </w:r>
          </w:p>
        </w:tc>
        <w:tc>
          <w:tcPr>
            <w:tcW w:w="1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-2185670</wp:posOffset>
            </wp:positionV>
            <wp:extent cx="7246620" cy="6637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6376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20" w:hanging="1158"/>
        <w:spacing w:after="0"/>
        <w:tabs>
          <w:tab w:leader="none" w:pos="1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Hong Kong</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None</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Pr>
          <w:p>
            <w:pPr>
              <w:spacing w:after="0"/>
              <w:rPr>
                <w:sz w:val="23"/>
                <w:szCs w:val="23"/>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NUMBER OF</w:t>
            </w:r>
          </w:p>
        </w:tc>
        <w:tc>
          <w:tcPr>
            <w:tcW w:w="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68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tcPr>
          <w:p>
            <w:pPr>
              <w:spacing w:after="0"/>
              <w:rPr>
                <w:sz w:val="18"/>
                <w:szCs w:val="18"/>
                <w:color w:val="auto"/>
              </w:rPr>
            </w:pPr>
          </w:p>
        </w:tc>
        <w:tc>
          <w:tcPr>
            <w:tcW w:w="6800" w:type="dxa"/>
            <w:vAlign w:val="bottom"/>
            <w:vMerge w:val="restart"/>
          </w:tcPr>
          <w:p>
            <w:pPr>
              <w:ind w:left="40"/>
              <w:spacing w:after="0"/>
              <w:rPr>
                <w:sz w:val="20"/>
                <w:szCs w:val="20"/>
                <w:color w:val="auto"/>
              </w:rPr>
            </w:pPr>
            <w:r>
              <w:rPr>
                <w:rFonts w:ascii="Arial" w:cs="Arial" w:eastAsia="Arial" w:hAnsi="Arial"/>
                <w:sz w:val="18"/>
                <w:szCs w:val="18"/>
                <w:color w:val="auto"/>
              </w:rPr>
              <w:t>38,797,797</w:t>
            </w:r>
            <w:r>
              <w:rPr>
                <w:rFonts w:ascii="Arial" w:cs="Arial" w:eastAsia="Arial" w:hAnsi="Arial"/>
                <w:sz w:val="30"/>
                <w:szCs w:val="30"/>
                <w:color w:val="auto"/>
                <w:vertAlign w:val="superscript"/>
              </w:rPr>
              <w:t>1</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rPr>
              <w:t>BENEFICIALLY</w:t>
            </w:r>
          </w:p>
        </w:tc>
        <w:tc>
          <w:tcPr>
            <w:tcW w:w="420" w:type="dxa"/>
            <w:vAlign w:val="bottom"/>
            <w:tcBorders>
              <w:right w:val="single" w:sz="8" w:color="auto"/>
            </w:tcBorders>
          </w:tcPr>
          <w:p>
            <w:pPr>
              <w:spacing w:after="0"/>
              <w:rPr>
                <w:sz w:val="19"/>
                <w:szCs w:val="19"/>
                <w:color w:val="auto"/>
              </w:rPr>
            </w:pPr>
          </w:p>
        </w:tc>
        <w:tc>
          <w:tcPr>
            <w:tcW w:w="6800" w:type="dxa"/>
            <w:vAlign w:val="bottom"/>
            <w:vMerge w:val="continue"/>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800" w:type="dxa"/>
            <w:vAlign w:val="bottom"/>
            <w:gridSpan w:val="2"/>
          </w:tcPr>
          <w:p>
            <w:pPr>
              <w:jc w:val="center"/>
              <w:ind w:right="170"/>
              <w:spacing w:after="0" w:line="189" w:lineRule="exact"/>
              <w:rPr>
                <w:sz w:val="20"/>
                <w:szCs w:val="20"/>
                <w:color w:val="auto"/>
              </w:rPr>
            </w:pPr>
            <w:r>
              <w:rPr>
                <w:rFonts w:ascii="Arial" w:cs="Arial" w:eastAsia="Arial" w:hAnsi="Arial"/>
                <w:sz w:val="18"/>
                <w:szCs w:val="18"/>
                <w:color w:val="auto"/>
                <w:w w:val="97"/>
              </w:rPr>
              <w:t>OWNED BY EACH</w:t>
            </w: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80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2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REPORTING PERSON</w:t>
            </w:r>
          </w:p>
        </w:tc>
        <w:tc>
          <w:tcPr>
            <w:tcW w:w="42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80" w:type="dxa"/>
            <w:vAlign w:val="bottom"/>
          </w:tcPr>
          <w:p>
            <w:pPr>
              <w:spacing w:after="0"/>
              <w:rPr>
                <w:sz w:val="23"/>
                <w:szCs w:val="23"/>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23"/>
                <w:szCs w:val="23"/>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None</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8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12,852,698</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6"/>
              </w:rPr>
              <w:t>12,852,698</w:t>
            </w:r>
            <w:r>
              <w:rPr>
                <w:rFonts w:ascii="Arial" w:cs="Arial" w:eastAsia="Arial" w:hAnsi="Arial"/>
                <w:sz w:val="30"/>
                <w:szCs w:val="30"/>
                <w:color w:val="auto"/>
                <w:w w:val="86"/>
                <w:vertAlign w:val="superscript"/>
              </w:rPr>
              <w:t>2</w:t>
            </w:r>
          </w:p>
        </w:tc>
        <w:tc>
          <w:tcPr>
            <w:tcW w:w="4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9.6% of total outstanding Shares and 11.0% of Class A Ordinary Shares</w:t>
            </w:r>
            <w:r>
              <w:rPr>
                <w:rFonts w:ascii="Arial" w:cs="Arial" w:eastAsia="Arial" w:hAnsi="Arial"/>
                <w:sz w:val="30"/>
                <w:szCs w:val="30"/>
                <w:color w:val="auto"/>
                <w:vertAlign w:val="superscript"/>
              </w:rPr>
              <w:t>3</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57" w:lineRule="exact"/>
        <w:rPr>
          <w:sz w:val="20"/>
          <w:szCs w:val="20"/>
          <w:color w:val="auto"/>
        </w:rPr>
      </w:pPr>
    </w:p>
    <w:p>
      <w:pPr>
        <w:jc w:val="both"/>
        <w:ind w:left="500" w:hanging="492"/>
        <w:spacing w:after="0" w:line="253" w:lineRule="auto"/>
        <w:tabs>
          <w:tab w:leader="none" w:pos="50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Includes 12,852,698 Class A ordinary shares of par value US$0.0001 per share (“Class A Ordinary Shares”) beneficially owned by the Reporting Person, 16,510,358 Class B ordinary shares of par value US$0.0001 per share (“Class B Ordinary Shares”) held by Elegant Motion Holdings Limited and beneficially owned by Mr. Eric Ya Shen and 385,000 Class A ordinary shares beneficially owned by Mr. Eric Ya Shen as of March 31, 2019 as options granted under a share incentive plan of the Issuer, and 8,952,810 Class A Ordinary Shares held by High Vivacity Holdings Limited and beneficially owned by Mr. Arthur Xiaobo Hong and 96,931 Class A ordinary shares beneficially owned by Mr. Arthur Xiaobo Hong as of March 31, 2019 as restricted shares granted under a share incentive plan of the Issuer. Each Class B Ordinary Share is convertible into one Class A Ordinary Share at any time by the holder thereof. Elegant Motion Holdings Limited, Mr. Eric Ya Shen, High Vivacity Holdings Limited and Mr. Arthur Xiaobo Hong are collectively referred to as the “Founder Parties.” Pursuant to the Investor Rights Agreement, dated as of December 29, 2017, by and among the Issuer, the Founder Parties, Windcreek Limited and the Reporting Person, the Founder Parties agreed to support and vote their Shares (as defined herein) in favor of and not take any action to prevent the appointment or election of one (1) director designated by the Reporting Person to the Issuer’s board of directors. The undersigned disclaims beneficial ownership of the securities indicated.</w:t>
      </w:r>
    </w:p>
    <w:p>
      <w:pPr>
        <w:spacing w:after="0" w:line="166" w:lineRule="exact"/>
        <w:rPr>
          <w:sz w:val="20"/>
          <w:szCs w:val="20"/>
          <w:color w:val="auto"/>
        </w:rPr>
      </w:pPr>
    </w:p>
    <w:p>
      <w:pPr>
        <w:ind w:left="500" w:right="200" w:hanging="492"/>
        <w:spacing w:after="0" w:line="194" w:lineRule="auto"/>
        <w:tabs>
          <w:tab w:leader="none" w:pos="50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Reporting Person is deemed to beneficially own 12,852,698 Class A Ordinary Shares. Class A Ordinary Shares and Class B Ordinary Shares are collectively referred to as “Shares.”</w:t>
      </w:r>
    </w:p>
    <w:p>
      <w:pPr>
        <w:spacing w:after="0" w:line="162" w:lineRule="exact"/>
        <w:rPr>
          <w:sz w:val="20"/>
          <w:szCs w:val="20"/>
          <w:color w:val="auto"/>
        </w:rPr>
      </w:pPr>
    </w:p>
    <w:p>
      <w:pPr>
        <w:jc w:val="both"/>
        <w:ind w:left="500" w:hanging="492"/>
        <w:spacing w:after="0" w:line="227" w:lineRule="auto"/>
        <w:tabs>
          <w:tab w:leader="none" w:pos="50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As a percentage of 133,799,695 outstanding Shares of the Issuer, as of September 30, 2019, as reported by the Issuer in its Form 6-K filed with the Securities and Exchange Commission on November 13, 2019 (including 117,289,337 Class A Ordinary Shares and 16,510,358 Class B Ordinary Shares). Each Class A Ordinary Share is entitled to one vote per share, and each Class B Ordinary Share is entitled to ten votes per share. Accordingly, and based on the foregoing, the 12,852,698 Class A Ordinary Shares beneficially owned by the Reporting Person represent 9.6% of the total Shares outstanding, 11.0% of the Class A Ordinary Shares outstanding and approximately 4.6% of the aggregate voting power of the total issued and outstanding Shares.</w:t>
      </w:r>
    </w:p>
    <w:p>
      <w:pPr>
        <w:sectPr>
          <w:pgSz w:w="11900" w:h="16838" w:orient="portrait"/>
          <w:cols w:equalWidth="0" w:num="1">
            <w:col w:w="11420"/>
          </w:cols>
          <w:pgMar w:left="240" w:top="123" w:right="239" w:bottom="95" w:gutter="0" w:footer="0" w:header="0"/>
        </w:sectPr>
      </w:pPr>
    </w:p>
    <w:bookmarkStart w:id="2" w:name="page3"/>
    <w:bookmarkEnd w:id="2"/>
    <w:p>
      <w:pPr>
        <w:jc w:val="both"/>
        <w:spacing w:after="0" w:line="227" w:lineRule="auto"/>
        <w:tabs>
          <w:tab w:leader="none" w:pos="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7"/>
        </w:trPr>
        <w:tc>
          <w:tcPr>
            <w:tcW w:w="40" w:type="dxa"/>
            <w:vAlign w:val="bottom"/>
            <w:tcBorders>
              <w:right w:val="single" w:sz="8" w:color="auto"/>
            </w:tcBorders>
          </w:tcPr>
          <w:p>
            <w:pPr>
              <w:spacing w:after="0"/>
              <w:rPr>
                <w:sz w:val="23"/>
                <w:szCs w:val="23"/>
                <w:color w:val="auto"/>
              </w:rPr>
            </w:pPr>
          </w:p>
        </w:tc>
        <w:tc>
          <w:tcPr>
            <w:tcW w:w="22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CUSIP No. 92763W103</w:t>
            </w:r>
          </w:p>
        </w:tc>
        <w:tc>
          <w:tcPr>
            <w:tcW w:w="2280" w:type="dxa"/>
            <w:vAlign w:val="bottom"/>
          </w:tcPr>
          <w:p>
            <w:pPr>
              <w:spacing w:after="0"/>
              <w:rPr>
                <w:sz w:val="23"/>
                <w:szCs w:val="23"/>
                <w:color w:val="auto"/>
              </w:rPr>
            </w:pPr>
          </w:p>
        </w:tc>
        <w:tc>
          <w:tcPr>
            <w:tcW w:w="46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SCHEDULE 13D</w:t>
            </w:r>
          </w:p>
        </w:tc>
        <w:tc>
          <w:tcPr>
            <w:tcW w:w="840" w:type="dxa"/>
            <w:vAlign w:val="bottom"/>
            <w:tcBorders>
              <w:top w:val="single" w:sz="8" w:color="auto"/>
            </w:tcBorders>
          </w:tcPr>
          <w:p>
            <w:pPr>
              <w:spacing w:after="0"/>
              <w:rPr>
                <w:sz w:val="23"/>
                <w:szCs w:val="23"/>
                <w:color w:val="auto"/>
              </w:rPr>
            </w:pPr>
          </w:p>
        </w:tc>
        <w:tc>
          <w:tcPr>
            <w:tcW w:w="142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color w:val="auto"/>
                <w:w w:val="89"/>
              </w:rPr>
              <w:t>Page 3 of 7</w:t>
            </w:r>
          </w:p>
        </w:tc>
      </w:tr>
      <w:tr>
        <w:trPr>
          <w:trHeight w:val="31"/>
        </w:trPr>
        <w:tc>
          <w:tcPr>
            <w:tcW w:w="4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4600" w:type="dxa"/>
            <w:vAlign w:val="bottom"/>
            <w:tcBorders>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1</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NAME OF REPORTING PERSON OR</w:t>
            </w:r>
          </w:p>
        </w:tc>
        <w:tc>
          <w:tcPr>
            <w:tcW w:w="4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320" w:type="dxa"/>
            <w:vAlign w:val="bottom"/>
            <w:gridSpan w:val="4"/>
          </w:tcPr>
          <w:p>
            <w:pPr>
              <w:ind w:left="540"/>
              <w:spacing w:after="0"/>
              <w:rPr>
                <w:sz w:val="20"/>
                <w:szCs w:val="20"/>
                <w:color w:val="auto"/>
              </w:rPr>
            </w:pPr>
            <w:r>
              <w:rPr>
                <w:rFonts w:ascii="Arial" w:cs="Arial" w:eastAsia="Arial" w:hAnsi="Arial"/>
                <w:sz w:val="18"/>
                <w:szCs w:val="18"/>
                <w:color w:val="auto"/>
              </w:rPr>
              <w:t>I.R.S. IDENTIFICATION NO. OF ABOVE PERSON</w:t>
            </w:r>
          </w:p>
        </w:tc>
        <w:tc>
          <w:tcPr>
            <w:tcW w:w="142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Tencent Holdings Limited</w:t>
            </w: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2</w:t>
            </w:r>
          </w:p>
        </w:tc>
        <w:tc>
          <w:tcPr>
            <w:tcW w:w="9320" w:type="dxa"/>
            <w:vAlign w:val="bottom"/>
            <w:gridSpan w:val="4"/>
          </w:tcPr>
          <w:p>
            <w:pPr>
              <w:ind w:left="54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1420" w:type="dxa"/>
            <w:vAlign w:val="bottom"/>
          </w:tcPr>
          <w:p>
            <w:pPr>
              <w:ind w:left="320"/>
              <w:spacing w:after="0" w:line="196" w:lineRule="exact"/>
              <w:rPr>
                <w:sz w:val="20"/>
                <w:szCs w:val="20"/>
                <w:color w:val="auto"/>
              </w:rPr>
            </w:pPr>
            <w:r>
              <w:rPr>
                <w:rFonts w:ascii="Arial" w:cs="Arial" w:eastAsia="Arial" w:hAnsi="Arial"/>
                <w:sz w:val="18"/>
                <w:szCs w:val="18"/>
                <w:color w:val="auto"/>
              </w:rPr>
              <w:t>(a) o</w:t>
            </w:r>
          </w:p>
        </w:tc>
      </w:tr>
      <w:tr>
        <w:trPr>
          <w:trHeight w:val="283"/>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30"/>
        </w:trPr>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3</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SEC USE ONLY</w:t>
            </w:r>
          </w:p>
        </w:tc>
        <w:tc>
          <w:tcPr>
            <w:tcW w:w="4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66"/>
        </w:trPr>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4</w:t>
            </w: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SOURCE OF FUNDS</w:t>
            </w:r>
          </w:p>
        </w:tc>
        <w:tc>
          <w:tcPr>
            <w:tcW w:w="4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432"/>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80" w:type="dxa"/>
            <w:vAlign w:val="bottom"/>
            <w:gridSpan w:val="2"/>
          </w:tcPr>
          <w:p>
            <w:pPr>
              <w:ind w:left="540"/>
              <w:spacing w:after="0"/>
              <w:rPr>
                <w:sz w:val="20"/>
                <w:szCs w:val="20"/>
                <w:color w:val="auto"/>
              </w:rPr>
            </w:pPr>
            <w:r>
              <w:rPr>
                <w:rFonts w:ascii="Arial" w:cs="Arial" w:eastAsia="Arial" w:hAnsi="Arial"/>
                <w:sz w:val="18"/>
                <w:szCs w:val="18"/>
                <w:color w:val="auto"/>
              </w:rPr>
              <w:t>AF</w:t>
            </w:r>
          </w:p>
        </w:tc>
        <w:tc>
          <w:tcPr>
            <w:tcW w:w="4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320" w:type="dxa"/>
            <w:vAlign w:val="bottom"/>
            <w:tcBorders>
              <w:bottom w:val="single" w:sz="8" w:color="auto"/>
            </w:tcBorders>
            <w:gridSpan w:val="4"/>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3"/>
        </w:trPr>
        <w:tc>
          <w:tcPr>
            <w:tcW w:w="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5</w:t>
            </w:r>
          </w:p>
        </w:tc>
        <w:tc>
          <w:tcPr>
            <w:tcW w:w="9320" w:type="dxa"/>
            <w:vAlign w:val="bottom"/>
            <w:gridSpan w:val="4"/>
          </w:tcPr>
          <w:p>
            <w:pPr>
              <w:ind w:left="540"/>
              <w:spacing w:after="0"/>
              <w:rPr>
                <w:sz w:val="20"/>
                <w:szCs w:val="20"/>
                <w:color w:val="auto"/>
              </w:rPr>
            </w:pPr>
            <w:r>
              <w:rPr>
                <w:rFonts w:ascii="Arial" w:cs="Arial" w:eastAsia="Arial" w:hAnsi="Arial"/>
                <w:sz w:val="18"/>
                <w:szCs w:val="18"/>
                <w:color w:val="auto"/>
                <w:w w:val="98"/>
              </w:rPr>
              <w:t>CHECK BOX IF DISCLOSURE OF LEGAL PROCEEDINGS IS REQUIRED PURSUANT TO ITEMS 2(d) or 2(e)</w:t>
            </w:r>
          </w:p>
        </w:tc>
        <w:tc>
          <w:tcPr>
            <w:tcW w:w="14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-2185670</wp:posOffset>
            </wp:positionV>
            <wp:extent cx="7246620" cy="6637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6376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20" w:hanging="1158"/>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Cayman Islands</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None</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0" w:type="dxa"/>
            <w:vAlign w:val="bottom"/>
          </w:tcPr>
          <w:p>
            <w:pPr>
              <w:spacing w:after="0"/>
              <w:rPr>
                <w:sz w:val="23"/>
                <w:szCs w:val="23"/>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w w:val="96"/>
              </w:rPr>
              <w:t>NUMBER OF</w:t>
            </w:r>
          </w:p>
        </w:tc>
        <w:tc>
          <w:tcPr>
            <w:tcW w:w="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680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SHARES</w:t>
            </w:r>
          </w:p>
        </w:tc>
        <w:tc>
          <w:tcPr>
            <w:tcW w:w="420" w:type="dxa"/>
            <w:vAlign w:val="bottom"/>
            <w:tcBorders>
              <w:right w:val="single" w:sz="8" w:color="auto"/>
            </w:tcBorders>
          </w:tcPr>
          <w:p>
            <w:pPr>
              <w:spacing w:after="0"/>
              <w:rPr>
                <w:sz w:val="18"/>
                <w:szCs w:val="18"/>
                <w:color w:val="auto"/>
              </w:rPr>
            </w:pPr>
          </w:p>
        </w:tc>
        <w:tc>
          <w:tcPr>
            <w:tcW w:w="6800" w:type="dxa"/>
            <w:vAlign w:val="bottom"/>
            <w:vMerge w:val="restart"/>
          </w:tcPr>
          <w:p>
            <w:pPr>
              <w:ind w:left="40"/>
              <w:spacing w:after="0"/>
              <w:rPr>
                <w:sz w:val="20"/>
                <w:szCs w:val="20"/>
                <w:color w:val="auto"/>
              </w:rPr>
            </w:pPr>
            <w:r>
              <w:rPr>
                <w:rFonts w:ascii="Arial" w:cs="Arial" w:eastAsia="Arial" w:hAnsi="Arial"/>
                <w:sz w:val="18"/>
                <w:szCs w:val="18"/>
                <w:color w:val="auto"/>
              </w:rPr>
              <w:t>38,797,797</w:t>
            </w:r>
            <w:r>
              <w:rPr>
                <w:rFonts w:ascii="Arial" w:cs="Arial" w:eastAsia="Arial" w:hAnsi="Arial"/>
                <w:sz w:val="30"/>
                <w:szCs w:val="30"/>
                <w:color w:val="auto"/>
                <w:vertAlign w:val="superscript"/>
              </w:rPr>
              <w:t>4</w:t>
            </w: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color w:val="auto"/>
              </w:rPr>
              <w:t>BENEFICIALLY</w:t>
            </w:r>
          </w:p>
        </w:tc>
        <w:tc>
          <w:tcPr>
            <w:tcW w:w="420" w:type="dxa"/>
            <w:vAlign w:val="bottom"/>
            <w:tcBorders>
              <w:right w:val="single" w:sz="8" w:color="auto"/>
            </w:tcBorders>
          </w:tcPr>
          <w:p>
            <w:pPr>
              <w:spacing w:after="0"/>
              <w:rPr>
                <w:sz w:val="19"/>
                <w:szCs w:val="19"/>
                <w:color w:val="auto"/>
              </w:rPr>
            </w:pPr>
          </w:p>
        </w:tc>
        <w:tc>
          <w:tcPr>
            <w:tcW w:w="6800" w:type="dxa"/>
            <w:vAlign w:val="bottom"/>
            <w:vMerge w:val="continue"/>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1800" w:type="dxa"/>
            <w:vAlign w:val="bottom"/>
            <w:gridSpan w:val="2"/>
          </w:tcPr>
          <w:p>
            <w:pPr>
              <w:jc w:val="center"/>
              <w:ind w:right="170"/>
              <w:spacing w:after="0" w:line="189" w:lineRule="exact"/>
              <w:rPr>
                <w:sz w:val="20"/>
                <w:szCs w:val="20"/>
                <w:color w:val="auto"/>
              </w:rPr>
            </w:pPr>
            <w:r>
              <w:rPr>
                <w:rFonts w:ascii="Arial" w:cs="Arial" w:eastAsia="Arial" w:hAnsi="Arial"/>
                <w:sz w:val="18"/>
                <w:szCs w:val="18"/>
                <w:color w:val="auto"/>
                <w:w w:val="97"/>
              </w:rPr>
              <w:t>OWNED BY EACH</w:t>
            </w:r>
          </w:p>
        </w:tc>
        <w:tc>
          <w:tcPr>
            <w:tcW w:w="40" w:type="dxa"/>
            <w:vAlign w:val="bottom"/>
            <w:tcBorders>
              <w:top w:val="single" w:sz="8" w:color="auto"/>
            </w:tcBorders>
          </w:tcPr>
          <w:p>
            <w:pPr>
              <w:spacing w:after="0"/>
              <w:rPr>
                <w:sz w:val="16"/>
                <w:szCs w:val="16"/>
                <w:color w:val="auto"/>
              </w:rPr>
            </w:pPr>
          </w:p>
        </w:tc>
        <w:tc>
          <w:tcPr>
            <w:tcW w:w="42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800" w:type="dxa"/>
            <w:vAlign w:val="bottom"/>
            <w:tcBorders>
              <w:top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20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20" w:type="dxa"/>
            <w:vAlign w:val="bottom"/>
            <w:gridSpan w:val="4"/>
          </w:tcPr>
          <w:p>
            <w:pPr>
              <w:jc w:val="center"/>
              <w:ind w:right="20"/>
              <w:spacing w:after="0"/>
              <w:rPr>
                <w:sz w:val="20"/>
                <w:szCs w:val="20"/>
                <w:color w:val="auto"/>
              </w:rPr>
            </w:pPr>
            <w:r>
              <w:rPr>
                <w:rFonts w:ascii="Arial" w:cs="Arial" w:eastAsia="Arial" w:hAnsi="Arial"/>
                <w:sz w:val="18"/>
                <w:szCs w:val="18"/>
                <w:color w:val="auto"/>
                <w:w w:val="92"/>
              </w:rPr>
              <w:t>REPORTING PERSON</w:t>
            </w:r>
          </w:p>
        </w:tc>
        <w:tc>
          <w:tcPr>
            <w:tcW w:w="420" w:type="dxa"/>
            <w:vAlign w:val="bottom"/>
            <w:tcBorders>
              <w:right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2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80" w:type="dxa"/>
            <w:vAlign w:val="bottom"/>
          </w:tcPr>
          <w:p>
            <w:pPr>
              <w:spacing w:after="0"/>
              <w:rPr>
                <w:sz w:val="23"/>
                <w:szCs w:val="23"/>
                <w:color w:val="auto"/>
              </w:rPr>
            </w:pPr>
          </w:p>
        </w:tc>
        <w:tc>
          <w:tcPr>
            <w:tcW w:w="184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WITH</w:t>
            </w:r>
          </w:p>
        </w:tc>
        <w:tc>
          <w:tcPr>
            <w:tcW w:w="420" w:type="dxa"/>
            <w:vAlign w:val="bottom"/>
            <w:tcBorders>
              <w:right w:val="single" w:sz="8" w:color="auto"/>
            </w:tcBorders>
          </w:tcPr>
          <w:p>
            <w:pPr>
              <w:spacing w:after="0"/>
              <w:rPr>
                <w:sz w:val="23"/>
                <w:szCs w:val="23"/>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None</w:t>
            </w:r>
          </w:p>
        </w:tc>
        <w:tc>
          <w:tcPr>
            <w:tcW w:w="20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80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12,852,698</w:t>
            </w: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3"/>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6"/>
              </w:rPr>
              <w:t>12,852,698</w:t>
            </w:r>
            <w:r>
              <w:rPr>
                <w:rFonts w:ascii="Arial" w:cs="Arial" w:eastAsia="Arial" w:hAnsi="Arial"/>
                <w:sz w:val="30"/>
                <w:szCs w:val="30"/>
                <w:color w:val="auto"/>
                <w:w w:val="86"/>
                <w:vertAlign w:val="superscript"/>
              </w:rPr>
              <w:t>5</w:t>
            </w:r>
          </w:p>
        </w:tc>
        <w:tc>
          <w:tcPr>
            <w:tcW w:w="4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466"/>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spacing w:after="0"/>
              <w:rPr>
                <w:sz w:val="24"/>
                <w:szCs w:val="24"/>
                <w:color w:val="auto"/>
              </w:rPr>
            </w:pP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9.6% of total outstanding Shares and 11.0% of Class A Ordinary Shares</w:t>
            </w:r>
            <w:r>
              <w:rPr>
                <w:rFonts w:ascii="Arial" w:cs="Arial" w:eastAsia="Arial" w:hAnsi="Arial"/>
                <w:sz w:val="30"/>
                <w:szCs w:val="30"/>
                <w:color w:val="auto"/>
                <w:vertAlign w:val="superscript"/>
              </w:rPr>
              <w:t>6</w:t>
            </w:r>
          </w:p>
        </w:tc>
        <w:tc>
          <w:tcPr>
            <w:tcW w:w="2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tcBorders>
              <w:right w:val="single" w:sz="8" w:color="auto"/>
            </w:tcBorders>
          </w:tcPr>
          <w:p>
            <w:pPr>
              <w:spacing w:after="0"/>
              <w:rPr>
                <w:sz w:val="21"/>
                <w:szCs w:val="21"/>
                <w:color w:val="auto"/>
              </w:rPr>
            </w:pPr>
          </w:p>
        </w:tc>
        <w:tc>
          <w:tcPr>
            <w:tcW w:w="81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20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4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71" w:lineRule="exact"/>
        <w:rPr>
          <w:sz w:val="20"/>
          <w:szCs w:val="20"/>
          <w:color w:val="auto"/>
        </w:rPr>
      </w:pPr>
    </w:p>
    <w:p>
      <w:pPr>
        <w:jc w:val="both"/>
        <w:ind w:left="480" w:hanging="472"/>
        <w:spacing w:after="0" w:line="250" w:lineRule="auto"/>
        <w:tabs>
          <w:tab w:leader="none" w:pos="48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Includes 12,852,698 Class A Ordinary Shares beneficially owned by the Reporting Person, 16,510,358 Class B Ordinary Shares held by Elegant Motion Holdings Limited and beneficially owned by Mr. Eric Ya Shen and 385,000 Class A ordinary shares beneficially owned by Mr. Eric Ya Shen as of March 31, 2019 as options granted under a share incentive plan of the Issuer, and 8,952,810 Class A Ordinary Shares held by High Vivacity Holdings Limited and beneficially owned by Mr. Arthur Xiaobo Hong and 96,931 Class A ordinary shares beneficially owned by Mr. Arthur Xiaobo Hong as of March 31, 2019 as restricted shares granted under a share incentive plan of the Issuer. Each Class B Ordinary Share is convertible into one Class A Ordinary Share at any time by the holder thereof. Pursuant to the Investor Rights Agreement, dated as of December 29, 2017, by and among the Issuer, the Founder Parties, Windcreek Limited and Tencent Mobility Limited, the Founder Parties agreed to support and vote their Shares (as defined herein) in favor of and not take any action to prevent the appointment or election of one (1) director designated by Tencent Mobility Limited to the Issuer’s board of directors. The undersigned disclaims beneficial ownership of the securities indicated.</w:t>
      </w:r>
    </w:p>
    <w:p>
      <w:pPr>
        <w:ind w:left="500" w:hanging="492"/>
        <w:spacing w:after="0" w:line="221" w:lineRule="auto"/>
        <w:tabs>
          <w:tab w:leader="none" w:pos="50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 Reporting Person is deemed to beneficially own 12,852,698 Class A Ordinary Shares.</w:t>
      </w:r>
    </w:p>
    <w:p>
      <w:pPr>
        <w:spacing w:after="0" w:line="124" w:lineRule="exact"/>
        <w:rPr>
          <w:sz w:val="20"/>
          <w:szCs w:val="20"/>
          <w:color w:val="auto"/>
        </w:rPr>
      </w:pPr>
    </w:p>
    <w:p>
      <w:pPr>
        <w:jc w:val="both"/>
        <w:ind w:left="480" w:hanging="472"/>
        <w:spacing w:after="0" w:line="227" w:lineRule="auto"/>
        <w:tabs>
          <w:tab w:leader="none" w:pos="48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As a percentage of 133,799,695 outstanding Shares of the Issuer, as of September 30, 2019, as reported by the Issuer in its Form 6-K filed with the Securities and Exchange Commission on November 13, 2019 (including 117,289,337 Class A Ordinary Shares and 16,510,358 Class B Ordinary Shares). Each Class A Ordinary Share is entitled to one vote per share, and each Class B Ordinary Share is entitled to ten votes per share. Accordingly, and based on the foregoing, the 12,852,698 Class A Ordinary Shares beneficially owned by the Reporting Person represent 9.6% of the total Shares outstanding, 11.0% of the Class A Ordinary Shares outstanding and approximately 4.6% of the aggregate voting power of the total issued and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822"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26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92763W103</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13D</w:t>
            </w:r>
          </w:p>
        </w:tc>
        <w:tc>
          <w:tcPr>
            <w:tcW w:w="226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9"/>
              </w:rPr>
              <w:t>Page 4 of 7</w:t>
            </w:r>
          </w:p>
        </w:tc>
      </w:tr>
      <w:tr>
        <w:trPr>
          <w:trHeight w:val="31"/>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Amendment No. 3 amends and supplements the statement on Schedule 13D, filed on January 8, 2018, as amended by Amendment No. 1 to the statement on Schedule 13D filed on December 21, 2018 and further amended by Amendment No. 2 to the statement on Schedule 13D filed on March 7, 2019 (as so amended, the “</w:t>
      </w:r>
      <w:r>
        <w:rPr>
          <w:rFonts w:ascii="Arial" w:cs="Arial" w:eastAsia="Arial" w:hAnsi="Arial"/>
          <w:sz w:val="17"/>
          <w:szCs w:val="17"/>
          <w:b w:val="1"/>
          <w:bCs w:val="1"/>
          <w:color w:val="auto"/>
        </w:rPr>
        <w:t>Statement</w:t>
      </w:r>
      <w:r>
        <w:rPr>
          <w:rFonts w:ascii="Arial" w:cs="Arial" w:eastAsia="Arial" w:hAnsi="Arial"/>
          <w:sz w:val="17"/>
          <w:szCs w:val="17"/>
          <w:color w:val="auto"/>
        </w:rPr>
        <w:t>”) relating to the Class A Ordinary Shares, par value $0.0001 per share (the “</w:t>
      </w:r>
      <w:r>
        <w:rPr>
          <w:rFonts w:ascii="Arial" w:cs="Arial" w:eastAsia="Arial" w:hAnsi="Arial"/>
          <w:sz w:val="17"/>
          <w:szCs w:val="17"/>
          <w:b w:val="1"/>
          <w:bCs w:val="1"/>
          <w:color w:val="auto"/>
        </w:rPr>
        <w:t>Class A Ordinary Shares</w:t>
      </w:r>
      <w:r>
        <w:rPr>
          <w:rFonts w:ascii="Arial" w:cs="Arial" w:eastAsia="Arial" w:hAnsi="Arial"/>
          <w:sz w:val="17"/>
          <w:szCs w:val="17"/>
          <w:color w:val="auto"/>
        </w:rPr>
        <w:t>”) of Vipshop Holdings Limited, a company incorporated under the laws of the Cayman Islands (the “</w:t>
      </w:r>
      <w:r>
        <w:rPr>
          <w:rFonts w:ascii="Arial" w:cs="Arial" w:eastAsia="Arial" w:hAnsi="Arial"/>
          <w:sz w:val="17"/>
          <w:szCs w:val="17"/>
          <w:b w:val="1"/>
          <w:bCs w:val="1"/>
          <w:color w:val="auto"/>
        </w:rPr>
        <w:t>Issuer</w:t>
      </w:r>
      <w:r>
        <w:rPr>
          <w:rFonts w:ascii="Arial" w:cs="Arial" w:eastAsia="Arial" w:hAnsi="Arial"/>
          <w:sz w:val="17"/>
          <w:szCs w:val="17"/>
          <w:color w:val="auto"/>
        </w:rPr>
        <w:t>”). The address of the principal executive offices of the Issuer is No. 20 Huahai Street, Liwan District, Guangzhou, Guangdong 510370, People's Republic of China.</w:t>
      </w:r>
    </w:p>
    <w:p>
      <w:pPr>
        <w:spacing w:after="0" w:line="169"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color w:val="auto"/>
        </w:rPr>
        <w:t>The Issuer’s American depositary shares (the “</w:t>
      </w:r>
      <w:r>
        <w:rPr>
          <w:rFonts w:ascii="Arial" w:cs="Arial" w:eastAsia="Arial" w:hAnsi="Arial"/>
          <w:sz w:val="18"/>
          <w:szCs w:val="18"/>
          <w:b w:val="1"/>
          <w:bCs w:val="1"/>
          <w:color w:val="auto"/>
        </w:rPr>
        <w:t>ADSs</w:t>
      </w:r>
      <w:r>
        <w:rPr>
          <w:rFonts w:ascii="Arial" w:cs="Arial" w:eastAsia="Arial" w:hAnsi="Arial"/>
          <w:sz w:val="18"/>
          <w:szCs w:val="18"/>
          <w:color w:val="auto"/>
        </w:rPr>
        <w:t>”), each representing 0.2 Class A Ordinary Share, are listed on the New York Stock Exchange under the symbol “VIPS.” The Reporting Persons (as defined below) beneficially own Class A Ordinary Shares (including the Class A Ordinary Shares represented by ADSs).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3 of the Statement is hereby amended and supplemented by adding the following information: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November 25, 2019 to, and including December 13, 2019, Tencent Mobility purchased an aggregate of 6,472,841 ADSs, representing approximately 1,294,568 Class A Ordinary Shares of the Issuer, in the open market, for an aggregate purchase price of US$84,191,948 with a weighted average trading price of US$13.01 per ADS. Tencent Mobility used funds from an affiliate, which is a wholly owned subsidiary of Tencent, to acquire such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5 of the Statement is hereby amended and restated in its entirety as follows:</w:t>
      </w:r>
    </w:p>
    <w:p>
      <w:pPr>
        <w:spacing w:after="0" w:line="225" w:lineRule="exact"/>
        <w:rPr>
          <w:sz w:val="20"/>
          <w:szCs w:val="20"/>
          <w:color w:val="auto"/>
        </w:rPr>
      </w:pPr>
    </w:p>
    <w:p>
      <w:pPr>
        <w:ind w:firstLine="332"/>
        <w:spacing w:after="0" w:line="277" w:lineRule="auto"/>
        <w:tabs>
          <w:tab w:leader="none" w:pos="572" w:val="left"/>
        </w:tabs>
        <w:numPr>
          <w:ilvl w:val="0"/>
          <w:numId w:val="9"/>
        </w:numPr>
        <w:rPr>
          <w:rFonts w:ascii="Arial" w:cs="Arial" w:eastAsia="Arial" w:hAnsi="Arial"/>
          <w:sz w:val="18"/>
          <w:szCs w:val="18"/>
          <w:color w:val="auto"/>
        </w:rPr>
      </w:pPr>
      <w:r>
        <w:rPr>
          <w:rFonts w:ascii="Arial" w:cs="Arial" w:eastAsia="Arial" w:hAnsi="Arial"/>
          <w:sz w:val="18"/>
          <w:szCs w:val="18"/>
          <w:color w:val="auto"/>
        </w:rPr>
        <w:t>- (b) As of the date of this Statement, each Reporting Person may be deemed to have beneficial ownership and shared power to vote or direct the vote of 12,852,698 Class A Ordinary Shares.</w:t>
      </w:r>
    </w:p>
    <w:p>
      <w:pPr>
        <w:spacing w:after="0" w:line="170" w:lineRule="exact"/>
        <w:rPr>
          <w:sz w:val="20"/>
          <w:szCs w:val="20"/>
          <w:color w:val="auto"/>
        </w:rPr>
      </w:pPr>
    </w:p>
    <w:p>
      <w:pPr>
        <w:jc w:val="both"/>
        <w:ind w:firstLine="321"/>
        <w:spacing w:after="0" w:line="264" w:lineRule="auto"/>
        <w:rPr>
          <w:sz w:val="20"/>
          <w:szCs w:val="20"/>
          <w:color w:val="auto"/>
        </w:rPr>
      </w:pPr>
      <w:r>
        <w:rPr>
          <w:rFonts w:ascii="Arial" w:cs="Arial" w:eastAsia="Arial" w:hAnsi="Arial"/>
          <w:sz w:val="18"/>
          <w:szCs w:val="18"/>
          <w:color w:val="auto"/>
        </w:rPr>
        <w:t>Based on a total of 117,289,337 Class A Ordinary Shares and 16,510,358 Class B Ordinary Shares outstanding, as of September 30, 2019, as reported by the Issuer in its Form 6-K filed with the Securities and Exchange Commission on November 13, 2019, the Reporting Persons beneficially held approximately 9.6% of the total Shares outstanding and 11.0% of the Class A Ordinary Shares outstanding.</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Except as set forth in this Item 5(a) and (b), to the knowledge of the Reporting Persons, no person identified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 beneficially owns any Shares.</w:t>
      </w:r>
    </w:p>
    <w:p>
      <w:pPr>
        <w:spacing w:after="0" w:line="170" w:lineRule="exact"/>
        <w:rPr>
          <w:sz w:val="20"/>
          <w:szCs w:val="20"/>
          <w:color w:val="auto"/>
        </w:rPr>
      </w:pPr>
    </w:p>
    <w:p>
      <w:pPr>
        <w:jc w:val="both"/>
        <w:ind w:right="20" w:firstLine="332"/>
        <w:spacing w:after="0" w:line="264" w:lineRule="auto"/>
        <w:tabs>
          <w:tab w:leader="none" w:pos="5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Except as described in Item 3 above or Item 6 below (each of which are incorporated into this Item 5(c) by reference) and this Item 5(c), there have been no transactions in the Shares by the Reporting Persons during the past 60 days. To the knowledge of the Reporting Persons, there have been no transactions in the Shares by any of the persons identified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26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92763W103</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13D</w:t>
            </w:r>
          </w:p>
        </w:tc>
        <w:tc>
          <w:tcPr>
            <w:tcW w:w="226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9"/>
              </w:rPr>
              <w:t>Page 5 of 7</w:t>
            </w:r>
          </w:p>
        </w:tc>
      </w:tr>
      <w:tr>
        <w:trPr>
          <w:trHeight w:val="31"/>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transactions in the Shares effected by Tencent Mobility during the past 60 days. All such transactions were effected in the open market by the purchase of ADSs. Tencent Mobility used funds from an affiliate, which is a wholly owned subsidiary of Tencent to purchase such shares.</w:t>
      </w:r>
    </w:p>
    <w:p>
      <w:pPr>
        <w:spacing w:after="0" w:line="176" w:lineRule="exact"/>
        <w:rPr>
          <w:sz w:val="20"/>
          <w:szCs w:val="20"/>
          <w:color w:val="auto"/>
        </w:rPr>
      </w:pPr>
    </w:p>
    <w:tbl>
      <w:tblPr>
        <w:tblLayout w:type="fixed"/>
        <w:tblInd w:w="1730" w:type="dxa"/>
        <w:tblCellMar>
          <w:top w:w="0" w:type="dxa"/>
          <w:left w:w="0" w:type="dxa"/>
          <w:bottom w:w="0" w:type="dxa"/>
          <w:right w:w="0" w:type="dxa"/>
        </w:tblCellMar>
      </w:tblPr>
      <w:tr>
        <w:trPr>
          <w:trHeight w:val="252"/>
        </w:trPr>
        <w:tc>
          <w:tcPr>
            <w:tcW w:w="3220" w:type="dxa"/>
            <w:vAlign w:val="bottom"/>
            <w:tcBorders>
              <w:top w:val="single" w:sz="8" w:color="auto"/>
              <w:left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 of</w:t>
            </w:r>
          </w:p>
        </w:tc>
        <w:tc>
          <w:tcPr>
            <w:tcW w:w="1580" w:type="dxa"/>
            <w:vAlign w:val="bottom"/>
            <w:tcBorders>
              <w:top w:val="single" w:sz="8" w:color="auto"/>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Representing</w:t>
            </w:r>
          </w:p>
        </w:tc>
        <w:tc>
          <w:tcPr>
            <w:tcW w:w="158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rPr>
              <w:t>Transaction Date</w:t>
            </w:r>
          </w:p>
        </w:tc>
        <w:tc>
          <w:tcPr>
            <w:tcW w:w="1600" w:type="dxa"/>
            <w:vAlign w:val="bottom"/>
            <w:tcBorders>
              <w:right w:val="single" w:sz="8" w:color="auto"/>
            </w:tcBorders>
            <w:vMerge w:val="restart"/>
          </w:tcPr>
          <w:p>
            <w:pPr>
              <w:jc w:val="right"/>
              <w:ind w:right="510"/>
              <w:spacing w:after="0"/>
              <w:rPr>
                <w:sz w:val="20"/>
                <w:szCs w:val="20"/>
                <w:color w:val="auto"/>
              </w:rPr>
            </w:pPr>
            <w:r>
              <w:rPr>
                <w:rFonts w:ascii="Arial" w:cs="Arial" w:eastAsia="Arial" w:hAnsi="Arial"/>
                <w:sz w:val="18"/>
                <w:szCs w:val="18"/>
                <w:b w:val="1"/>
                <w:bCs w:val="1"/>
                <w:color w:val="auto"/>
              </w:rPr>
              <w:t>ADSs</w:t>
            </w:r>
          </w:p>
        </w:tc>
        <w:tc>
          <w:tcPr>
            <w:tcW w:w="15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4"/>
              </w:rPr>
              <w:t>Number of Shares</w:t>
            </w: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220" w:type="dxa"/>
            <w:vAlign w:val="bottom"/>
            <w:tcBorders>
              <w:left w:val="single" w:sz="8" w:color="auto"/>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rPr>
              <w:t>Purchased</w:t>
            </w: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b w:val="1"/>
                <w:bCs w:val="1"/>
                <w:color w:val="auto"/>
                <w:w w:val="95"/>
              </w:rPr>
              <w:t>Price Per ADS</w:t>
            </w:r>
          </w:p>
        </w:tc>
        <w:tc>
          <w:tcPr>
            <w:tcW w:w="0" w:type="dxa"/>
            <w:vAlign w:val="bottom"/>
          </w:tcPr>
          <w:p>
            <w:pPr>
              <w:spacing w:after="0"/>
              <w:rPr>
                <w:sz w:val="1"/>
                <w:szCs w:val="1"/>
                <w:color w:val="auto"/>
              </w:rPr>
            </w:pPr>
          </w:p>
        </w:tc>
      </w:tr>
      <w:tr>
        <w:trPr>
          <w:trHeight w:val="108"/>
        </w:trPr>
        <w:tc>
          <w:tcPr>
            <w:tcW w:w="3220" w:type="dxa"/>
            <w:vAlign w:val="bottom"/>
            <w:tcBorders>
              <w:left w:val="single" w:sz="8" w:color="auto"/>
              <w:right w:val="single" w:sz="8" w:color="auto"/>
            </w:tcBorders>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20" w:type="dxa"/>
            <w:vAlign w:val="bottom"/>
            <w:tcBorders>
              <w:left w:val="single" w:sz="8" w:color="auto"/>
              <w:bottom w:val="single" w:sz="8" w:color="C6F4F9"/>
              <w:right w:val="single" w:sz="8" w:color="auto"/>
            </w:tcBorders>
            <w:shd w:val="clear" w:color="auto" w:fill="C6F4F9"/>
          </w:tcPr>
          <w:p>
            <w:pPr>
              <w:ind w:left="380"/>
              <w:spacing w:after="0"/>
              <w:rPr>
                <w:sz w:val="20"/>
                <w:szCs w:val="20"/>
                <w:color w:val="auto"/>
              </w:rPr>
            </w:pPr>
            <w:r>
              <w:rPr>
                <w:rFonts w:ascii="Arial" w:cs="Arial" w:eastAsia="Arial" w:hAnsi="Arial"/>
                <w:sz w:val="18"/>
                <w:szCs w:val="18"/>
                <w:color w:val="auto"/>
              </w:rPr>
              <w:t>November 25, 2019</w:t>
            </w:r>
          </w:p>
        </w:tc>
        <w:tc>
          <w:tcPr>
            <w:tcW w:w="160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348,756</w:t>
            </w:r>
          </w:p>
        </w:tc>
        <w:tc>
          <w:tcPr>
            <w:tcW w:w="158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69,751</w:t>
            </w:r>
          </w:p>
        </w:tc>
        <w:tc>
          <w:tcPr>
            <w:tcW w:w="1580" w:type="dxa"/>
            <w:vAlign w:val="bottom"/>
            <w:tcBorders>
              <w:bottom w:val="single" w:sz="8" w:color="C6F4F9"/>
              <w:right w:val="single" w:sz="8" w:color="auto"/>
            </w:tcBorders>
            <w:shd w:val="clear" w:color="auto" w:fill="C6F4F9"/>
          </w:tcPr>
          <w:p>
            <w:pPr>
              <w:ind w:left="800"/>
              <w:spacing w:after="0"/>
              <w:rPr>
                <w:sz w:val="20"/>
                <w:szCs w:val="20"/>
                <w:color w:val="auto"/>
              </w:rPr>
            </w:pPr>
            <w:r>
              <w:rPr>
                <w:rFonts w:ascii="Arial" w:cs="Arial" w:eastAsia="Arial" w:hAnsi="Arial"/>
                <w:sz w:val="18"/>
                <w:szCs w:val="18"/>
                <w:color w:val="auto"/>
                <w:w w:val="92"/>
              </w:rPr>
              <w:t>US$12.61</w:t>
            </w:r>
          </w:p>
        </w:tc>
        <w:tc>
          <w:tcPr>
            <w:tcW w:w="0" w:type="dxa"/>
            <w:vAlign w:val="bottom"/>
          </w:tcPr>
          <w:p>
            <w:pPr>
              <w:spacing w:after="0"/>
              <w:rPr>
                <w:sz w:val="1"/>
                <w:szCs w:val="1"/>
                <w:color w:val="auto"/>
              </w:rPr>
            </w:pPr>
          </w:p>
        </w:tc>
      </w:tr>
      <w:tr>
        <w:trPr>
          <w:trHeight w:val="243"/>
        </w:trPr>
        <w:tc>
          <w:tcPr>
            <w:tcW w:w="322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November 26, 2019</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323,763</w:t>
            </w:r>
          </w:p>
        </w:tc>
        <w:tc>
          <w:tcPr>
            <w:tcW w:w="1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64,753</w:t>
            </w:r>
          </w:p>
        </w:tc>
        <w:tc>
          <w:tcPr>
            <w:tcW w:w="158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2"/>
              </w:rPr>
              <w:t>US$12.63</w:t>
            </w:r>
          </w:p>
        </w:tc>
        <w:tc>
          <w:tcPr>
            <w:tcW w:w="0" w:type="dxa"/>
            <w:vAlign w:val="bottom"/>
          </w:tcPr>
          <w:p>
            <w:pPr>
              <w:spacing w:after="0"/>
              <w:rPr>
                <w:sz w:val="1"/>
                <w:szCs w:val="1"/>
                <w:color w:val="auto"/>
              </w:rPr>
            </w:pPr>
          </w:p>
        </w:tc>
      </w:tr>
      <w:tr>
        <w:trPr>
          <w:trHeight w:val="34"/>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20" w:type="dxa"/>
            <w:vAlign w:val="bottom"/>
            <w:tcBorders>
              <w:left w:val="single" w:sz="8" w:color="auto"/>
              <w:bottom w:val="single" w:sz="8" w:color="C6F4F9"/>
              <w:right w:val="single" w:sz="8" w:color="auto"/>
            </w:tcBorders>
            <w:shd w:val="clear" w:color="auto" w:fill="C6F4F9"/>
          </w:tcPr>
          <w:p>
            <w:pPr>
              <w:ind w:left="380"/>
              <w:spacing w:after="0"/>
              <w:rPr>
                <w:sz w:val="20"/>
                <w:szCs w:val="20"/>
                <w:color w:val="auto"/>
              </w:rPr>
            </w:pPr>
            <w:r>
              <w:rPr>
                <w:rFonts w:ascii="Arial" w:cs="Arial" w:eastAsia="Arial" w:hAnsi="Arial"/>
                <w:sz w:val="18"/>
                <w:szCs w:val="18"/>
                <w:color w:val="auto"/>
              </w:rPr>
              <w:t>November 27, 2019</w:t>
            </w:r>
          </w:p>
        </w:tc>
        <w:tc>
          <w:tcPr>
            <w:tcW w:w="160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227,439</w:t>
            </w:r>
          </w:p>
        </w:tc>
        <w:tc>
          <w:tcPr>
            <w:tcW w:w="158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45,488</w:t>
            </w:r>
          </w:p>
        </w:tc>
        <w:tc>
          <w:tcPr>
            <w:tcW w:w="1580" w:type="dxa"/>
            <w:vAlign w:val="bottom"/>
            <w:tcBorders>
              <w:bottom w:val="single" w:sz="8" w:color="C6F4F9"/>
              <w:right w:val="single" w:sz="8" w:color="auto"/>
            </w:tcBorders>
            <w:shd w:val="clear" w:color="auto" w:fill="C6F4F9"/>
          </w:tcPr>
          <w:p>
            <w:pPr>
              <w:ind w:left="800"/>
              <w:spacing w:after="0"/>
              <w:rPr>
                <w:sz w:val="20"/>
                <w:szCs w:val="20"/>
                <w:color w:val="auto"/>
              </w:rPr>
            </w:pPr>
            <w:r>
              <w:rPr>
                <w:rFonts w:ascii="Arial" w:cs="Arial" w:eastAsia="Arial" w:hAnsi="Arial"/>
                <w:sz w:val="18"/>
                <w:szCs w:val="18"/>
                <w:color w:val="auto"/>
                <w:w w:val="92"/>
              </w:rPr>
              <w:t>US$12.96</w:t>
            </w:r>
          </w:p>
        </w:tc>
        <w:tc>
          <w:tcPr>
            <w:tcW w:w="0" w:type="dxa"/>
            <w:vAlign w:val="bottom"/>
          </w:tcPr>
          <w:p>
            <w:pPr>
              <w:spacing w:after="0"/>
              <w:rPr>
                <w:sz w:val="1"/>
                <w:szCs w:val="1"/>
                <w:color w:val="auto"/>
              </w:rPr>
            </w:pPr>
          </w:p>
        </w:tc>
      </w:tr>
      <w:tr>
        <w:trPr>
          <w:trHeight w:val="243"/>
        </w:trPr>
        <w:tc>
          <w:tcPr>
            <w:tcW w:w="322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November 29, 2019</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396,014</w:t>
            </w:r>
          </w:p>
        </w:tc>
        <w:tc>
          <w:tcPr>
            <w:tcW w:w="1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79,203</w:t>
            </w:r>
          </w:p>
        </w:tc>
        <w:tc>
          <w:tcPr>
            <w:tcW w:w="158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2"/>
              </w:rPr>
              <w:t>US$12.80</w:t>
            </w:r>
          </w:p>
        </w:tc>
        <w:tc>
          <w:tcPr>
            <w:tcW w:w="0" w:type="dxa"/>
            <w:vAlign w:val="bottom"/>
          </w:tcPr>
          <w:p>
            <w:pPr>
              <w:spacing w:after="0"/>
              <w:rPr>
                <w:sz w:val="1"/>
                <w:szCs w:val="1"/>
                <w:color w:val="auto"/>
              </w:rPr>
            </w:pPr>
          </w:p>
        </w:tc>
      </w:tr>
      <w:tr>
        <w:trPr>
          <w:trHeight w:val="34"/>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20" w:type="dxa"/>
            <w:vAlign w:val="bottom"/>
            <w:tcBorders>
              <w:left w:val="single" w:sz="8" w:color="auto"/>
              <w:bottom w:val="single" w:sz="8" w:color="C6F4F9"/>
              <w:right w:val="single" w:sz="8" w:color="auto"/>
            </w:tcBorders>
            <w:shd w:val="clear" w:color="auto" w:fill="C6F4F9"/>
          </w:tcPr>
          <w:p>
            <w:pPr>
              <w:ind w:left="380"/>
              <w:spacing w:after="0"/>
              <w:rPr>
                <w:sz w:val="20"/>
                <w:szCs w:val="20"/>
                <w:color w:val="auto"/>
              </w:rPr>
            </w:pPr>
            <w:r>
              <w:rPr>
                <w:rFonts w:ascii="Arial" w:cs="Arial" w:eastAsia="Arial" w:hAnsi="Arial"/>
                <w:sz w:val="18"/>
                <w:szCs w:val="18"/>
                <w:color w:val="auto"/>
              </w:rPr>
              <w:t>December 2, 2019</w:t>
            </w:r>
          </w:p>
        </w:tc>
        <w:tc>
          <w:tcPr>
            <w:tcW w:w="160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704,674</w:t>
            </w:r>
          </w:p>
        </w:tc>
        <w:tc>
          <w:tcPr>
            <w:tcW w:w="158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140,935</w:t>
            </w:r>
          </w:p>
        </w:tc>
        <w:tc>
          <w:tcPr>
            <w:tcW w:w="1580" w:type="dxa"/>
            <w:vAlign w:val="bottom"/>
            <w:tcBorders>
              <w:bottom w:val="single" w:sz="8" w:color="C6F4F9"/>
              <w:right w:val="single" w:sz="8" w:color="auto"/>
            </w:tcBorders>
            <w:shd w:val="clear" w:color="auto" w:fill="C6F4F9"/>
          </w:tcPr>
          <w:p>
            <w:pPr>
              <w:ind w:left="800"/>
              <w:spacing w:after="0"/>
              <w:rPr>
                <w:sz w:val="20"/>
                <w:szCs w:val="20"/>
                <w:color w:val="auto"/>
              </w:rPr>
            </w:pPr>
            <w:r>
              <w:rPr>
                <w:rFonts w:ascii="Arial" w:cs="Arial" w:eastAsia="Arial" w:hAnsi="Arial"/>
                <w:sz w:val="18"/>
                <w:szCs w:val="18"/>
                <w:color w:val="auto"/>
                <w:w w:val="92"/>
              </w:rPr>
              <w:t>US$12.71</w:t>
            </w:r>
          </w:p>
        </w:tc>
        <w:tc>
          <w:tcPr>
            <w:tcW w:w="0" w:type="dxa"/>
            <w:vAlign w:val="bottom"/>
          </w:tcPr>
          <w:p>
            <w:pPr>
              <w:spacing w:after="0"/>
              <w:rPr>
                <w:sz w:val="1"/>
                <w:szCs w:val="1"/>
                <w:color w:val="auto"/>
              </w:rPr>
            </w:pPr>
          </w:p>
        </w:tc>
      </w:tr>
      <w:tr>
        <w:trPr>
          <w:trHeight w:val="243"/>
        </w:trPr>
        <w:tc>
          <w:tcPr>
            <w:tcW w:w="322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December 3, 2019</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1,417,558</w:t>
            </w:r>
          </w:p>
        </w:tc>
        <w:tc>
          <w:tcPr>
            <w:tcW w:w="1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283,512</w:t>
            </w:r>
          </w:p>
        </w:tc>
        <w:tc>
          <w:tcPr>
            <w:tcW w:w="158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2"/>
              </w:rPr>
              <w:t>US$12.82</w:t>
            </w:r>
          </w:p>
        </w:tc>
        <w:tc>
          <w:tcPr>
            <w:tcW w:w="0" w:type="dxa"/>
            <w:vAlign w:val="bottom"/>
          </w:tcPr>
          <w:p>
            <w:pPr>
              <w:spacing w:after="0"/>
              <w:rPr>
                <w:sz w:val="1"/>
                <w:szCs w:val="1"/>
                <w:color w:val="auto"/>
              </w:rPr>
            </w:pPr>
          </w:p>
        </w:tc>
      </w:tr>
      <w:tr>
        <w:trPr>
          <w:trHeight w:val="34"/>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20" w:type="dxa"/>
            <w:vAlign w:val="bottom"/>
            <w:tcBorders>
              <w:left w:val="single" w:sz="8" w:color="auto"/>
              <w:bottom w:val="single" w:sz="8" w:color="C6F4F9"/>
              <w:right w:val="single" w:sz="8" w:color="auto"/>
            </w:tcBorders>
            <w:shd w:val="clear" w:color="auto" w:fill="C6F4F9"/>
          </w:tcPr>
          <w:p>
            <w:pPr>
              <w:ind w:left="380"/>
              <w:spacing w:after="0"/>
              <w:rPr>
                <w:sz w:val="20"/>
                <w:szCs w:val="20"/>
                <w:color w:val="auto"/>
              </w:rPr>
            </w:pPr>
            <w:r>
              <w:rPr>
                <w:rFonts w:ascii="Arial" w:cs="Arial" w:eastAsia="Arial" w:hAnsi="Arial"/>
                <w:sz w:val="18"/>
                <w:szCs w:val="18"/>
                <w:color w:val="auto"/>
              </w:rPr>
              <w:t>December 4, 2019</w:t>
            </w:r>
          </w:p>
        </w:tc>
        <w:tc>
          <w:tcPr>
            <w:tcW w:w="160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681,948</w:t>
            </w:r>
          </w:p>
        </w:tc>
        <w:tc>
          <w:tcPr>
            <w:tcW w:w="158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136,390</w:t>
            </w:r>
          </w:p>
        </w:tc>
        <w:tc>
          <w:tcPr>
            <w:tcW w:w="1580" w:type="dxa"/>
            <w:vAlign w:val="bottom"/>
            <w:tcBorders>
              <w:bottom w:val="single" w:sz="8" w:color="C6F4F9"/>
              <w:right w:val="single" w:sz="8" w:color="auto"/>
            </w:tcBorders>
            <w:shd w:val="clear" w:color="auto" w:fill="C6F4F9"/>
          </w:tcPr>
          <w:p>
            <w:pPr>
              <w:ind w:left="800"/>
              <w:spacing w:after="0"/>
              <w:rPr>
                <w:sz w:val="20"/>
                <w:szCs w:val="20"/>
                <w:color w:val="auto"/>
              </w:rPr>
            </w:pPr>
            <w:r>
              <w:rPr>
                <w:rFonts w:ascii="Arial" w:cs="Arial" w:eastAsia="Arial" w:hAnsi="Arial"/>
                <w:sz w:val="18"/>
                <w:szCs w:val="18"/>
                <w:color w:val="auto"/>
                <w:w w:val="92"/>
              </w:rPr>
              <w:t>US$12.89</w:t>
            </w:r>
          </w:p>
        </w:tc>
        <w:tc>
          <w:tcPr>
            <w:tcW w:w="0" w:type="dxa"/>
            <w:vAlign w:val="bottom"/>
          </w:tcPr>
          <w:p>
            <w:pPr>
              <w:spacing w:after="0"/>
              <w:rPr>
                <w:sz w:val="1"/>
                <w:szCs w:val="1"/>
                <w:color w:val="auto"/>
              </w:rPr>
            </w:pPr>
          </w:p>
        </w:tc>
      </w:tr>
      <w:tr>
        <w:trPr>
          <w:trHeight w:val="243"/>
        </w:trPr>
        <w:tc>
          <w:tcPr>
            <w:tcW w:w="322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December 5, 2019</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672,235</w:t>
            </w:r>
          </w:p>
        </w:tc>
        <w:tc>
          <w:tcPr>
            <w:tcW w:w="1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134,447</w:t>
            </w:r>
          </w:p>
        </w:tc>
        <w:tc>
          <w:tcPr>
            <w:tcW w:w="158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2"/>
              </w:rPr>
              <w:t>US$13.07</w:t>
            </w:r>
          </w:p>
        </w:tc>
        <w:tc>
          <w:tcPr>
            <w:tcW w:w="0" w:type="dxa"/>
            <w:vAlign w:val="bottom"/>
          </w:tcPr>
          <w:p>
            <w:pPr>
              <w:spacing w:after="0"/>
              <w:rPr>
                <w:sz w:val="1"/>
                <w:szCs w:val="1"/>
                <w:color w:val="auto"/>
              </w:rPr>
            </w:pPr>
          </w:p>
        </w:tc>
      </w:tr>
      <w:tr>
        <w:trPr>
          <w:trHeight w:val="34"/>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220" w:type="dxa"/>
            <w:vAlign w:val="bottom"/>
            <w:tcBorders>
              <w:left w:val="single" w:sz="8" w:color="auto"/>
              <w:bottom w:val="single" w:sz="8" w:color="C6F4F9"/>
              <w:right w:val="single" w:sz="8" w:color="auto"/>
            </w:tcBorders>
            <w:shd w:val="clear" w:color="auto" w:fill="C6F4F9"/>
          </w:tcPr>
          <w:p>
            <w:pPr>
              <w:ind w:left="380"/>
              <w:spacing w:after="0"/>
              <w:rPr>
                <w:sz w:val="20"/>
                <w:szCs w:val="20"/>
                <w:color w:val="auto"/>
              </w:rPr>
            </w:pPr>
            <w:r>
              <w:rPr>
                <w:rFonts w:ascii="Arial" w:cs="Arial" w:eastAsia="Arial" w:hAnsi="Arial"/>
                <w:sz w:val="18"/>
                <w:szCs w:val="18"/>
                <w:color w:val="auto"/>
              </w:rPr>
              <w:t>December 6, 2019</w:t>
            </w:r>
          </w:p>
        </w:tc>
        <w:tc>
          <w:tcPr>
            <w:tcW w:w="160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312,454</w:t>
            </w:r>
          </w:p>
        </w:tc>
        <w:tc>
          <w:tcPr>
            <w:tcW w:w="158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62,491</w:t>
            </w:r>
          </w:p>
        </w:tc>
        <w:tc>
          <w:tcPr>
            <w:tcW w:w="1580" w:type="dxa"/>
            <w:vAlign w:val="bottom"/>
            <w:tcBorders>
              <w:bottom w:val="single" w:sz="8" w:color="C6F4F9"/>
              <w:right w:val="single" w:sz="8" w:color="auto"/>
            </w:tcBorders>
            <w:shd w:val="clear" w:color="auto" w:fill="C6F4F9"/>
          </w:tcPr>
          <w:p>
            <w:pPr>
              <w:ind w:left="800"/>
              <w:spacing w:after="0"/>
              <w:rPr>
                <w:sz w:val="20"/>
                <w:szCs w:val="20"/>
                <w:color w:val="auto"/>
              </w:rPr>
            </w:pPr>
            <w:r>
              <w:rPr>
                <w:rFonts w:ascii="Arial" w:cs="Arial" w:eastAsia="Arial" w:hAnsi="Arial"/>
                <w:sz w:val="18"/>
                <w:szCs w:val="18"/>
                <w:color w:val="auto"/>
                <w:w w:val="92"/>
              </w:rPr>
              <w:t>US$13.42</w:t>
            </w:r>
          </w:p>
        </w:tc>
        <w:tc>
          <w:tcPr>
            <w:tcW w:w="0" w:type="dxa"/>
            <w:vAlign w:val="bottom"/>
          </w:tcPr>
          <w:p>
            <w:pPr>
              <w:spacing w:after="0"/>
              <w:rPr>
                <w:sz w:val="1"/>
                <w:szCs w:val="1"/>
                <w:color w:val="auto"/>
              </w:rPr>
            </w:pPr>
          </w:p>
        </w:tc>
      </w:tr>
      <w:tr>
        <w:trPr>
          <w:trHeight w:val="243"/>
        </w:trPr>
        <w:tc>
          <w:tcPr>
            <w:tcW w:w="3220" w:type="dxa"/>
            <w:vAlign w:val="bottom"/>
            <w:tcBorders>
              <w:top w:val="single" w:sz="8" w:color="auto"/>
              <w:left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December 9, 2019</w:t>
            </w:r>
          </w:p>
        </w:tc>
        <w:tc>
          <w:tcPr>
            <w:tcW w:w="16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778,000</w:t>
            </w:r>
          </w:p>
        </w:tc>
        <w:tc>
          <w:tcPr>
            <w:tcW w:w="15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155,600</w:t>
            </w:r>
          </w:p>
        </w:tc>
        <w:tc>
          <w:tcPr>
            <w:tcW w:w="158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2"/>
              </w:rPr>
              <w:t>US$13.41</w:t>
            </w:r>
          </w:p>
        </w:tc>
        <w:tc>
          <w:tcPr>
            <w:tcW w:w="0" w:type="dxa"/>
            <w:vAlign w:val="bottom"/>
          </w:tcPr>
          <w:p>
            <w:pPr>
              <w:spacing w:after="0"/>
              <w:rPr>
                <w:sz w:val="1"/>
                <w:szCs w:val="1"/>
                <w:color w:val="auto"/>
              </w:rPr>
            </w:pPr>
          </w:p>
        </w:tc>
      </w:tr>
      <w:tr>
        <w:trPr>
          <w:trHeight w:val="34"/>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20" w:type="dxa"/>
            <w:vAlign w:val="bottom"/>
            <w:tcBorders>
              <w:left w:val="single" w:sz="8" w:color="auto"/>
              <w:bottom w:val="single" w:sz="8" w:color="C6F4F9"/>
              <w:right w:val="single" w:sz="8" w:color="auto"/>
            </w:tcBorders>
            <w:shd w:val="clear" w:color="auto" w:fill="C6F4F9"/>
          </w:tcPr>
          <w:p>
            <w:pPr>
              <w:ind w:left="380"/>
              <w:spacing w:after="0"/>
              <w:rPr>
                <w:sz w:val="20"/>
                <w:szCs w:val="20"/>
                <w:color w:val="auto"/>
              </w:rPr>
            </w:pPr>
            <w:r>
              <w:rPr>
                <w:rFonts w:ascii="Arial" w:cs="Arial" w:eastAsia="Arial" w:hAnsi="Arial"/>
                <w:sz w:val="18"/>
                <w:szCs w:val="18"/>
                <w:color w:val="auto"/>
              </w:rPr>
              <w:t>December 13, 2019</w:t>
            </w:r>
          </w:p>
        </w:tc>
        <w:tc>
          <w:tcPr>
            <w:tcW w:w="160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610,000</w:t>
            </w:r>
          </w:p>
        </w:tc>
        <w:tc>
          <w:tcPr>
            <w:tcW w:w="1580" w:type="dxa"/>
            <w:vAlign w:val="bottom"/>
            <w:tcBorders>
              <w:bottom w:val="single" w:sz="8" w:color="C6F4F9"/>
              <w:right w:val="single" w:sz="8" w:color="auto"/>
            </w:tcBorders>
            <w:shd w:val="clear" w:color="auto" w:fill="C6F4F9"/>
          </w:tcPr>
          <w:p>
            <w:pPr>
              <w:jc w:val="right"/>
              <w:spacing w:after="0"/>
              <w:rPr>
                <w:sz w:val="20"/>
                <w:szCs w:val="20"/>
                <w:color w:val="auto"/>
              </w:rPr>
            </w:pPr>
            <w:r>
              <w:rPr>
                <w:rFonts w:ascii="Arial" w:cs="Arial" w:eastAsia="Arial" w:hAnsi="Arial"/>
                <w:sz w:val="18"/>
                <w:szCs w:val="18"/>
                <w:color w:val="auto"/>
              </w:rPr>
              <w:t>122,000</w:t>
            </w:r>
          </w:p>
        </w:tc>
        <w:tc>
          <w:tcPr>
            <w:tcW w:w="1580" w:type="dxa"/>
            <w:vAlign w:val="bottom"/>
            <w:tcBorders>
              <w:bottom w:val="single" w:sz="8" w:color="C6F4F9"/>
              <w:right w:val="single" w:sz="8" w:color="auto"/>
            </w:tcBorders>
            <w:shd w:val="clear" w:color="auto" w:fill="C6F4F9"/>
          </w:tcPr>
          <w:p>
            <w:pPr>
              <w:ind w:left="800"/>
              <w:spacing w:after="0"/>
              <w:rPr>
                <w:sz w:val="20"/>
                <w:szCs w:val="20"/>
                <w:color w:val="auto"/>
              </w:rPr>
            </w:pPr>
            <w:r>
              <w:rPr>
                <w:rFonts w:ascii="Arial" w:cs="Arial" w:eastAsia="Arial" w:hAnsi="Arial"/>
                <w:sz w:val="18"/>
                <w:szCs w:val="18"/>
                <w:color w:val="auto"/>
                <w:w w:val="92"/>
              </w:rPr>
              <w:t>US$13.68</w:t>
            </w:r>
          </w:p>
        </w:tc>
        <w:tc>
          <w:tcPr>
            <w:tcW w:w="0" w:type="dxa"/>
            <w:vAlign w:val="bottom"/>
          </w:tcPr>
          <w:p>
            <w:pPr>
              <w:spacing w:after="0"/>
              <w:rPr>
                <w:sz w:val="1"/>
                <w:szCs w:val="1"/>
                <w:color w:val="auto"/>
              </w:rPr>
            </w:pPr>
          </w:p>
        </w:tc>
      </w:tr>
      <w:tr>
        <w:trPr>
          <w:trHeight w:val="27"/>
        </w:trPr>
        <w:tc>
          <w:tcPr>
            <w:tcW w:w="3220" w:type="dxa"/>
            <w:vAlign w:val="bottom"/>
            <w:tcBorders>
              <w:left w:val="single" w:sz="8" w:color="auto"/>
              <w:right w:val="single" w:sz="8" w:color="auto"/>
            </w:tcBorders>
            <w:shd w:val="clear" w:color="auto" w:fill="000000"/>
          </w:tcPr>
          <w:p>
            <w:pPr>
              <w:spacing w:after="0"/>
              <w:rPr>
                <w:sz w:val="2"/>
                <w:szCs w:val="2"/>
                <w:color w:val="auto"/>
              </w:rPr>
            </w:pPr>
          </w:p>
        </w:tc>
        <w:tc>
          <w:tcPr>
            <w:tcW w:w="1600" w:type="dxa"/>
            <w:vAlign w:val="bottom"/>
            <w:tcBorders>
              <w:right w:val="single" w:sz="8" w:color="auto"/>
            </w:tcBorders>
            <w:shd w:val="clear" w:color="auto" w:fill="000000"/>
          </w:tcPr>
          <w:p>
            <w:pPr>
              <w:spacing w:after="0"/>
              <w:rPr>
                <w:sz w:val="2"/>
                <w:szCs w:val="2"/>
                <w:color w:val="auto"/>
              </w:rPr>
            </w:pPr>
          </w:p>
        </w:tc>
        <w:tc>
          <w:tcPr>
            <w:tcW w:w="1580" w:type="dxa"/>
            <w:vAlign w:val="bottom"/>
            <w:tcBorders>
              <w:right w:val="single" w:sz="8" w:color="auto"/>
            </w:tcBorders>
            <w:shd w:val="clear" w:color="auto" w:fill="000000"/>
          </w:tcPr>
          <w:p>
            <w:pPr>
              <w:spacing w:after="0"/>
              <w:rPr>
                <w:sz w:val="2"/>
                <w:szCs w:val="2"/>
                <w:color w:val="auto"/>
              </w:rPr>
            </w:pPr>
          </w:p>
        </w:tc>
        <w:tc>
          <w:tcPr>
            <w:tcW w:w="15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32"/>
        <w:spacing w:after="0" w:line="277" w:lineRule="auto"/>
        <w:tabs>
          <w:tab w:leader="none" w:pos="5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than the Reporting Persons, no other person is known to have the right to receive or the power to direct the receipt of dividends from, or any proceeds from the sale of, the securities beneficially owned by the Reporting Persons identified in this Item 5.</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267"/>
        </w:trPr>
        <w:tc>
          <w:tcPr>
            <w:tcW w:w="22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92763W103</w:t>
            </w:r>
          </w:p>
        </w:tc>
        <w:tc>
          <w:tcPr>
            <w:tcW w:w="6880" w:type="dxa"/>
            <w:vAlign w:val="bottom"/>
            <w:tcBorders>
              <w:right w:val="single" w:sz="8" w:color="auto"/>
            </w:tcBorders>
          </w:tcPr>
          <w:p>
            <w:pPr>
              <w:ind w:left="2760"/>
              <w:spacing w:after="0"/>
              <w:rPr>
                <w:sz w:val="20"/>
                <w:szCs w:val="20"/>
                <w:color w:val="auto"/>
              </w:rPr>
            </w:pPr>
            <w:r>
              <w:rPr>
                <w:rFonts w:ascii="Arial" w:cs="Arial" w:eastAsia="Arial" w:hAnsi="Arial"/>
                <w:sz w:val="18"/>
                <w:szCs w:val="18"/>
                <w:b w:val="1"/>
                <w:bCs w:val="1"/>
                <w:color w:val="auto"/>
              </w:rPr>
              <w:t>SCHEDULE 13D</w:t>
            </w:r>
          </w:p>
        </w:tc>
        <w:tc>
          <w:tcPr>
            <w:tcW w:w="226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color w:val="auto"/>
                <w:w w:val="89"/>
              </w:rPr>
              <w:t>Page 6 of 7</w:t>
            </w:r>
          </w:p>
        </w:tc>
      </w:tr>
      <w:tr>
        <w:trPr>
          <w:trHeight w:val="31"/>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688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tabs>
          <w:tab w:leader="none" w:pos="920" w:val="left"/>
        </w:tabs>
        <w:rPr>
          <w:rFonts w:ascii="Arial" w:cs="Arial" w:eastAsia="Arial" w:hAnsi="Arial"/>
          <w:sz w:val="16"/>
          <w:szCs w:val="16"/>
          <w:u w:val="single" w:color="auto"/>
          <w:color w:val="0000EE"/>
        </w:rPr>
      </w:pPr>
      <w:r>
        <w:rPr>
          <w:rFonts w:ascii="Arial" w:cs="Arial" w:eastAsia="Arial" w:hAnsi="Arial"/>
          <w:sz w:val="18"/>
          <w:szCs w:val="18"/>
          <w:color w:val="auto"/>
        </w:rPr>
        <w:t>Exhibit 1:</w:t>
      </w:r>
      <w:r>
        <w:rPr>
          <w:sz w:val="20"/>
          <w:szCs w:val="20"/>
          <w:color w:val="auto"/>
        </w:rPr>
        <w:tab/>
      </w:r>
      <w:hyperlink w:anchor="page11">
        <w:r>
          <w:rPr>
            <w:rFonts w:ascii="Arial" w:cs="Arial" w:eastAsia="Arial" w:hAnsi="Arial"/>
            <w:sz w:val="16"/>
            <w:szCs w:val="16"/>
            <w:u w:val="single" w:color="auto"/>
            <w:color w:val="0000EE"/>
          </w:rPr>
          <w:t>Joint Filing Agreement, dated December 16, 2019, between Tencent Mobility Limited and Tencent Holdings Limited</w:t>
        </w:r>
      </w:hyperlink>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6"/>
          <w:szCs w:val="16"/>
          <w:color w:val="auto"/>
        </w:rPr>
        <w:t>Subscription Agreement, dated December 17, 2017, among Vipshop Holdings Limited, Tencent Mobility Limited and Windcreek Limited*</w:t>
      </w:r>
    </w:p>
    <w:p>
      <w:pPr>
        <w:spacing w:after="0" w:line="225" w:lineRule="exact"/>
        <w:rPr>
          <w:sz w:val="20"/>
          <w:szCs w:val="20"/>
          <w:color w:val="auto"/>
        </w:rPr>
      </w:pPr>
    </w:p>
    <w:p>
      <w:pPr>
        <w:jc w:val="both"/>
        <w:ind w:left="940" w:hanging="931"/>
        <w:spacing w:after="0" w:line="277" w:lineRule="auto"/>
        <w:tabs>
          <w:tab w:leader="none" w:pos="920" w:val="left"/>
        </w:tabs>
        <w:rPr>
          <w:sz w:val="20"/>
          <w:szCs w:val="20"/>
          <w:color w:val="auto"/>
        </w:rPr>
      </w:pPr>
      <w:r>
        <w:rPr>
          <w:rFonts w:ascii="Arial" w:cs="Arial" w:eastAsia="Arial" w:hAnsi="Arial"/>
          <w:sz w:val="18"/>
          <w:szCs w:val="18"/>
          <w:color w:val="auto"/>
        </w:rPr>
        <w:t>Exhibit 3:</w:t>
        <w:tab/>
        <w:t>Investor Rights Agreement, dated December 29, 2017, among Vipshop Holdings Limited, Mr. Eric Ya Shen, Mr. Arthur Xiabo Hong, Elegant Motion Holdings Limited, High Vivacity Holdings Limited, Tencent Mobility and Windcreek Limited*</w:t>
      </w:r>
    </w:p>
    <w:p>
      <w:pPr>
        <w:spacing w:after="0" w:line="170" w:lineRule="exact"/>
        <w:rPr>
          <w:sz w:val="20"/>
          <w:szCs w:val="20"/>
          <w:color w:val="auto"/>
        </w:rPr>
      </w:pPr>
    </w:p>
    <w:p>
      <w:pPr>
        <w:ind w:left="940" w:right="320" w:hanging="931"/>
        <w:spacing w:after="0" w:line="277" w:lineRule="auto"/>
        <w:tabs>
          <w:tab w:leader="none" w:pos="920" w:val="left"/>
        </w:tabs>
        <w:rPr>
          <w:sz w:val="20"/>
          <w:szCs w:val="20"/>
          <w:color w:val="auto"/>
        </w:rPr>
      </w:pPr>
      <w:r>
        <w:rPr>
          <w:rFonts w:ascii="Arial" w:cs="Arial" w:eastAsia="Arial" w:hAnsi="Arial"/>
          <w:sz w:val="18"/>
          <w:szCs w:val="18"/>
          <w:color w:val="auto"/>
        </w:rPr>
        <w:t>Exhibit 4:</w:t>
        <w:tab/>
        <w:t>English translation of Business Cooperation Agreement, dated December 17, 2017, between Shenzhen Tencent Computer Systems Company Limited and Vipshop Holdings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7" w:name="page8"/>
    <w:bookmarkEnd w:id="7"/>
    <w:p>
      <w:pPr>
        <w:spacing w:after="0"/>
        <w:tabs>
          <w:tab w:leader="none" w:pos="4960" w:val="left"/>
          <w:tab w:leader="none" w:pos="104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365760</wp:posOffset>
            </wp:positionV>
            <wp:extent cx="1444625" cy="201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4625" cy="201295"/>
                    </a:xfrm>
                    <a:prstGeom prst="rect">
                      <a:avLst/>
                    </a:prstGeom>
                    <a:noFill/>
                  </pic:spPr>
                </pic:pic>
              </a:graphicData>
            </a:graphic>
          </wp:anchor>
        </w:drawing>
        <w:drawing>
          <wp:anchor simplePos="0" relativeHeight="251657728" behindDoc="1" locked="0" layoutInCell="0" allowOverlap="1">
            <wp:simplePos x="0" y="0"/>
            <wp:positionH relativeFrom="page">
              <wp:posOffset>5956935</wp:posOffset>
            </wp:positionH>
            <wp:positionV relativeFrom="page">
              <wp:posOffset>365760</wp:posOffset>
            </wp:positionV>
            <wp:extent cx="1444625" cy="201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44625" cy="201295"/>
                    </a:xfrm>
                    <a:prstGeom prst="rect">
                      <a:avLst/>
                    </a:prstGeom>
                    <a:noFill/>
                  </pic:spPr>
                </pic:pic>
              </a:graphicData>
            </a:graphic>
          </wp:anchor>
        </w:drawing>
        <w:t>CUSIP No. 92763W103</w:t>
      </w:r>
      <w:r>
        <w:rPr>
          <w:sz w:val="20"/>
          <w:szCs w:val="20"/>
          <w:color w:val="auto"/>
        </w:rPr>
        <w:tab/>
      </w:r>
      <w:r>
        <w:rPr>
          <w:rFonts w:ascii="Arial" w:cs="Arial" w:eastAsia="Arial" w:hAnsi="Arial"/>
          <w:sz w:val="18"/>
          <w:szCs w:val="18"/>
          <w:b w:val="1"/>
          <w:bCs w:val="1"/>
          <w:color w:val="auto"/>
        </w:rPr>
        <w:t>SCHEDULE 13D</w:t>
      </w:r>
      <w:r>
        <w:rPr>
          <w:sz w:val="20"/>
          <w:szCs w:val="20"/>
          <w:color w:val="auto"/>
        </w:rPr>
        <w:tab/>
      </w:r>
      <w:r>
        <w:rPr>
          <w:rFonts w:ascii="Arial" w:cs="Arial" w:eastAsia="Arial" w:hAnsi="Arial"/>
          <w:sz w:val="15"/>
          <w:szCs w:val="15"/>
          <w:color w:val="auto"/>
        </w:rPr>
        <w:t>Page 7 of 7</w:t>
      </w:r>
    </w:p>
    <w:p>
      <w:pPr>
        <w:sectPr>
          <w:pgSz w:w="11900" w:h="16838" w:orient="portrait"/>
          <w:cols w:equalWidth="0" w:num="1">
            <w:col w:w="11360"/>
          </w:cols>
          <w:pgMar w:left="300" w:top="580" w:right="239" w:bottom="1440" w:gutter="0" w:footer="0" w:header="0"/>
        </w:sect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2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 December 16, 2019</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TENCENT MOBILITY LIMITED</w:t>
      </w:r>
    </w:p>
    <w:p>
      <w:pPr>
        <w:spacing w:after="0" w:line="200" w:lineRule="exact"/>
        <w:rPr>
          <w:sz w:val="20"/>
          <w:szCs w:val="20"/>
          <w:color w:val="auto"/>
        </w:rPr>
      </w:pPr>
    </w:p>
    <w:p>
      <w:pPr>
        <w:spacing w:after="0" w:line="245"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 Chi Ping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14605</wp:posOffset>
            </wp:positionV>
            <wp:extent cx="26244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Name:Lau Chi Ping Martin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Authorized Officer</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TENCENT HOLDINGS LIMITED</w:t>
      </w:r>
    </w:p>
    <w:p>
      <w:pPr>
        <w:spacing w:after="0" w:line="200" w:lineRule="exact"/>
        <w:rPr>
          <w:sz w:val="20"/>
          <w:szCs w:val="20"/>
          <w:color w:val="auto"/>
        </w:rPr>
      </w:pPr>
    </w:p>
    <w:p>
      <w:pPr>
        <w:spacing w:after="0" w:line="245"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 Chi Ping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14605</wp:posOffset>
            </wp:positionV>
            <wp:extent cx="26244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Name:Lau Chi Ping Martin</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Executive Director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666115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580" w:right="2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TENCENT MOBILITY LIMITED</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names of the directors and the names and titles of the executive officers of Tencent Mobility Limited and their principal occupations are set forth below. The business address of each of the directors or executive officers is 29/F., Three Pacific Place, No. 1 Queen’s Road East, Wanchai, Hong Kong. Unless otherwise indicated, each occupation set forth opposite an individual’s name refers to Tencent Mobility Limited.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spacing w:after="0"/>
              <w:rPr>
                <w:sz w:val="22"/>
                <w:szCs w:val="22"/>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Citizenship</w:t>
            </w:r>
          </w:p>
        </w:tc>
        <w:tc>
          <w:tcPr>
            <w:tcW w:w="560" w:type="dxa"/>
            <w:vAlign w:val="bottom"/>
          </w:tcPr>
          <w:p>
            <w:pPr>
              <w:spacing w:after="0"/>
              <w:rPr>
                <w:sz w:val="22"/>
                <w:szCs w:val="22"/>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r>
      <w:tr>
        <w:trPr>
          <w:trHeight w:val="432"/>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Directors:</w:t>
            </w:r>
          </w:p>
        </w:tc>
        <w:tc>
          <w:tcPr>
            <w:tcW w:w="3220" w:type="dxa"/>
            <w:vAlign w:val="bottom"/>
            <w:gridSpan w:val="3"/>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Ma Huateng</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20" w:type="dxa"/>
            <w:vAlign w:val="bottom"/>
          </w:tcPr>
          <w:p>
            <w:pPr>
              <w:spacing w:after="0"/>
              <w:rPr>
                <w:sz w:val="21"/>
                <w:szCs w:val="21"/>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Charles St Leger Searle</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Republic of South Africa</w:t>
            </w:r>
          </w:p>
        </w:tc>
        <w:tc>
          <w:tcPr>
            <w:tcW w:w="34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446"/>
        </w:trPr>
        <w:tc>
          <w:tcPr>
            <w:tcW w:w="20" w:type="dxa"/>
            <w:vAlign w:val="bottom"/>
          </w:tcPr>
          <w:p>
            <w:pPr>
              <w:spacing w:after="0"/>
              <w:rPr>
                <w:sz w:val="24"/>
                <w:szCs w:val="24"/>
                <w:color w:val="auto"/>
              </w:rPr>
            </w:pPr>
          </w:p>
        </w:tc>
        <w:tc>
          <w:tcPr>
            <w:tcW w:w="400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w:t>
            </w: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2580" w:type="dxa"/>
            <w:vAlign w:val="bottom"/>
            <w:gridSpan w:val="2"/>
          </w:tcPr>
          <w:p>
            <w:pPr>
              <w:spacing w:after="0"/>
              <w:rPr>
                <w:sz w:val="22"/>
                <w:szCs w:val="22"/>
                <w:color w:val="auto"/>
              </w:rPr>
            </w:pPr>
          </w:p>
        </w:tc>
        <w:tc>
          <w:tcPr>
            <w:tcW w:w="3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1452"/>
        </w:trPr>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EXECUTIVE OFFICERS AND DIRECTORS OF TENCENT HOLDINGS LIMITED</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names of the directors and the names and titles of the executive officers of Tencent Holdings Limited and their principal occupations are set forth below. The business address of each of the directors or executive officers is 29/F., Three Pacific Place, No. 1 Queen’s Road East, Wanchai, Hong Kong. Unless otherwise indicated, each occupation set forth opposite an individual’s name refers to Tencent Holdings Limited.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Citizenship</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r>
      <w:tr>
        <w:trPr>
          <w:trHeight w:val="234"/>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Directors:</w:t>
            </w:r>
          </w:p>
        </w:tc>
        <w:tc>
          <w:tcPr>
            <w:tcW w:w="58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top w:val="single" w:sz="8" w:color="auto"/>
            </w:tcBorders>
          </w:tcPr>
          <w:p>
            <w:pPr>
              <w:spacing w:after="0"/>
              <w:rPr>
                <w:sz w:val="20"/>
                <w:szCs w:val="20"/>
                <w:color w:val="auto"/>
              </w:rPr>
            </w:pPr>
          </w:p>
        </w:tc>
      </w:tr>
      <w:tr>
        <w:trPr>
          <w:trHeight w:val="238"/>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Ma Huateng</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w w:val="92"/>
              </w:rPr>
              <w:t>Chairman of the Board and Executive Director</w:t>
            </w:r>
          </w:p>
        </w:tc>
      </w:tr>
      <w:tr>
        <w:trPr>
          <w:trHeight w:val="242"/>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Lau Chi Ping Martin</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Executive Director</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(Hong Kong SAR)</w:t>
            </w:r>
          </w:p>
        </w:tc>
        <w:tc>
          <w:tcPr>
            <w:tcW w:w="3420" w:type="dxa"/>
            <w:vAlign w:val="bottom"/>
          </w:tcPr>
          <w:p>
            <w:pPr>
              <w:spacing w:after="0"/>
              <w:rPr>
                <w:sz w:val="20"/>
                <w:szCs w:val="20"/>
                <w:color w:val="auto"/>
              </w:rPr>
            </w:pP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Jacobus Petrus (Koos) Bekker</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Republic of South Africa</w:t>
            </w:r>
          </w:p>
        </w:tc>
        <w:tc>
          <w:tcPr>
            <w:tcW w:w="3420" w:type="dxa"/>
            <w:vAlign w:val="bottom"/>
          </w:tcPr>
          <w:p>
            <w:pPr>
              <w:ind w:left="20"/>
              <w:spacing w:after="0"/>
              <w:rPr>
                <w:sz w:val="20"/>
                <w:szCs w:val="20"/>
                <w:color w:val="auto"/>
              </w:rPr>
            </w:pPr>
            <w:r>
              <w:rPr>
                <w:rFonts w:ascii="Arial" w:cs="Arial" w:eastAsia="Arial" w:hAnsi="Arial"/>
                <w:sz w:val="18"/>
                <w:szCs w:val="18"/>
                <w:color w:val="auto"/>
              </w:rPr>
              <w:t>Non-Executive Director</w:t>
            </w:r>
          </w:p>
        </w:tc>
      </w:tr>
      <w:tr>
        <w:trPr>
          <w:trHeight w:val="25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Charles St Leger Searle</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Republic of South Africa</w:t>
            </w:r>
          </w:p>
        </w:tc>
        <w:tc>
          <w:tcPr>
            <w:tcW w:w="3420" w:type="dxa"/>
            <w:vAlign w:val="bottom"/>
          </w:tcPr>
          <w:p>
            <w:pPr>
              <w:ind w:left="20"/>
              <w:spacing w:after="0"/>
              <w:rPr>
                <w:sz w:val="20"/>
                <w:szCs w:val="20"/>
                <w:color w:val="auto"/>
              </w:rPr>
            </w:pPr>
            <w:r>
              <w:rPr>
                <w:rFonts w:ascii="Arial" w:cs="Arial" w:eastAsia="Arial" w:hAnsi="Arial"/>
                <w:sz w:val="18"/>
                <w:szCs w:val="18"/>
                <w:color w:val="auto"/>
              </w:rPr>
              <w:t>Non-Executive Director</w:t>
            </w:r>
          </w:p>
        </w:tc>
      </w:tr>
      <w:tr>
        <w:trPr>
          <w:trHeight w:val="25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Li Dong Sheng</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Independent Non-Executive Director</w:t>
            </w:r>
          </w:p>
        </w:tc>
      </w:tr>
      <w:tr>
        <w:trPr>
          <w:trHeight w:val="242"/>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Iain Ferguson Bruce</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Independent Non-Executive Director</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(Hong Kong SAR)</w:t>
            </w:r>
          </w:p>
        </w:tc>
        <w:tc>
          <w:tcPr>
            <w:tcW w:w="3420" w:type="dxa"/>
            <w:vAlign w:val="bottom"/>
          </w:tcPr>
          <w:p>
            <w:pPr>
              <w:spacing w:after="0"/>
              <w:rPr>
                <w:sz w:val="20"/>
                <w:szCs w:val="20"/>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Ian Charles Stone</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Independent Non-Executive Director</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(Hong Kong SAR)</w:t>
            </w:r>
          </w:p>
        </w:tc>
        <w:tc>
          <w:tcPr>
            <w:tcW w:w="3420" w:type="dxa"/>
            <w:vAlign w:val="bottom"/>
          </w:tcPr>
          <w:p>
            <w:pPr>
              <w:spacing w:after="0"/>
              <w:rPr>
                <w:sz w:val="20"/>
                <w:szCs w:val="20"/>
                <w:color w:val="auto"/>
              </w:rPr>
            </w:pP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Yang Siu Shun</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Independent Non-Executive Director</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(Hong Kong SAR)</w:t>
            </w:r>
          </w:p>
        </w:tc>
        <w:tc>
          <w:tcPr>
            <w:tcW w:w="3420" w:type="dxa"/>
            <w:vAlign w:val="bottom"/>
          </w:tcPr>
          <w:p>
            <w:pPr>
              <w:spacing w:after="0"/>
              <w:rPr>
                <w:sz w:val="20"/>
                <w:szCs w:val="20"/>
                <w:color w:val="auto"/>
              </w:rPr>
            </w:pP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Ke Yang</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Independent Non-Executive Director</w:t>
            </w:r>
          </w:p>
        </w:tc>
      </w:tr>
      <w:tr>
        <w:trPr>
          <w:trHeight w:val="257"/>
        </w:trPr>
        <w:tc>
          <w:tcPr>
            <w:tcW w:w="40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officers:</w:t>
            </w:r>
          </w:p>
        </w:tc>
        <w:tc>
          <w:tcPr>
            <w:tcW w:w="3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7"/>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Ma Huateng</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42"/>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Lau Chi Ping Martin</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(Hong Kong SAR)</w:t>
            </w:r>
          </w:p>
        </w:tc>
        <w:tc>
          <w:tcPr>
            <w:tcW w:w="3420" w:type="dxa"/>
            <w:vAlign w:val="bottom"/>
          </w:tcPr>
          <w:p>
            <w:pPr>
              <w:spacing w:after="0"/>
              <w:rPr>
                <w:sz w:val="20"/>
                <w:szCs w:val="20"/>
                <w:color w:val="auto"/>
              </w:rPr>
            </w:pPr>
          </w:p>
        </w:tc>
      </w:tr>
      <w:tr>
        <w:trPr>
          <w:trHeight w:val="243"/>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Xu Chenye</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Chief Information Officer</w:t>
            </w:r>
          </w:p>
        </w:tc>
      </w:tr>
      <w:tr>
        <w:trPr>
          <w:trHeight w:val="242"/>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Ren Yuxin</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Chief Operating Officer and President of</w:t>
            </w: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Platform &amp; Content Group and Interactive</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Entertainment Group</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David A M Wallerstein</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3420" w:type="dxa"/>
            <w:vAlign w:val="bottom"/>
          </w:tcPr>
          <w:p>
            <w:pPr>
              <w:ind w:left="20"/>
              <w:spacing w:after="0"/>
              <w:rPr>
                <w:sz w:val="20"/>
                <w:szCs w:val="20"/>
                <w:color w:val="auto"/>
              </w:rPr>
            </w:pPr>
            <w:r>
              <w:rPr>
                <w:rFonts w:ascii="Arial" w:cs="Arial" w:eastAsia="Arial" w:hAnsi="Arial"/>
                <w:sz w:val="18"/>
                <w:szCs w:val="18"/>
                <w:color w:val="auto"/>
              </w:rPr>
              <w:t>Chief eXploration Officer and Senior</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James Gordon Mitchell</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United Kingdom of Great Britain and</w:t>
            </w:r>
          </w:p>
        </w:tc>
        <w:tc>
          <w:tcPr>
            <w:tcW w:w="3420" w:type="dxa"/>
            <w:vAlign w:val="bottom"/>
          </w:tcPr>
          <w:p>
            <w:pPr>
              <w:ind w:left="20"/>
              <w:spacing w:after="0"/>
              <w:rPr>
                <w:sz w:val="20"/>
                <w:szCs w:val="20"/>
                <w:color w:val="auto"/>
              </w:rPr>
            </w:pPr>
            <w:r>
              <w:rPr>
                <w:rFonts w:ascii="Arial" w:cs="Arial" w:eastAsia="Arial" w:hAnsi="Arial"/>
                <w:sz w:val="18"/>
                <w:szCs w:val="18"/>
                <w:color w:val="auto"/>
              </w:rPr>
              <w:t>Chief Strategy Officer and</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Northern Ireland</w:t>
            </w:r>
          </w:p>
        </w:tc>
        <w:tc>
          <w:tcPr>
            <w:tcW w:w="3420" w:type="dxa"/>
            <w:vAlign w:val="bottom"/>
          </w:tcPr>
          <w:p>
            <w:pPr>
              <w:ind w:left="20"/>
              <w:spacing w:after="0"/>
              <w:rPr>
                <w:sz w:val="20"/>
                <w:szCs w:val="20"/>
                <w:color w:val="auto"/>
              </w:rPr>
            </w:pPr>
            <w:r>
              <w:rPr>
                <w:rFonts w:ascii="Arial" w:cs="Arial" w:eastAsia="Arial" w:hAnsi="Arial"/>
                <w:sz w:val="18"/>
                <w:szCs w:val="18"/>
                <w:color w:val="auto"/>
              </w:rPr>
              <w:t>Senior Executive Vice President</w:t>
            </w:r>
          </w:p>
        </w:tc>
      </w:tr>
      <w:tr>
        <w:trPr>
          <w:trHeight w:val="229"/>
        </w:trPr>
        <w:tc>
          <w:tcPr>
            <w:tcW w:w="4020" w:type="dxa"/>
            <w:vAlign w:val="bottom"/>
            <w:gridSpan w:val="2"/>
          </w:tcPr>
          <w:p>
            <w:pPr>
              <w:ind w:left="20"/>
              <w:spacing w:after="0"/>
              <w:rPr>
                <w:sz w:val="20"/>
                <w:szCs w:val="20"/>
                <w:color w:val="auto"/>
              </w:rPr>
            </w:pPr>
            <w:r>
              <w:rPr>
                <w:rFonts w:ascii="Arial" w:cs="Arial" w:eastAsia="Arial" w:hAnsi="Arial"/>
                <w:sz w:val="18"/>
                <w:szCs w:val="18"/>
                <w:color w:val="auto"/>
              </w:rPr>
              <w:t>John Shek Hon Lo</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People’s Republic of China</w:t>
            </w:r>
          </w:p>
        </w:tc>
        <w:tc>
          <w:tcPr>
            <w:tcW w:w="3420" w:type="dxa"/>
            <w:vAlign w:val="bottom"/>
          </w:tcPr>
          <w:p>
            <w:pPr>
              <w:ind w:left="20"/>
              <w:spacing w:after="0"/>
              <w:rPr>
                <w:sz w:val="20"/>
                <w:szCs w:val="20"/>
                <w:color w:val="auto"/>
              </w:rPr>
            </w:pPr>
            <w:r>
              <w:rPr>
                <w:rFonts w:ascii="Arial" w:cs="Arial" w:eastAsia="Arial" w:hAnsi="Arial"/>
                <w:sz w:val="18"/>
                <w:szCs w:val="18"/>
                <w:color w:val="auto"/>
              </w:rPr>
              <w:t>Chief Financial Officer and Senior Vice</w:t>
            </w: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(Hong Kong SAR)</w:t>
            </w:r>
          </w:p>
        </w:tc>
        <w:tc>
          <w:tcPr>
            <w:tcW w:w="342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615"/>
        </w:trPr>
        <w:tc>
          <w:tcPr>
            <w:tcW w:w="3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accordance with Rule 13d-1(k) under the Securities Exchange Act of 1934, as amended, the persons named below agree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to the joint filing on behalf of each of them of a statement on Schedule 13D relating to the Class A Ordinary Shares, par value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$0.0001 per share, of Vipshop Holdings Limited, a company incorporated under the laws of the Cayman Islands. This Joint Filing</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Agreement shall be included as an Exhibit to such joint filing, and may be executed in any number of counterparts all of which</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together shall constitute one and the same instrument.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evidence thereof, each of the undersigned, being duly authorized, hereby execute this Joint Filing Agreement.</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Date: December 16, 2019</w:t>
      </w: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TENCENT MOBILITY LIMITED</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 Chi Ping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6244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Name:Lau Chi Ping Martin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Authorized Officer</w:t>
      </w:r>
    </w:p>
    <w:p>
      <w:pPr>
        <w:spacing w:after="0" w:line="34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TENCENT HOLDINGS LIMITED</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 Chi Ping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26244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Name:Lau Chi Ping Martin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Executive Director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6"/>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6"/>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6"/>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2019-12-16T07:44:24Z</dcterms:created>
  <dcterms:modified xsi:type="dcterms:W3CDTF">2019-12-16T07:44:24Z</dcterms:modified>
</cp:coreProperties>
</file>