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14d-100)</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Subject Company (Issuer))</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92763WAA1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Donghao Yang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20 Huahai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 (20) 2233-0000</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with copy 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Z. Julie Gao,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42/F, Edinburgh Tower, The Landmark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 Queen’s Road, Central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+852 3740-4700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340" w:type="dxa"/>
            <w:vAlign w:val="bottom"/>
            <w:gridSpan w:val="3"/>
          </w:tcPr>
          <w:p>
            <w:pPr>
              <w:ind w:left="320"/>
              <w:spacing w:after="0"/>
              <w:rPr>
                <w:sz w:val="20"/>
                <w:szCs w:val="20"/>
                <w:color w:val="auto"/>
              </w:rPr>
            </w:pPr>
            <w:r>
              <w:rPr>
                <w:rFonts w:ascii="Arial" w:cs="Arial" w:eastAsia="Arial" w:hAnsi="Arial"/>
                <w:sz w:val="18"/>
                <w:szCs w:val="18"/>
                <w:b w:val="1"/>
                <w:bCs w:val="1"/>
                <w:color w:val="auto"/>
              </w:rPr>
              <w:t>CALCULATION OF FILING FEE</w:t>
            </w:r>
          </w:p>
        </w:tc>
      </w:tr>
      <w:tr>
        <w:trPr>
          <w:trHeight w:val="171"/>
        </w:trPr>
        <w:tc>
          <w:tcPr>
            <w:tcW w:w="39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Transaction Valuation</w:t>
            </w:r>
          </w:p>
        </w:tc>
        <w:tc>
          <w:tcPr>
            <w:tcW w:w="1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Filing Fee</w:t>
            </w:r>
          </w:p>
        </w:tc>
      </w:tr>
      <w:tr>
        <w:trPr>
          <w:trHeight w:val="298"/>
        </w:trPr>
        <w:tc>
          <w:tcPr>
            <w:tcW w:w="3980" w:type="dxa"/>
            <w:vAlign w:val="bottom"/>
          </w:tcPr>
          <w:p>
            <w:pPr>
              <w:ind w:left="2280"/>
              <w:spacing w:after="0"/>
              <w:rPr>
                <w:sz w:val="20"/>
                <w:szCs w:val="20"/>
                <w:color w:val="auto"/>
              </w:rPr>
            </w:pPr>
            <w:r>
              <w:rPr>
                <w:rFonts w:ascii="Arial" w:cs="Arial" w:eastAsia="Arial" w:hAnsi="Arial"/>
                <w:sz w:val="18"/>
                <w:szCs w:val="18"/>
                <w:color w:val="auto"/>
              </w:rPr>
              <w:t>US$632,500,000</w:t>
            </w:r>
            <w:r>
              <w:rPr>
                <w:rFonts w:ascii="Arial" w:cs="Arial" w:eastAsia="Arial" w:hAnsi="Arial"/>
                <w:sz w:val="23"/>
                <w:szCs w:val="23"/>
                <w:color w:val="auto"/>
                <w:vertAlign w:val="superscript"/>
              </w:rPr>
              <w:t>(1)</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US$73,306.75</w:t>
            </w:r>
            <w:r>
              <w:rPr>
                <w:rFonts w:ascii="Arial" w:cs="Arial" w:eastAsia="Arial" w:hAnsi="Arial"/>
                <w:sz w:val="23"/>
                <w:szCs w:val="23"/>
                <w:color w:val="auto"/>
                <w:w w:val="88"/>
                <w:vertAlign w:val="superscript"/>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7" w:lineRule="exact"/>
        <w:rPr>
          <w:sz w:val="24"/>
          <w:szCs w:val="24"/>
          <w:color w:val="auto"/>
        </w:rPr>
      </w:pPr>
    </w:p>
    <w:p>
      <w:pPr>
        <w:ind w:left="340" w:right="80" w:hanging="332"/>
        <w:spacing w:after="0" w:line="238"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solely for purposes of determining the filing fee. The purchase price of the 1.50% Convertible Senior Notes due 2019 (the “Notes”), as described herein, is US$1,000 per US$1,000 principal amount outstanding. As of March 7, 2017, there was US$632,500,000 aggregate principal amount of Notes outstanding, resulting in an aggregate maximum purchase price of US$632,500,000 (excluding accrued but unpaid interest).</w:t>
      </w:r>
    </w:p>
    <w:p>
      <w:pPr>
        <w:spacing w:after="0" w:line="115" w:lineRule="exact"/>
        <w:rPr>
          <w:rFonts w:ascii="Arial" w:cs="Arial" w:eastAsia="Arial" w:hAnsi="Arial"/>
          <w:sz w:val="14"/>
          <w:szCs w:val="14"/>
          <w:color w:val="auto"/>
        </w:rPr>
      </w:pPr>
    </w:p>
    <w:p>
      <w:pPr>
        <w:ind w:left="340" w:hanging="332"/>
        <w:spacing w:after="0" w:line="253"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amount of the filing fee was calculated in accordance with Rule 0-11 of the Securities Exchange Act of 1934, as amended, and equals US$115.90 for each US$1,000,000 of the value of the transaction.</w:t>
      </w:r>
    </w:p>
    <w:p>
      <w:pPr>
        <w:spacing w:after="0" w:line="97" w:lineRule="exact"/>
        <w:rPr>
          <w:sz w:val="24"/>
          <w:szCs w:val="24"/>
          <w:color w:val="auto"/>
        </w:rPr>
      </w:pPr>
    </w:p>
    <w:p>
      <w:pPr>
        <w:ind w:left="340" w:right="480" w:hanging="332"/>
        <w:spacing w:after="0" w:line="277" w:lineRule="auto"/>
        <w:tabs>
          <w:tab w:leader="none" w:pos="24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00"/>
          </w:cols>
          <w:pgMar w:left="240" w:top="463" w:right="259" w:bottom="0" w:gutter="0" w:footer="0" w:header="0"/>
        </w:sectPr>
      </w:pPr>
    </w:p>
    <w:p>
      <w:pPr>
        <w:spacing w:after="0" w:line="89"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US$73,306.75</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Schedule TO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7"/>
          <w:szCs w:val="17"/>
          <w:color w:val="auto"/>
        </w:rPr>
        <w:t>Vipshop Holdings Limited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February 14, 2017</w:t>
      </w:r>
    </w:p>
    <w:p>
      <w:pPr>
        <w:spacing w:after="0" w:line="130" w:lineRule="exact"/>
        <w:rPr>
          <w:sz w:val="24"/>
          <w:szCs w:val="24"/>
          <w:color w:val="auto"/>
        </w:rPr>
      </w:pPr>
    </w:p>
    <w:p>
      <w:pPr>
        <w:sectPr>
          <w:pgSz w:w="11900" w:h="16838" w:orient="portrait"/>
          <w:cols w:equalWidth="0" w:num="4">
            <w:col w:w="2520" w:space="600"/>
            <w:col w:w="1900" w:space="720"/>
            <w:col w:w="900" w:space="340"/>
            <w:col w:w="4420"/>
          </w:cols>
          <w:pgMar w:left="240" w:top="463" w:right="259" w:bottom="0" w:gutter="0" w:footer="0" w:header="0"/>
          <w:type w:val="continuous"/>
        </w:sectPr>
      </w:pPr>
    </w:p>
    <w:p>
      <w:pPr>
        <w:ind w:right="2240" w:firstLine="8"/>
        <w:spacing w:after="0" w:line="277"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89" w:lineRule="exact"/>
        <w:rPr>
          <w:sz w:val="24"/>
          <w:szCs w:val="24"/>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issuer tender offer subject to Rule 13e-4.</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ectPr>
          <w:pgSz w:w="11900" w:h="16838" w:orient="portrait"/>
          <w:cols w:equalWidth="0" w:num="1">
            <w:col w:w="11400"/>
          </w:cols>
          <w:pgMar w:left="240" w:top="463" w:right="259" w:bottom="0" w:gutter="0" w:footer="0" w:header="0"/>
          <w:type w:val="continuous"/>
        </w:sectPr>
      </w:pPr>
    </w:p>
    <w:bookmarkStart w:id="1" w:name="page2"/>
    <w:bookmarkEnd w:id="1"/>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91440</wp:posOffset>
            </wp:positionV>
            <wp:extent cx="7315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520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134620</wp:posOffset>
            </wp:positionV>
            <wp:extent cx="731520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520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This Amendment No. 2 to Schedule TO (this “Amendment No. 2”) amends and supplements the Tender Offer Statement on Schedule TO that was initially filed by Vipshop Holdings Limited (the “Company”) on February 14, 2017 and then amended and supplemented by Amendment No. 1 on February 22, 2017 (as amended and supplemented, the “Schedule TO”) relating to the Company’s 1.50% Convertible Senior Notes due 2019 (the “Notes”). This Amendment No. 2 relates to the source and amount of funds that the Company may use to finance the repurchase of any Notes that Holders have validly surrendered for repurchase and not withdrawn. The information contained in the Schedule TO, including the Company’s Put Right Notice to the Holders dated February 14, 2017 (as amended and supplemented by Amendment No. 1, the “Put Right Notice”), as supplemented and amended by the information contained in Item 7 below, is incorporated herein by reference. Except as specifically provided herein, this Amendment No. 2 does not modify any of the information previously reported on the Schedule TO.</w:t>
      </w:r>
    </w:p>
    <w:p>
      <w:pPr>
        <w:spacing w:after="0" w:line="1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This Amendment No. 2 amends and supplements the Schedule TO as set forth below and is intended to satisfy the disclosure requirements of Rule 13e-4(c)(3) under the Securities Exchange Act of 1934, as amended.</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Item 7 of the Schedule TO and Section 2.4 entitled “Source of Funds” in the Put Right Notice are hereby amended and supplemented to include the following information:</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order to finance the payment of the 2017 Repurchase Price of the Notes, the Company (as borrower), a subsidiary of the Company, Vipshop International Holdings Limited (as guarantor), Credit Suisse AG, Singapore Branch (as mandated lead manager), Morgan Stanley Senior Funding, Inc. (as mandated lead manager and agent), and certain lenders entered into a facility agreement dated March 7, 2017 (the “Facility Agreement”). The maximum amount of financing available under the term loan facility pursuant to the Facility Agreement is US$632,500,000, subject to the actual amount of the 2017 Repurchase Price, to be utilized on or before the 2017 Repurchase Date in one loan with a term of 364 days. The loan will be guaranteed by Vipshop International Holdings Limited. The minimum amount of the loan that may be utilized under the Facility Agreement is US$5,000,000. The interest rate under the Facility Agreement is three-month U.S. dollar LIBOR plus a multi-tiered margin that ranges from 50 basis points to 275 basis points per annum depending on the age of the outstanding loan. During a specified period after the loan is utilized, the majority lenders may demand </w:t>
      </w:r>
      <w:r>
        <w:rPr>
          <w:rFonts w:ascii="Arial" w:cs="Arial" w:eastAsia="Arial" w:hAnsi="Arial"/>
          <w:sz w:val="16"/>
          <w:szCs w:val="16"/>
          <w:color w:val="auto"/>
        </w:rPr>
        <w:t>that the Company carry out</w:t>
      </w:r>
      <w:r>
        <w:rPr>
          <w:rFonts w:ascii="Arial" w:cs="Arial" w:eastAsia="Arial" w:hAnsi="Arial"/>
          <w:sz w:val="17"/>
          <w:szCs w:val="17"/>
          <w:color w:val="auto"/>
        </w:rPr>
        <w:t xml:space="preserve"> </w:t>
      </w:r>
      <w:r>
        <w:rPr>
          <w:rFonts w:ascii="Arial" w:cs="Arial" w:eastAsia="Arial" w:hAnsi="Arial"/>
          <w:sz w:val="16"/>
          <w:szCs w:val="16"/>
          <w:color w:val="auto"/>
        </w:rPr>
        <w:t xml:space="preserve">up to two take-out debt offerings in accordance with the Facility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each take-out debt offering subject to such demand must be no less than US$50,000,000. The Facility Agreement contains various terms and conditions customary for term loan facilities of the same or similar nature, including conditions for utilization, affirmative and negative financial covenants and other undertakings. The Company has not arranged for alternative financing. A copy of the Facility Agreement is attached hereto as Exhibit (b)(1) and incorporated herein by reference.</w:t>
      </w:r>
    </w:p>
    <w:p>
      <w:pPr>
        <w:spacing w:after="0" w:line="18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the loan under the Facility Agreement is utilized, the Company plans to use a combination of available cash and refinancing options to repay the loan, including possibly one or more term loan facilities and/or debt offerings, depending on the amount of the loan utilized under the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tab/>
        <w:t>EXHIBITS.</w:t>
      </w:r>
    </w:p>
    <w:p>
      <w:pPr>
        <w:sectPr>
          <w:pgSz w:w="11900" w:h="16838" w:orient="portrait"/>
          <w:cols w:equalWidth="0" w:num="1">
            <w:col w:w="11400"/>
          </w:cols>
          <w:pgMar w:left="240" w:top="125" w:right="259" w:bottom="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Put Right Notice to Holders of 1.50% Convertible Senior Notes due 2019 Issued by Vipshop Holdings Limited, dated February 14, 2017.</w:t>
      </w:r>
    </w:p>
    <w:p>
      <w:pPr>
        <w:spacing w:after="0" w:line="170" w:lineRule="exact"/>
        <w:rPr>
          <w:sz w:val="20"/>
          <w:szCs w:val="20"/>
          <w:color w:val="auto"/>
        </w:rPr>
      </w:pPr>
    </w:p>
    <w:p>
      <w:pPr>
        <w:sectPr>
          <w:pgSz w:w="11900" w:h="16838" w:orient="portrait"/>
          <w:cols w:equalWidth="0" w:num="2">
            <w:col w:w="1240" w:space="720"/>
            <w:col w:w="9440"/>
          </w:cols>
          <w:pgMar w:left="240" w:top="125" w:right="25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issued by the Company, dated February 14, 2017.</w:t>
      </w:r>
    </w:p>
    <w:p>
      <w:pPr>
        <w:spacing w:after="0" w:line="222" w:lineRule="exact"/>
        <w:rPr>
          <w:sz w:val="20"/>
          <w:szCs w:val="20"/>
          <w:color w:val="auto"/>
        </w:rPr>
      </w:pPr>
    </w:p>
    <w:p>
      <w:pPr>
        <w:sectPr>
          <w:pgSz w:w="11900" w:h="16838" w:orient="portrait"/>
          <w:cols w:equalWidth="0" w:num="2">
            <w:col w:w="1400" w:space="580"/>
            <w:col w:w="9420"/>
          </w:cols>
          <w:pgMar w:left="240" w:top="125" w:right="25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(a)(5)(B)*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the Company, dated February 22, 2017.</w:t>
      </w:r>
    </w:p>
    <w:p>
      <w:pPr>
        <w:spacing w:after="0" w:line="222" w:lineRule="exact"/>
        <w:rPr>
          <w:sz w:val="20"/>
          <w:szCs w:val="20"/>
          <w:color w:val="auto"/>
        </w:rPr>
      </w:pPr>
    </w:p>
    <w:p>
      <w:pPr>
        <w:sectPr>
          <w:pgSz w:w="11900" w:h="16838" w:orient="portrait"/>
          <w:cols w:equalWidth="0" w:num="2">
            <w:col w:w="1400" w:space="560"/>
            <w:col w:w="9440"/>
          </w:cols>
          <w:pgMar w:left="240" w:top="125" w:right="259" w:bottom="0" w:gutter="0" w:footer="0" w:header="0"/>
          <w:type w:val="continuous"/>
        </w:sectPr>
      </w:pPr>
    </w:p>
    <w:p>
      <w:pPr>
        <w:spacing w:after="0" w:line="3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the Company, dated March 7, 2017.</w:t>
      </w:r>
    </w:p>
    <w:p>
      <w:pPr>
        <w:spacing w:after="0" w:line="211" w:lineRule="exact"/>
        <w:rPr>
          <w:sz w:val="20"/>
          <w:szCs w:val="20"/>
          <w:color w:val="auto"/>
        </w:rPr>
      </w:pPr>
    </w:p>
    <w:p>
      <w:pPr>
        <w:sectPr>
          <w:pgSz w:w="11900" w:h="16838" w:orient="portrait"/>
          <w:cols w:equalWidth="0" w:num="2">
            <w:col w:w="1300" w:space="660"/>
            <w:col w:w="9440"/>
          </w:cols>
          <w:pgMar w:left="240" w:top="125" w:right="25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firstLine="15"/>
        <w:spacing w:after="0" w:line="264" w:lineRule="auto"/>
        <w:rPr>
          <w:sz w:val="20"/>
          <w:szCs w:val="20"/>
          <w:color w:val="auto"/>
        </w:rPr>
      </w:pPr>
      <w:r>
        <w:rPr>
          <w:rFonts w:ascii="Arial" w:cs="Arial" w:eastAsia="Arial" w:hAnsi="Arial"/>
          <w:sz w:val="18"/>
          <w:szCs w:val="18"/>
          <w:color w:val="auto"/>
        </w:rPr>
        <w:t>US$632,500,000 Facility Agreement, dated March 7, 2017, by and among the Company, as borrower, Vipshop International Holdings Limited, as guarantor, Credit Suisse AG, Singapore Branch, as mandated lead manager, Morgan Stanley Senior Funding, Inc., as mandated lead manager and agent, and the lender parties thereto.</w:t>
      </w:r>
    </w:p>
    <w:p>
      <w:pPr>
        <w:spacing w:after="0" w:line="181" w:lineRule="exact"/>
        <w:rPr>
          <w:sz w:val="20"/>
          <w:szCs w:val="20"/>
          <w:color w:val="auto"/>
        </w:rPr>
      </w:pPr>
    </w:p>
    <w:p>
      <w:pPr>
        <w:sectPr>
          <w:pgSz w:w="11900" w:h="16838" w:orient="portrait"/>
          <w:cols w:equalWidth="0" w:num="2">
            <w:col w:w="1240" w:space="720"/>
            <w:col w:w="9440"/>
          </w:cols>
          <w:pgMar w:left="240" w:top="125" w:right="25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ind w:right="300" w:firstLine="10"/>
        <w:spacing w:after="0" w:line="264" w:lineRule="auto"/>
        <w:rPr>
          <w:sz w:val="20"/>
          <w:szCs w:val="20"/>
          <w:color w:val="auto"/>
        </w:rPr>
      </w:pPr>
      <w:r>
        <w:rPr>
          <w:rFonts w:ascii="Arial" w:cs="Arial" w:eastAsia="Arial" w:hAnsi="Arial"/>
          <w:sz w:val="18"/>
          <w:szCs w:val="18"/>
          <w:color w:val="auto"/>
        </w:rPr>
        <w:t>Indenture, dated as of March 17, 2014, between the Company and Deutsche Bank Trust Company Americas, as trustee, incorporated by reference to Exhibit 2.4 from the Company’s Annual Report on Form 20-F (File No. 001-35454) filed with the Securities and Exchange Commission on April 25, 2014.</w:t>
      </w:r>
    </w:p>
    <w:p>
      <w:pPr>
        <w:spacing w:after="0" w:line="181" w:lineRule="exact"/>
        <w:rPr>
          <w:sz w:val="20"/>
          <w:szCs w:val="20"/>
          <w:color w:val="auto"/>
        </w:rPr>
      </w:pPr>
    </w:p>
    <w:p>
      <w:pPr>
        <w:sectPr>
          <w:pgSz w:w="11900" w:h="16838" w:orient="portrait"/>
          <w:cols w:equalWidth="0" w:num="2">
            <w:col w:w="1240" w:space="720"/>
            <w:col w:w="9440"/>
          </w:cols>
          <w:pgMar w:left="240" w:top="125" w:right="25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br w:type="column"/>
      </w:r>
    </w:p>
    <w:p>
      <w:pPr>
        <w:jc w:val="both"/>
        <w:ind w:firstLine="10"/>
        <w:spacing w:after="0" w:line="264" w:lineRule="auto"/>
        <w:rPr>
          <w:sz w:val="20"/>
          <w:szCs w:val="20"/>
          <w:color w:val="auto"/>
        </w:rPr>
      </w:pPr>
      <w:r>
        <w:rPr>
          <w:rFonts w:ascii="Arial" w:cs="Arial" w:eastAsia="Arial" w:hAnsi="Arial"/>
          <w:sz w:val="18"/>
          <w:szCs w:val="18"/>
          <w:color w:val="auto"/>
        </w:rPr>
        <w:t>First Supplemental Indenture, dated as of March 17, 2014, between the Company and Deutsche Bank Trust Company Americas, as trustee, incorporated by reference to Exhibit 2.5 from the Company’s Annual Report on Form 20-F (File No. 001-35454) filed with the Securities and Exchange Commission on April 25, 2014.</w:t>
      </w:r>
    </w:p>
    <w:p>
      <w:pPr>
        <w:spacing w:after="0" w:line="181" w:lineRule="exact"/>
        <w:rPr>
          <w:sz w:val="20"/>
          <w:szCs w:val="20"/>
          <w:color w:val="auto"/>
        </w:rPr>
      </w:pPr>
    </w:p>
    <w:p>
      <w:pPr>
        <w:sectPr>
          <w:pgSz w:w="11900" w:h="16838" w:orient="portrait"/>
          <w:cols w:equalWidth="0" w:num="2">
            <w:col w:w="1240" w:space="720"/>
            <w:col w:w="9440"/>
          </w:cols>
          <w:pgMar w:left="240" w:top="125" w:right="25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br w:type="column"/>
      </w:r>
    </w:p>
    <w:p>
      <w:pPr>
        <w:ind w:right="280" w:firstLine="10"/>
        <w:spacing w:after="0" w:line="264" w:lineRule="auto"/>
        <w:rPr>
          <w:sz w:val="20"/>
          <w:szCs w:val="20"/>
          <w:color w:val="auto"/>
        </w:rPr>
      </w:pPr>
      <w:r>
        <w:rPr>
          <w:rFonts w:ascii="Arial" w:cs="Arial" w:eastAsia="Arial" w:hAnsi="Arial"/>
          <w:sz w:val="18"/>
          <w:szCs w:val="18"/>
          <w:color w:val="auto"/>
        </w:rPr>
        <w:t>Second Supplemental Indenture, dated as of November 11, 2014, between the Company and Deutsche Bank Trust Company Americas, as trustee, incorporated by reference to Exhibit 2.7 from the Company’s Annual Report on Form 20-F (File No. 001-35454) filed with the Securities and Exchange Commission on April 24, 2015.</w:t>
      </w:r>
    </w:p>
    <w:p>
      <w:pPr>
        <w:spacing w:after="0" w:line="181" w:lineRule="exact"/>
        <w:rPr>
          <w:sz w:val="20"/>
          <w:szCs w:val="20"/>
          <w:color w:val="auto"/>
        </w:rPr>
      </w:pPr>
    </w:p>
    <w:p>
      <w:pPr>
        <w:sectPr>
          <w:pgSz w:w="11900" w:h="16838" w:orient="portrait"/>
          <w:cols w:equalWidth="0" w:num="2">
            <w:col w:w="1240" w:space="720"/>
            <w:col w:w="9440"/>
          </w:cols>
          <w:pgMar w:left="240" w:top="125" w:right="259" w:bottom="0" w:gutter="0" w:footer="0" w:header="0"/>
          <w:type w:val="continuous"/>
        </w:sectPr>
      </w:pPr>
    </w:p>
    <w:p>
      <w:pPr>
        <w:ind w:left="1980" w:hanging="1324"/>
        <w:spacing w:after="0"/>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48" w:lineRule="exact"/>
        <w:rPr>
          <w:rFonts w:ascii="Arial" w:cs="Arial" w:eastAsia="Arial" w:hAnsi="Arial"/>
          <w:sz w:val="16"/>
          <w:szCs w:val="16"/>
          <w:color w:val="auto"/>
        </w:rPr>
      </w:pPr>
    </w:p>
    <w:p>
      <w:pPr>
        <w:ind w:left="1960" w:hanging="1304"/>
        <w:spacing w:after="0"/>
        <w:tabs>
          <w:tab w:leader="none" w:pos="1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ectPr>
          <w:pgSz w:w="11900" w:h="16838" w:orient="portrait"/>
          <w:cols w:equalWidth="0" w:num="1">
            <w:col w:w="11400"/>
          </w:cols>
          <w:pgMar w:left="240" w:top="125" w:right="259" w:bottom="0" w:gutter="0" w:footer="0" w:header="0"/>
          <w:type w:val="continuous"/>
        </w:sectPr>
      </w:pPr>
    </w:p>
    <w:bookmarkStart w:id="2" w:name="page3"/>
    <w:bookmarkEnd w:id="2"/>
    <w:p>
      <w:pPr>
        <w:ind w:left="1240" w:hanging="584"/>
        <w:spacing w:after="0"/>
        <w:tabs>
          <w:tab w:leader="none" w:pos="1240" w:val="left"/>
        </w:tabs>
        <w:numPr>
          <w:ilvl w:val="0"/>
          <w:numId w:val="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Donghao Yang</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84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340" w:type="dxa"/>
            <w:vAlign w:val="bottom"/>
          </w:tcPr>
          <w:p>
            <w:pPr>
              <w:spacing w:after="0"/>
              <w:rPr>
                <w:sz w:val="20"/>
                <w:szCs w:val="20"/>
                <w:color w:val="auto"/>
              </w:rPr>
            </w:pPr>
            <w:r>
              <w:rPr>
                <w:rFonts w:ascii="Arial" w:cs="Arial" w:eastAsia="Arial" w:hAnsi="Arial"/>
                <w:sz w:val="18"/>
                <w:szCs w:val="18"/>
                <w:color w:val="auto"/>
              </w:rPr>
              <w:t>(a)(1)*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5"/>
              </w:rPr>
              <w:t>Put Right Notice to Holders of 1.50% Convertible Senior Notes due 2019 Issued by Vipshop Holdings Limited, dated February 14,</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2017.</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(a)(5)(A)*</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the Company, dated February 14, 2017.</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(a)(5)(B)*</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the Company, dated February 22, 2017.</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(a)(5)(C)</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the Company, dated March 7, 2017.</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(b)(1)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US$632,500,000 Facility Agreement, dated March 7, 201 7. by and among the Company, as borrower, Vipshop lnternational Holdings</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5"/>
              </w:rPr>
              <w:t>Limited, as guarantor, Credit Suisse AG, Singapore Branch, as mandated lead manager, Morgan Stanley Senior Funding, Inc., as</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mandated lead manager and agent, and the lender parties thereto.</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0"/>
              </w:rPr>
              <w:t>Indenture, dated as of March 17, 2014, between the Company and Deutsche Bank Trust Company Americas, as trustee, incorporated by</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reference to Exhibit 2.4 from the Company’s Annual Report on Form 20-F (File No. 001-35454) filed with the Securities and Exchange</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Commission on April 25, 2014.</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First Supplemental Indenture, dated as of March 17, 2014, between the Company and Deutsche Bank Trust Company Americas, as</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trustee, incorporated by reference to Exhibit 2.5 from the Company’s Annual Report on Form 20-F (File No. 001-35454) filed with the</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Securities and Exchange Commission on April 25, 2014.</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0"/>
              </w:rPr>
              <w:t>Second Supplemental Indenture, dated as of November 11, 2014, between the Company and Deutsche Bank Trust Company Americas,</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as trustee, incorporated by reference to Exhibit 2.7 from the Company’s Annual Report on Form 20-F (File No. 001-35454) filed with</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the Securities and Exchange Commission on April 24,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99.(a)(5)(C)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154940</wp:posOffset>
            </wp:positionV>
            <wp:extent cx="1235075"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Announces Entry into Facility Agreement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Guangzhou, China, March 7, 2017 — Vipshop Holdings Limited (NYSE: VIPS), a leading online discount retailer for brands in China (“Vipshop” or the “Company”), today announced that it has entered into a facility agreement dated March 7, 2017, with Credit Suisse AG, Singapore Branch, Morgan Stanley Senior Funding, Inc. and other parties thereto (the “Facility Agreement”). The term loan facility (the “Facility”) pursuant to the Facility Agreement may only be used in connection with a repurchase by the Company of its 1.50% Convertible Senior Notes due 2019 (the “Notes”) on March 15, 2017 (including the fees, costs and expenses incurred in connection with the Facility itself). The maximum amount of the financing available to the Company from the Facility is the lesser of the actual amount of the repurchase price for the Notes plus those fees, costs and expenses or US$632,500,000, and the minimum amount that the Company may utilize is US$5,000,000. The Company’s obligations under the Facility Agreement are guaranteed by Vipshop International Holdings Limited, a subsidiary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99.(b)(1)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MARCH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INTERNATIONAL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SUISSE AG, SINGAPORE BRANCH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Mandated Lead Arrangers)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FINANCIAL INSTITUTIONS LISTED HEREIN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Original Lenders)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US$632,500,000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437515</wp:posOffset>
            </wp:positionV>
            <wp:extent cx="20154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54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18th Floor, One Exchange Square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+852.2912.2500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860" w:type="dxa"/>
            <w:vAlign w:val="bottom"/>
          </w:tcPr>
          <w:p>
            <w:pPr>
              <w:ind w:left="480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80" w:type="dxa"/>
            <w:vAlign w:val="bottom"/>
            <w:gridSpan w:val="2"/>
            <w:vMerge w:val="restart"/>
          </w:tcPr>
          <w:p>
            <w:pPr>
              <w:spacing w:after="0"/>
              <w:rPr>
                <w:sz w:val="20"/>
                <w:szCs w:val="20"/>
                <w:color w:val="auto"/>
              </w:rPr>
            </w:pPr>
            <w:r>
              <w:rPr>
                <w:rFonts w:ascii="Arial" w:cs="Arial" w:eastAsia="Arial" w:hAnsi="Arial"/>
                <w:sz w:val="18"/>
                <w:szCs w:val="18"/>
                <w:color w:val="auto"/>
              </w:rPr>
              <w:t>SECTION 1 INTERPRETATION</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28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986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2 THE FACILITY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9860" w:type="dxa"/>
            <w:vAlign w:val="bottom"/>
          </w:tcPr>
          <w:p>
            <w:pPr>
              <w:ind w:left="160"/>
              <w:spacing w:after="0"/>
              <w:rPr>
                <w:sz w:val="20"/>
                <w:szCs w:val="20"/>
                <w:color w:val="auto"/>
              </w:rPr>
            </w:pPr>
            <w:r>
              <w:rPr>
                <w:rFonts w:ascii="Arial" w:cs="Arial" w:eastAsia="Arial" w:hAnsi="Arial"/>
                <w:sz w:val="18"/>
                <w:szCs w:val="18"/>
                <w:color w:val="auto"/>
              </w:rPr>
              <w:t>The Facility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9860" w:type="dxa"/>
            <w:vAlign w:val="bottom"/>
          </w:tcPr>
          <w:p>
            <w:pPr>
              <w:ind w:left="160"/>
              <w:spacing w:after="0"/>
              <w:rPr>
                <w:sz w:val="20"/>
                <w:szCs w:val="20"/>
                <w:color w:val="auto"/>
              </w:rPr>
            </w:pPr>
            <w:r>
              <w:rPr>
                <w:rFonts w:ascii="Arial" w:cs="Arial" w:eastAsia="Arial" w:hAnsi="Arial"/>
                <w:sz w:val="18"/>
                <w:szCs w:val="18"/>
                <w:color w:val="auto"/>
              </w:rPr>
              <w:t>Purpose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9860" w:type="dxa"/>
            <w:vAlign w:val="bottom"/>
          </w:tcPr>
          <w:p>
            <w:pPr>
              <w:ind w:left="160"/>
              <w:spacing w:after="0"/>
              <w:rPr>
                <w:sz w:val="20"/>
                <w:szCs w:val="20"/>
                <w:color w:val="auto"/>
              </w:rPr>
            </w:pPr>
            <w:r>
              <w:rPr>
                <w:rFonts w:ascii="Arial" w:cs="Arial" w:eastAsia="Arial" w:hAnsi="Arial"/>
                <w:sz w:val="18"/>
                <w:szCs w:val="18"/>
                <w:color w:val="auto"/>
              </w:rPr>
              <w:t>Conditions of Utilisation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3 UTILISATION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9860" w:type="dxa"/>
            <w:vAlign w:val="bottom"/>
          </w:tcPr>
          <w:p>
            <w:pPr>
              <w:ind w:left="160"/>
              <w:spacing w:after="0"/>
              <w:rPr>
                <w:sz w:val="20"/>
                <w:szCs w:val="20"/>
                <w:color w:val="auto"/>
              </w:rPr>
            </w:pPr>
            <w:r>
              <w:rPr>
                <w:rFonts w:ascii="Arial" w:cs="Arial" w:eastAsia="Arial" w:hAnsi="Arial"/>
                <w:sz w:val="18"/>
                <w:szCs w:val="18"/>
                <w:color w:val="auto"/>
              </w:rPr>
              <w:t>Utilisation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4 REPAYMENT, PREPAYMENT AND CANCELLATION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9860" w:type="dxa"/>
            <w:vAlign w:val="bottom"/>
          </w:tcPr>
          <w:p>
            <w:pPr>
              <w:ind w:left="160"/>
              <w:spacing w:after="0"/>
              <w:rPr>
                <w:sz w:val="20"/>
                <w:szCs w:val="20"/>
                <w:color w:val="auto"/>
              </w:rPr>
            </w:pPr>
            <w:r>
              <w:rPr>
                <w:rFonts w:ascii="Arial" w:cs="Arial" w:eastAsia="Arial" w:hAnsi="Arial"/>
                <w:sz w:val="18"/>
                <w:szCs w:val="18"/>
                <w:color w:val="auto"/>
              </w:rPr>
              <w:t>Repayment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9860" w:type="dxa"/>
            <w:vAlign w:val="bottom"/>
          </w:tcPr>
          <w:p>
            <w:pPr>
              <w:ind w:left="160"/>
              <w:spacing w:after="0"/>
              <w:rPr>
                <w:sz w:val="20"/>
                <w:szCs w:val="20"/>
                <w:color w:val="auto"/>
              </w:rPr>
            </w:pPr>
            <w:r>
              <w:rPr>
                <w:rFonts w:ascii="Arial" w:cs="Arial" w:eastAsia="Arial" w:hAnsi="Arial"/>
                <w:sz w:val="18"/>
                <w:szCs w:val="18"/>
                <w:color w:val="auto"/>
              </w:rPr>
              <w:t>Prepayment and Cancellation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5 COSTS OF UTILISATION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98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9860" w:type="dxa"/>
            <w:vAlign w:val="bottom"/>
          </w:tcPr>
          <w:p>
            <w:pPr>
              <w:ind w:left="160"/>
              <w:spacing w:after="0"/>
              <w:rPr>
                <w:sz w:val="20"/>
                <w:szCs w:val="20"/>
                <w:color w:val="auto"/>
              </w:rPr>
            </w:pPr>
            <w:r>
              <w:rPr>
                <w:rFonts w:ascii="Arial" w:cs="Arial" w:eastAsia="Arial" w:hAnsi="Arial"/>
                <w:sz w:val="18"/>
                <w:szCs w:val="18"/>
                <w:color w:val="auto"/>
              </w:rPr>
              <w:t>Interest Periods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9860" w:type="dxa"/>
            <w:vAlign w:val="bottom"/>
          </w:tcPr>
          <w:p>
            <w:pPr>
              <w:ind w:left="160"/>
              <w:spacing w:after="0"/>
              <w:rPr>
                <w:sz w:val="20"/>
                <w:szCs w:val="20"/>
                <w:color w:val="auto"/>
              </w:rPr>
            </w:pPr>
            <w:r>
              <w:rPr>
                <w:rFonts w:ascii="Arial" w:cs="Arial" w:eastAsia="Arial" w:hAnsi="Arial"/>
                <w:sz w:val="18"/>
                <w:szCs w:val="18"/>
                <w:color w:val="auto"/>
              </w:rPr>
              <w:t>Changes to the Calculation of Interest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9860" w:type="dxa"/>
            <w:vAlign w:val="bottom"/>
          </w:tcPr>
          <w:p>
            <w:pPr>
              <w:ind w:left="160"/>
              <w:spacing w:after="0"/>
              <w:rPr>
                <w:sz w:val="20"/>
                <w:szCs w:val="20"/>
                <w:color w:val="auto"/>
              </w:rPr>
            </w:pPr>
            <w:r>
              <w:rPr>
                <w:rFonts w:ascii="Arial" w:cs="Arial" w:eastAsia="Arial" w:hAnsi="Arial"/>
                <w:sz w:val="18"/>
                <w:szCs w:val="18"/>
                <w:color w:val="auto"/>
              </w:rPr>
              <w:t>Fees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6 ADDITIONAL PAYMENT OBLIGATIONS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9860" w:type="dxa"/>
            <w:vAlign w:val="bottom"/>
          </w:tcPr>
          <w:p>
            <w:pPr>
              <w:ind w:left="160"/>
              <w:spacing w:after="0"/>
              <w:rPr>
                <w:sz w:val="20"/>
                <w:szCs w:val="20"/>
                <w:color w:val="auto"/>
              </w:rPr>
            </w:pPr>
            <w:r>
              <w:rPr>
                <w:rFonts w:ascii="Arial" w:cs="Arial" w:eastAsia="Arial" w:hAnsi="Arial"/>
                <w:sz w:val="18"/>
                <w:szCs w:val="18"/>
                <w:color w:val="auto"/>
              </w:rPr>
              <w:t>Tax Gross-up and Indemnities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9860" w:type="dxa"/>
            <w:vAlign w:val="bottom"/>
          </w:tcPr>
          <w:p>
            <w:pPr>
              <w:ind w:left="160"/>
              <w:spacing w:after="0"/>
              <w:rPr>
                <w:sz w:val="20"/>
                <w:szCs w:val="20"/>
                <w:color w:val="auto"/>
              </w:rPr>
            </w:pPr>
            <w:r>
              <w:rPr>
                <w:rFonts w:ascii="Arial" w:cs="Arial" w:eastAsia="Arial" w:hAnsi="Arial"/>
                <w:sz w:val="18"/>
                <w:szCs w:val="18"/>
                <w:color w:val="auto"/>
              </w:rPr>
              <w:t>Increased Costs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9860" w:type="dxa"/>
            <w:vAlign w:val="bottom"/>
          </w:tcPr>
          <w:p>
            <w:pPr>
              <w:ind w:left="160"/>
              <w:spacing w:after="0"/>
              <w:rPr>
                <w:sz w:val="20"/>
                <w:szCs w:val="20"/>
                <w:color w:val="auto"/>
              </w:rPr>
            </w:pPr>
            <w:r>
              <w:rPr>
                <w:rFonts w:ascii="Arial" w:cs="Arial" w:eastAsia="Arial" w:hAnsi="Arial"/>
                <w:sz w:val="18"/>
                <w:szCs w:val="18"/>
                <w:color w:val="auto"/>
              </w:rPr>
              <w:t>Mitigation by the Lenders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9860" w:type="dxa"/>
            <w:vAlign w:val="bottom"/>
          </w:tcPr>
          <w:p>
            <w:pPr>
              <w:ind w:left="160"/>
              <w:spacing w:after="0"/>
              <w:rPr>
                <w:sz w:val="20"/>
                <w:szCs w:val="20"/>
                <w:color w:val="auto"/>
              </w:rPr>
            </w:pPr>
            <w:r>
              <w:rPr>
                <w:rFonts w:ascii="Arial" w:cs="Arial" w:eastAsia="Arial" w:hAnsi="Arial"/>
                <w:sz w:val="18"/>
                <w:szCs w:val="18"/>
                <w:color w:val="auto"/>
              </w:rPr>
              <w:t>Other Indemnities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986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7 GUARANTEE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9860" w:type="dxa"/>
            <w:vAlign w:val="bottom"/>
          </w:tcPr>
          <w:p>
            <w:pPr>
              <w:ind w:left="160"/>
              <w:spacing w:after="0"/>
              <w:rPr>
                <w:sz w:val="20"/>
                <w:szCs w:val="20"/>
                <w:color w:val="auto"/>
              </w:rPr>
            </w:pPr>
            <w:r>
              <w:rPr>
                <w:rFonts w:ascii="Arial" w:cs="Arial" w:eastAsia="Arial" w:hAnsi="Arial"/>
                <w:sz w:val="18"/>
                <w:szCs w:val="18"/>
                <w:color w:val="auto"/>
              </w:rPr>
              <w:t>Guarantee and Indemnity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SECTION 8 REPRESENTATIONS, UNDERTAKINGS AND EVENTS OF DEFAULT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9860" w:type="dxa"/>
            <w:vAlign w:val="bottom"/>
          </w:tcPr>
          <w:p>
            <w:pPr>
              <w:ind w:left="160"/>
              <w:spacing w:after="0"/>
              <w:rPr>
                <w:sz w:val="20"/>
                <w:szCs w:val="20"/>
                <w:color w:val="auto"/>
              </w:rPr>
            </w:pPr>
            <w:r>
              <w:rPr>
                <w:rFonts w:ascii="Arial" w:cs="Arial" w:eastAsia="Arial" w:hAnsi="Arial"/>
                <w:sz w:val="18"/>
                <w:szCs w:val="18"/>
                <w:color w:val="auto"/>
              </w:rPr>
              <w:t>Representations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9860" w:type="dxa"/>
            <w:vAlign w:val="bottom"/>
          </w:tcPr>
          <w:p>
            <w:pPr>
              <w:ind w:left="160"/>
              <w:spacing w:after="0"/>
              <w:rPr>
                <w:sz w:val="20"/>
                <w:szCs w:val="20"/>
                <w:color w:val="auto"/>
              </w:rPr>
            </w:pPr>
            <w:r>
              <w:rPr>
                <w:rFonts w:ascii="Arial" w:cs="Arial" w:eastAsia="Arial" w:hAnsi="Arial"/>
                <w:sz w:val="18"/>
                <w:szCs w:val="18"/>
                <w:color w:val="auto"/>
              </w:rPr>
              <w:t>Information Undertakings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Covenants</w:t>
            </w:r>
          </w:p>
        </w:tc>
        <w:tc>
          <w:tcPr>
            <w:tcW w:w="6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4600" w:type="dxa"/>
            <w:vAlign w:val="bottom"/>
          </w:tcPr>
          <w:p>
            <w:pPr>
              <w:ind w:left="160"/>
              <w:spacing w:after="0"/>
              <w:rPr>
                <w:sz w:val="20"/>
                <w:szCs w:val="20"/>
                <w:color w:val="auto"/>
              </w:rPr>
            </w:pPr>
            <w:r>
              <w:rPr>
                <w:rFonts w:ascii="Arial" w:cs="Arial" w:eastAsia="Arial" w:hAnsi="Arial"/>
                <w:sz w:val="18"/>
                <w:szCs w:val="18"/>
                <w:color w:val="auto"/>
              </w:rPr>
              <w:t>General Undertakings</w:t>
            </w:r>
          </w:p>
        </w:tc>
        <w:tc>
          <w:tcPr>
            <w:tcW w:w="6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4600" w:type="dxa"/>
            <w:vAlign w:val="bottom"/>
          </w:tcPr>
          <w:p>
            <w:pPr>
              <w:ind w:left="160"/>
              <w:spacing w:after="0"/>
              <w:rPr>
                <w:sz w:val="20"/>
                <w:szCs w:val="20"/>
                <w:color w:val="auto"/>
              </w:rPr>
            </w:pPr>
            <w:r>
              <w:rPr>
                <w:rFonts w:ascii="Arial" w:cs="Arial" w:eastAsia="Arial" w:hAnsi="Arial"/>
                <w:sz w:val="18"/>
                <w:szCs w:val="18"/>
                <w:color w:val="auto"/>
              </w:rPr>
              <w:t>Securities Demand And Take-Out Debt Offering</w:t>
            </w:r>
          </w:p>
        </w:tc>
        <w:tc>
          <w:tcPr>
            <w:tcW w:w="6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460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6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SECTION 9 CHANGES TO PARTIES</w:t>
            </w:r>
          </w:p>
        </w:tc>
        <w:tc>
          <w:tcPr>
            <w:tcW w:w="6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4600" w:type="dxa"/>
            <w:vAlign w:val="bottom"/>
          </w:tcPr>
          <w:p>
            <w:pPr>
              <w:ind w:left="160"/>
              <w:spacing w:after="0"/>
              <w:rPr>
                <w:sz w:val="20"/>
                <w:szCs w:val="20"/>
                <w:color w:val="auto"/>
              </w:rPr>
            </w:pPr>
            <w:r>
              <w:rPr>
                <w:rFonts w:ascii="Arial" w:cs="Arial" w:eastAsia="Arial" w:hAnsi="Arial"/>
                <w:sz w:val="18"/>
                <w:szCs w:val="18"/>
                <w:color w:val="auto"/>
              </w:rPr>
              <w:t>Changes to the Lenders</w:t>
            </w:r>
          </w:p>
        </w:tc>
        <w:tc>
          <w:tcPr>
            <w:tcW w:w="6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4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4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r>
        <w:trPr>
          <w:trHeight w:val="766"/>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4600" w:type="dxa"/>
            <w:vAlign w:val="bottom"/>
          </w:tcPr>
          <w:p>
            <w:pPr>
              <w:ind w:left="160"/>
              <w:spacing w:after="0"/>
              <w:rPr>
                <w:sz w:val="20"/>
                <w:szCs w:val="20"/>
                <w:color w:val="auto"/>
              </w:rPr>
            </w:pPr>
            <w:r>
              <w:rPr>
                <w:rFonts w:ascii="Arial" w:cs="Arial" w:eastAsia="Arial" w:hAnsi="Arial"/>
                <w:sz w:val="18"/>
                <w:szCs w:val="18"/>
                <w:color w:val="auto"/>
              </w:rPr>
              <w:t>Changes to the Obligors</w:t>
            </w:r>
          </w:p>
        </w:tc>
        <w:tc>
          <w:tcPr>
            <w:tcW w:w="6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SECTION 10 THE FINANCE PARTIES</w:t>
            </w:r>
          </w:p>
        </w:tc>
        <w:tc>
          <w:tcPr>
            <w:tcW w:w="6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4600" w:type="dxa"/>
            <w:vAlign w:val="bottom"/>
          </w:tcPr>
          <w:p>
            <w:pPr>
              <w:ind w:left="160"/>
              <w:spacing w:after="0"/>
              <w:rPr>
                <w:sz w:val="20"/>
                <w:szCs w:val="20"/>
                <w:color w:val="auto"/>
              </w:rPr>
            </w:pPr>
            <w:r>
              <w:rPr>
                <w:rFonts w:ascii="Arial" w:cs="Arial" w:eastAsia="Arial" w:hAnsi="Arial"/>
                <w:sz w:val="18"/>
                <w:szCs w:val="18"/>
                <w:color w:val="auto"/>
              </w:rPr>
              <w:t>Role of the Administrative Parties</w:t>
            </w:r>
          </w:p>
        </w:tc>
        <w:tc>
          <w:tcPr>
            <w:tcW w:w="6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4600" w:type="dxa"/>
            <w:vAlign w:val="bottom"/>
          </w:tcPr>
          <w:p>
            <w:pPr>
              <w:ind w:left="160"/>
              <w:spacing w:after="0"/>
              <w:rPr>
                <w:sz w:val="20"/>
                <w:szCs w:val="20"/>
                <w:color w:val="auto"/>
              </w:rPr>
            </w:pPr>
            <w:r>
              <w:rPr>
                <w:rFonts w:ascii="Arial" w:cs="Arial" w:eastAsia="Arial" w:hAnsi="Arial"/>
                <w:sz w:val="18"/>
                <w:szCs w:val="18"/>
                <w:color w:val="auto"/>
              </w:rPr>
              <w:t>Sharing among the Finance Parties</w:t>
            </w:r>
          </w:p>
        </w:tc>
        <w:tc>
          <w:tcPr>
            <w:tcW w:w="6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SECTION 11 ADMINISTRATION</w:t>
            </w:r>
          </w:p>
        </w:tc>
        <w:tc>
          <w:tcPr>
            <w:tcW w:w="6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4600" w:type="dxa"/>
            <w:vAlign w:val="bottom"/>
          </w:tcPr>
          <w:p>
            <w:pPr>
              <w:ind w:left="160"/>
              <w:spacing w:after="0"/>
              <w:rPr>
                <w:sz w:val="20"/>
                <w:szCs w:val="20"/>
                <w:color w:val="auto"/>
              </w:rPr>
            </w:pPr>
            <w:r>
              <w:rPr>
                <w:rFonts w:ascii="Arial" w:cs="Arial" w:eastAsia="Arial" w:hAnsi="Arial"/>
                <w:sz w:val="18"/>
                <w:szCs w:val="18"/>
                <w:color w:val="auto"/>
              </w:rPr>
              <w:t>Payment Mechanics</w:t>
            </w:r>
          </w:p>
        </w:tc>
        <w:tc>
          <w:tcPr>
            <w:tcW w:w="6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4600" w:type="dxa"/>
            <w:vAlign w:val="bottom"/>
          </w:tcPr>
          <w:p>
            <w:pPr>
              <w:ind w:left="160"/>
              <w:spacing w:after="0"/>
              <w:rPr>
                <w:sz w:val="20"/>
                <w:szCs w:val="20"/>
                <w:color w:val="auto"/>
              </w:rPr>
            </w:pPr>
            <w:r>
              <w:rPr>
                <w:rFonts w:ascii="Arial" w:cs="Arial" w:eastAsia="Arial" w:hAnsi="Arial"/>
                <w:sz w:val="18"/>
                <w:szCs w:val="18"/>
                <w:color w:val="auto"/>
              </w:rPr>
              <w:t>Set-off</w:t>
            </w:r>
          </w:p>
        </w:tc>
        <w:tc>
          <w:tcPr>
            <w:tcW w:w="6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4600" w:type="dxa"/>
            <w:vAlign w:val="bottom"/>
          </w:tcPr>
          <w:p>
            <w:pPr>
              <w:ind w:left="160"/>
              <w:spacing w:after="0"/>
              <w:rPr>
                <w:sz w:val="20"/>
                <w:szCs w:val="20"/>
                <w:color w:val="auto"/>
              </w:rPr>
            </w:pPr>
            <w:r>
              <w:rPr>
                <w:rFonts w:ascii="Arial" w:cs="Arial" w:eastAsia="Arial" w:hAnsi="Arial"/>
                <w:sz w:val="18"/>
                <w:szCs w:val="18"/>
                <w:color w:val="auto"/>
              </w:rPr>
              <w:t>Notices</w:t>
            </w:r>
          </w:p>
        </w:tc>
        <w:tc>
          <w:tcPr>
            <w:tcW w:w="6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4600" w:type="dxa"/>
            <w:vAlign w:val="bottom"/>
          </w:tcPr>
          <w:p>
            <w:pPr>
              <w:ind w:left="160"/>
              <w:spacing w:after="0"/>
              <w:rPr>
                <w:sz w:val="20"/>
                <w:szCs w:val="20"/>
                <w:color w:val="auto"/>
              </w:rPr>
            </w:pPr>
            <w:r>
              <w:rPr>
                <w:rFonts w:ascii="Arial" w:cs="Arial" w:eastAsia="Arial" w:hAnsi="Arial"/>
                <w:sz w:val="18"/>
                <w:szCs w:val="18"/>
                <w:color w:val="auto"/>
              </w:rPr>
              <w:t>Calculations and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Pr>
          <w:p>
            <w:pPr>
              <w:ind w:left="160"/>
              <w:spacing w:after="0"/>
              <w:rPr>
                <w:sz w:val="20"/>
                <w:szCs w:val="20"/>
                <w:color w:val="auto"/>
              </w:rPr>
            </w:pPr>
            <w:r>
              <w:rPr>
                <w:rFonts w:ascii="Arial" w:cs="Arial" w:eastAsia="Arial" w:hAnsi="Arial"/>
                <w:sz w:val="18"/>
                <w:szCs w:val="18"/>
                <w:color w:val="auto"/>
              </w:rPr>
              <w:t>Partial Invalidity</w:t>
            </w:r>
          </w:p>
        </w:tc>
        <w:tc>
          <w:tcPr>
            <w:tcW w:w="6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4600" w:type="dxa"/>
            <w:vAlign w:val="bottom"/>
          </w:tcPr>
          <w:p>
            <w:pPr>
              <w:ind w:left="160"/>
              <w:spacing w:after="0"/>
              <w:rPr>
                <w:sz w:val="20"/>
                <w:szCs w:val="20"/>
                <w:color w:val="auto"/>
              </w:rPr>
            </w:pPr>
            <w:r>
              <w:rPr>
                <w:rFonts w:ascii="Arial" w:cs="Arial" w:eastAsia="Arial" w:hAnsi="Arial"/>
                <w:sz w:val="18"/>
                <w:szCs w:val="18"/>
                <w:color w:val="auto"/>
              </w:rPr>
              <w:t>Remedies and Waivers</w:t>
            </w:r>
          </w:p>
        </w:tc>
        <w:tc>
          <w:tcPr>
            <w:tcW w:w="6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460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6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4600" w:type="dxa"/>
            <w:vAlign w:val="bottom"/>
          </w:tcPr>
          <w:p>
            <w:pPr>
              <w:ind w:left="160"/>
              <w:spacing w:after="0"/>
              <w:rPr>
                <w:sz w:val="20"/>
                <w:szCs w:val="20"/>
                <w:color w:val="auto"/>
              </w:rPr>
            </w:pPr>
            <w:r>
              <w:rPr>
                <w:rFonts w:ascii="Arial" w:cs="Arial" w:eastAsia="Arial" w:hAnsi="Arial"/>
                <w:sz w:val="18"/>
                <w:szCs w:val="18"/>
                <w:color w:val="auto"/>
              </w:rPr>
              <w:t>Confidential Information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4600" w:type="dxa"/>
            <w:vAlign w:val="bottom"/>
          </w:tcPr>
          <w:p>
            <w:pPr>
              <w:ind w:left="160"/>
              <w:spacing w:after="0"/>
              <w:rPr>
                <w:sz w:val="20"/>
                <w:szCs w:val="20"/>
                <w:color w:val="auto"/>
              </w:rPr>
            </w:pPr>
            <w:r>
              <w:rPr>
                <w:rFonts w:ascii="Arial" w:cs="Arial" w:eastAsia="Arial" w:hAnsi="Arial"/>
                <w:sz w:val="18"/>
                <w:szCs w:val="18"/>
                <w:color w:val="auto"/>
              </w:rPr>
              <w:t>Confidentiality of Funding Rates</w:t>
            </w:r>
          </w:p>
        </w:tc>
        <w:tc>
          <w:tcPr>
            <w:tcW w:w="6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46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4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SECTION 12 GOVERNING LAW AND ENFORCEMENT</w:t>
            </w:r>
          </w:p>
        </w:tc>
        <w:tc>
          <w:tcPr>
            <w:tcW w:w="6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46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4600" w:type="dxa"/>
            <w:vAlign w:val="bottom"/>
          </w:tcPr>
          <w:p>
            <w:pPr>
              <w:ind w:left="160"/>
              <w:spacing w:after="0"/>
              <w:rPr>
                <w:sz w:val="20"/>
                <w:szCs w:val="20"/>
                <w:color w:val="auto"/>
              </w:rPr>
            </w:pPr>
            <w:r>
              <w:rPr>
                <w:rFonts w:ascii="Arial" w:cs="Arial" w:eastAsia="Arial" w:hAnsi="Arial"/>
                <w:sz w:val="18"/>
                <w:szCs w:val="18"/>
                <w:color w:val="auto"/>
              </w:rPr>
              <w:t>Enforcement</w:t>
            </w:r>
          </w:p>
        </w:tc>
        <w:tc>
          <w:tcPr>
            <w:tcW w:w="6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1 The Original Lenders</w:t>
            </w:r>
          </w:p>
        </w:tc>
        <w:tc>
          <w:tcPr>
            <w:tcW w:w="6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2 Conditions Precedent</w:t>
            </w:r>
          </w:p>
        </w:tc>
        <w:tc>
          <w:tcPr>
            <w:tcW w:w="6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3 utilisation Request</w:t>
            </w:r>
          </w:p>
        </w:tc>
        <w:tc>
          <w:tcPr>
            <w:tcW w:w="64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4 Form of Transfer Certificate</w:t>
            </w:r>
          </w:p>
        </w:tc>
        <w:tc>
          <w:tcPr>
            <w:tcW w:w="64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5 Form of Assignment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Schedule 6 Securities Demand</w:t>
            </w:r>
          </w:p>
        </w:tc>
        <w:tc>
          <w:tcPr>
            <w:tcW w:w="64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Schedule 7 Timetables</w:t>
            </w:r>
          </w:p>
        </w:tc>
        <w:tc>
          <w:tcPr>
            <w:tcW w:w="644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7 March 2017 and made between:</w:t>
      </w:r>
    </w:p>
    <w:p>
      <w:pPr>
        <w:spacing w:after="0" w:line="225" w:lineRule="exact"/>
        <w:rPr>
          <w:sz w:val="20"/>
          <w:szCs w:val="20"/>
          <w:color w:val="auto"/>
        </w:rPr>
      </w:pPr>
    </w:p>
    <w:p>
      <w:pPr>
        <w:jc w:val="both"/>
        <w:ind w:left="660" w:right="420" w:hanging="652"/>
        <w:spacing w:after="0" w:line="235"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VIPSHOP HOLDINGS LIMITED</w:t>
      </w:r>
      <w:r>
        <w:rPr>
          <w:rFonts w:ascii="Arial" w:cs="Arial" w:eastAsia="Arial" w:hAnsi="Arial"/>
          <w:sz w:val="18"/>
          <w:szCs w:val="18"/>
          <w:color w:val="auto"/>
        </w:rPr>
        <w:t>, an exempted company incorporated in the Cayman Islands and having its registered office at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Services Ltd., Harbour Place,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 103 South Church Street, P.O. Box 472, George Town, Grand Cayman KY1-1106, Cayman Islands with registration number OI-244771, as borrower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left="660" w:right="100" w:hanging="652"/>
        <w:spacing w:after="0" w:line="266"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VIPSHOP INTERNATIONAL HOLDINGS LIMITED</w:t>
      </w:r>
      <w:r>
        <w:rPr>
          <w:rFonts w:ascii="Arial" w:cs="Arial" w:eastAsia="Arial" w:hAnsi="Arial"/>
          <w:sz w:val="18"/>
          <w:szCs w:val="18"/>
          <w:color w:val="auto"/>
        </w:rPr>
        <w:t>, a company incorporated under the laws of Hong Kong and having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Unit 2209, 22/F, Wu Chung House, 213 Queen’s Road East, Wanchai, Hong Kong with registration number 1519141, as guarantor (the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CREDIT SUISSE AG, SINGAPORE BRANCH </w:t>
      </w:r>
      <w:r>
        <w:rPr>
          <w:rFonts w:ascii="Arial" w:cs="Arial" w:eastAsia="Arial" w:hAnsi="Arial"/>
          <w:sz w:val="17"/>
          <w:szCs w:val="17"/>
          <w:color w:val="auto"/>
        </w:rPr>
        <w:t>and</w:t>
      </w:r>
      <w:r>
        <w:rPr>
          <w:rFonts w:ascii="Arial" w:cs="Arial" w:eastAsia="Arial" w:hAnsi="Arial"/>
          <w:sz w:val="17"/>
          <w:szCs w:val="17"/>
          <w:b w:val="1"/>
          <w:bCs w:val="1"/>
          <w:color w:val="auto"/>
        </w:rPr>
        <w:t xml:space="preserve"> MORGAN STANLEY SENIOR FUNDING, INC., </w:t>
      </w:r>
      <w:r>
        <w:rPr>
          <w:rFonts w:ascii="Arial" w:cs="Arial" w:eastAsia="Arial" w:hAnsi="Arial"/>
          <w:sz w:val="17"/>
          <w:szCs w:val="17"/>
          <w:color w:val="auto"/>
        </w:rPr>
        <w:t>(the “</w:t>
      </w:r>
      <w:r>
        <w:rPr>
          <w:rFonts w:ascii="Arial" w:cs="Arial" w:eastAsia="Arial" w:hAnsi="Arial"/>
          <w:sz w:val="17"/>
          <w:szCs w:val="17"/>
          <w:b w:val="1"/>
          <w:bCs w:val="1"/>
          <w:color w:val="auto"/>
        </w:rPr>
        <w:t>Mandated Lead Arrangers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agent of the Finance Parties (other than itself)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Party</w:t>
      </w:r>
      <w:r>
        <w:rPr>
          <w:rFonts w:ascii="Arial" w:cs="Arial" w:eastAsia="Arial" w:hAnsi="Arial"/>
          <w:sz w:val="18"/>
          <w:szCs w:val="18"/>
          <w:color w:val="auto"/>
        </w:rPr>
        <w:t>” means each of the Agent and the Mandated Lead Arrangers.</w:t>
      </w:r>
    </w:p>
    <w:p>
      <w:pPr>
        <w:spacing w:after="0" w:line="225"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162" w:lineRule="exact"/>
        <w:rPr>
          <w:sz w:val="20"/>
          <w:szCs w:val="20"/>
          <w:color w:val="auto"/>
        </w:rPr>
      </w:pPr>
    </w:p>
    <w:p>
      <w:pPr>
        <w:ind w:left="66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without limitation, the United Kingdom Bribery Act 2010, the United States Foreign Corrupt Practices Act of 1977 and other similar legislation in other jurisdictions.</w:t>
      </w:r>
    </w:p>
    <w:p>
      <w:pPr>
        <w:sectPr>
          <w:pgSz w:w="11900" w:h="16838" w:orient="portrait"/>
          <w:cols w:equalWidth="0" w:num="1">
            <w:col w:w="11460"/>
          </w:cols>
          <w:pgMar w:left="240" w:top="125" w:right="199" w:bottom="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APLMA</w:t>
      </w:r>
      <w:r>
        <w:rPr>
          <w:rFonts w:ascii="Arial" w:cs="Arial" w:eastAsia="Arial" w:hAnsi="Arial"/>
          <w:sz w:val="18"/>
          <w:szCs w:val="18"/>
          <w:color w:val="auto"/>
        </w:rPr>
        <w:t>” means the Asia Pacific Loan Market Association Limited.</w:t>
      </w:r>
    </w:p>
    <w:p>
      <w:pPr>
        <w:spacing w:after="0" w:line="225"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agreement substantially in the form set out in Schedule 5 (</w:t>
      </w:r>
      <w:r>
        <w:rPr>
          <w:rFonts w:ascii="Arial" w:cs="Arial" w:eastAsia="Arial" w:hAnsi="Arial"/>
          <w:sz w:val="18"/>
          <w:szCs w:val="18"/>
          <w:i w:val="1"/>
          <w:iCs w:val="1"/>
          <w:color w:val="auto"/>
        </w:rPr>
        <w:t>Form of Assignment Agreement</w:t>
      </w:r>
      <w:r>
        <w:rPr>
          <w:rFonts w:ascii="Arial" w:cs="Arial" w:eastAsia="Arial" w:hAnsi="Arial"/>
          <w:sz w:val="18"/>
          <w:szCs w:val="18"/>
          <w:color w:val="auto"/>
        </w:rPr>
        <w:t>) or any other form agreed between the relevant assignor, assignee and the Agent.</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authorisation, consent, approval, resolution, licence, exemption, filing, notarisation, lodgement or registration; or</w:t>
      </w:r>
    </w:p>
    <w:p>
      <w:pPr>
        <w:spacing w:after="0" w:line="225" w:lineRule="exact"/>
        <w:rPr>
          <w:rFonts w:ascii="Arial" w:cs="Arial" w:eastAsia="Arial" w:hAnsi="Arial"/>
          <w:sz w:val="18"/>
          <w:szCs w:val="18"/>
          <w:color w:val="auto"/>
        </w:rPr>
      </w:pPr>
    </w:p>
    <w:p>
      <w:pPr>
        <w:ind w:left="644" w:right="60" w:hanging="644"/>
        <w:spacing w:after="0" w:line="308" w:lineRule="auto"/>
        <w:tabs>
          <w:tab w:leader="none" w:pos="6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15 March 2017.</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229" w:lineRule="exact"/>
        <w:rPr>
          <w:sz w:val="20"/>
          <w:szCs w:val="20"/>
          <w:color w:val="auto"/>
        </w:rPr>
      </w:pPr>
    </w:p>
    <w:p>
      <w:pPr>
        <w:ind w:left="644" w:right="600" w:hanging="644"/>
        <w:spacing w:after="0" w:line="264"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(excluding Margin) which a Lender should have received for the period from the date of receipt of all or any part of its participation in the Loan or Unpaid Sum to the last day of the current Interest Period in respect of the Loan or Unpaid Sum, had the principal amount or Unpaid Sum received been paid on the last day of that Interest Period;</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exceeds:</w:t>
      </w:r>
    </w:p>
    <w:p>
      <w:pPr>
        <w:spacing w:after="0" w:line="225" w:lineRule="exact"/>
        <w:rPr>
          <w:sz w:val="20"/>
          <w:szCs w:val="20"/>
          <w:color w:val="auto"/>
        </w:rPr>
      </w:pPr>
    </w:p>
    <w:p>
      <w:pPr>
        <w:jc w:val="both"/>
        <w:ind w:left="644" w:hanging="644"/>
        <w:spacing w:after="0" w:line="264"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77"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Hong Kong, PRC, Singapore and New York.</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Date</w:t>
      </w:r>
      <w:r>
        <w:rPr>
          <w:rFonts w:ascii="Arial" w:cs="Arial" w:eastAsia="Arial" w:hAnsi="Arial"/>
          <w:sz w:val="18"/>
          <w:szCs w:val="18"/>
          <w:color w:val="auto"/>
        </w:rPr>
        <w:t>” has the meaning given to it in Clause 24.3 (</w:t>
      </w:r>
      <w:r>
        <w:rPr>
          <w:rFonts w:ascii="Arial" w:cs="Arial" w:eastAsia="Arial" w:hAnsi="Arial"/>
          <w:sz w:val="18"/>
          <w:szCs w:val="18"/>
          <w:i w:val="1"/>
          <w:iCs w:val="1"/>
          <w:color w:val="auto"/>
        </w:rPr>
        <w:t>Buy-out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w:t>
      </w:r>
    </w:p>
    <w:p>
      <w:pPr>
        <w:spacing w:after="0" w:line="229" w:lineRule="exact"/>
        <w:rPr>
          <w:sz w:val="20"/>
          <w:szCs w:val="20"/>
          <w:color w:val="auto"/>
        </w:rPr>
      </w:pPr>
    </w:p>
    <w:p>
      <w:pPr>
        <w:ind w:left="644" w:right="40" w:hanging="644"/>
        <w:spacing w:after="0" w:line="277"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and the amount of any other Commitment transferred to it under this Agreement; and</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21" w:lineRule="exact"/>
        <w:rPr>
          <w:sz w:val="20"/>
          <w:szCs w:val="20"/>
          <w:color w:val="auto"/>
        </w:rPr>
      </w:pPr>
    </w:p>
    <w:p>
      <w:pPr>
        <w:ind w:left="4"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delivered pursuant to Clause 19.2 (</w:t>
      </w:r>
      <w:r>
        <w:rPr>
          <w:rFonts w:ascii="Arial" w:cs="Arial" w:eastAsia="Arial" w:hAnsi="Arial"/>
          <w:sz w:val="18"/>
          <w:szCs w:val="18"/>
          <w:i w:val="1"/>
          <w:iCs w:val="1"/>
          <w:color w:val="auto"/>
        </w:rPr>
        <w:t>Compliance Certificate</w:t>
      </w:r>
      <w:r>
        <w:rPr>
          <w:rFonts w:ascii="Arial" w:cs="Arial" w:eastAsia="Arial" w:hAnsi="Arial"/>
          <w:sz w:val="18"/>
          <w:szCs w:val="18"/>
          <w:color w:val="auto"/>
        </w:rPr>
        <w:t>) and signed by two directors or one director and the chief financial officer of the Borrower in form and substance satisfactory to the Agent.</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APLMA or in any other form agreed between the Borrower and the Agent.</w:t>
      </w:r>
    </w:p>
    <w:p>
      <w:pPr>
        <w:spacing w:after="0" w:line="162"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Bonds</w:t>
      </w:r>
      <w:r>
        <w:rPr>
          <w:rFonts w:ascii="Arial" w:cs="Arial" w:eastAsia="Arial" w:hAnsi="Arial"/>
          <w:sz w:val="18"/>
          <w:szCs w:val="18"/>
          <w:color w:val="auto"/>
        </w:rPr>
        <w:t>” means the 1.50% convertible senior notes issued by the Borrower due 2019 with the maximum aggregate offering price of US$632,500,000.</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Bonds Trustee</w:t>
      </w:r>
      <w:r>
        <w:rPr>
          <w:rFonts w:ascii="Arial" w:cs="Arial" w:eastAsia="Arial" w:hAnsi="Arial"/>
          <w:sz w:val="17"/>
          <w:szCs w:val="17"/>
          <w:color w:val="auto"/>
        </w:rPr>
        <w:t>” means Deutsche Bank Trust Company Americas, the trustee and paying agent of the Convertible Bonds.</w:t>
      </w:r>
    </w:p>
    <w:p>
      <w:pPr>
        <w:spacing w:after="0" w:line="237"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229" w:lineRule="exact"/>
        <w:rPr>
          <w:sz w:val="20"/>
          <w:szCs w:val="20"/>
          <w:color w:val="auto"/>
        </w:rPr>
      </w:pPr>
    </w:p>
    <w:p>
      <w:pPr>
        <w:ind w:left="644" w:right="100" w:hanging="644"/>
        <w:spacing w:after="0" w:line="277" w:lineRule="auto"/>
        <w:tabs>
          <w:tab w:leader="none" w:pos="6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which has failed to make its participation in the Loan available (or has notified the Agent that it will not make its participation in the Loan available) by the Utilisation Date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in the case of paragraphs (a) and (b) above:</w:t>
      </w:r>
    </w:p>
    <w:p>
      <w:pPr>
        <w:spacing w:after="0" w:line="225" w:lineRule="exact"/>
        <w:rPr>
          <w:sz w:val="20"/>
          <w:szCs w:val="20"/>
          <w:color w:val="auto"/>
        </w:rPr>
      </w:pPr>
    </w:p>
    <w:p>
      <w:pPr>
        <w:ind w:left="1324" w:hanging="675"/>
        <w:spacing w:after="0"/>
        <w:tabs>
          <w:tab w:leader="none" w:pos="1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ectPr>
          <w:pgSz w:w="11900" w:h="16838" w:orient="portrait"/>
          <w:cols w:equalWidth="0" w:num="1">
            <w:col w:w="10704"/>
          </w:cols>
          <w:pgMar w:left="896" w:top="121" w:right="299" w:bottom="0" w:gutter="0" w:footer="0" w:header="0"/>
        </w:sectPr>
      </w:pPr>
    </w:p>
    <w:bookmarkStart w:id="7" w:name="page8"/>
    <w:bookmarkEnd w:id="7"/>
    <w:p>
      <w:pPr>
        <w:spacing w:after="0" w:line="32" w:lineRule="exact"/>
        <w:rPr>
          <w:sz w:val="20"/>
          <w:szCs w:val="20"/>
          <w:color w:val="auto"/>
        </w:rPr>
      </w:pPr>
    </w:p>
    <w:p>
      <w:pPr>
        <w:ind w:left="1964" w:hanging="667"/>
        <w:spacing w:after="0"/>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964" w:hanging="667"/>
        <w:spacing w:after="0"/>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payment is made within 2 Business Days of its due date; or</w:t>
      </w:r>
    </w:p>
    <w:p>
      <w:pPr>
        <w:spacing w:after="0" w:line="225" w:lineRule="exact"/>
        <w:rPr>
          <w:sz w:val="20"/>
          <w:szCs w:val="20"/>
          <w:color w:val="auto"/>
        </w:rPr>
      </w:pPr>
    </w:p>
    <w:p>
      <w:pPr>
        <w:ind w:left="4" w:right="1840" w:firstLine="645"/>
        <w:spacing w:after="0" w:line="498" w:lineRule="auto"/>
        <w:tabs>
          <w:tab w:leader="none" w:pos="13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 “</w:t>
      </w:r>
      <w:r>
        <w:rPr>
          <w:rFonts w:ascii="Arial" w:cs="Arial" w:eastAsia="Arial" w:hAnsi="Arial"/>
          <w:sz w:val="18"/>
          <w:szCs w:val="18"/>
          <w:b w:val="1"/>
          <w:bCs w:val="1"/>
          <w:color w:val="auto"/>
        </w:rPr>
        <w:t>Dissenting Lenders</w:t>
      </w:r>
      <w:r>
        <w:rPr>
          <w:rFonts w:ascii="Arial" w:cs="Arial" w:eastAsia="Arial" w:hAnsi="Arial"/>
          <w:sz w:val="18"/>
          <w:szCs w:val="18"/>
          <w:color w:val="auto"/>
        </w:rPr>
        <w:t>” has the meaning give to it in Clause 24.3 (</w:t>
      </w:r>
      <w:r>
        <w:rPr>
          <w:rFonts w:ascii="Arial" w:cs="Arial" w:eastAsia="Arial" w:hAnsi="Arial"/>
          <w:sz w:val="18"/>
          <w:szCs w:val="18"/>
          <w:i w:val="1"/>
          <w:iCs w:val="1"/>
          <w:color w:val="auto"/>
        </w:rPr>
        <w:t>Buy-out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right="5380"/>
        <w:spacing w:after="0" w:line="50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Dissenting Portion</w:t>
      </w:r>
      <w:r>
        <w:rPr>
          <w:rFonts w:ascii="Arial" w:cs="Arial" w:eastAsia="Arial" w:hAnsi="Arial"/>
          <w:sz w:val="18"/>
          <w:szCs w:val="18"/>
          <w:color w:val="auto"/>
        </w:rPr>
        <w:t>” has the meaning give to it in Clause 24.3 (</w:t>
      </w:r>
      <w:r>
        <w:rPr>
          <w:rFonts w:ascii="Arial" w:cs="Arial" w:eastAsia="Arial" w:hAnsi="Arial"/>
          <w:sz w:val="18"/>
          <w:szCs w:val="18"/>
          <w:i w:val="1"/>
          <w:iCs w:val="1"/>
          <w:color w:val="auto"/>
        </w:rPr>
        <w:t>Buy-out</w:t>
      </w:r>
      <w:r>
        <w:rPr>
          <w:rFonts w:ascii="Arial" w:cs="Arial" w:eastAsia="Arial" w:hAnsi="Arial"/>
          <w:sz w:val="18"/>
          <w:szCs w:val="18"/>
          <w:color w:val="auto"/>
        </w:rPr>
        <w:t>). “</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ind w:left="644" w:right="20" w:hanging="644"/>
        <w:spacing w:after="0" w:line="286" w:lineRule="auto"/>
        <w:tabs>
          <w:tab w:leader="none" w:pos="6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and</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580" w:hanging="644"/>
        <w:spacing w:after="0" w:line="277" w:lineRule="auto"/>
        <w:tabs>
          <w:tab w:leader="none" w:pos="6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0" w:lineRule="exact"/>
        <w:rPr>
          <w:rFonts w:ascii="Arial" w:cs="Arial" w:eastAsia="Arial" w:hAnsi="Arial"/>
          <w:sz w:val="18"/>
          <w:szCs w:val="18"/>
          <w:color w:val="auto"/>
        </w:rPr>
      </w:pPr>
    </w:p>
    <w:p>
      <w:pPr>
        <w:ind w:left="1324" w:hanging="675"/>
        <w:spacing w:after="0"/>
        <w:tabs>
          <w:tab w:leader="none" w:pos="13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Institution</w:t>
      </w:r>
      <w:r>
        <w:rPr>
          <w:rFonts w:ascii="Arial" w:cs="Arial" w:eastAsia="Arial" w:hAnsi="Arial"/>
          <w:sz w:val="18"/>
          <w:szCs w:val="18"/>
          <w:color w:val="auto"/>
        </w:rPr>
        <w:t>” means any Lender or other bank, financial institution, trust, fund or other entity selected by the Borrower and which, in each case, is not a member of the Group.</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or Social Approval</w:t>
      </w:r>
      <w:r>
        <w:rPr>
          <w:rFonts w:ascii="Arial" w:cs="Arial" w:eastAsia="Arial" w:hAnsi="Arial"/>
          <w:sz w:val="18"/>
          <w:szCs w:val="18"/>
          <w:color w:val="auto"/>
        </w:rPr>
        <w:t>” means any Authorisation required by an Environmental or Social Law.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or Social Law</w:t>
      </w:r>
      <w:r>
        <w:rPr>
          <w:rFonts w:ascii="Arial" w:cs="Arial" w:eastAsia="Arial" w:hAnsi="Arial"/>
          <w:sz w:val="18"/>
          <w:szCs w:val="18"/>
          <w:color w:val="auto"/>
        </w:rPr>
        <w:t>” means any applicable law or regulation concerning:</w:t>
      </w:r>
    </w:p>
    <w:p>
      <w:pPr>
        <w:spacing w:after="0" w:line="229" w:lineRule="exact"/>
        <w:rPr>
          <w:sz w:val="20"/>
          <w:szCs w:val="20"/>
          <w:color w:val="auto"/>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occupational health and safety;</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community welfare, and/or land or property rights</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pollution or protection of the environment; or</w:t>
      </w:r>
    </w:p>
    <w:p>
      <w:pPr>
        <w:spacing w:after="0" w:line="225" w:lineRule="exact"/>
        <w:rPr>
          <w:rFonts w:ascii="Arial" w:cs="Arial" w:eastAsia="Arial" w:hAnsi="Arial"/>
          <w:sz w:val="18"/>
          <w:szCs w:val="18"/>
          <w:color w:val="auto"/>
        </w:rPr>
      </w:pPr>
    </w:p>
    <w:p>
      <w:pPr>
        <w:ind w:left="4" w:right="2540" w:hanging="4"/>
        <w:spacing w:after="0" w:line="501" w:lineRule="auto"/>
        <w:tabs>
          <w:tab w:leader="none" w:pos="6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emission or substance which is capable of causing harm to any living organ-ism or the environment. “</w:t>
      </w:r>
      <w:r>
        <w:rPr>
          <w:rFonts w:ascii="Arial" w:cs="Arial" w:eastAsia="Arial" w:hAnsi="Arial"/>
          <w:sz w:val="18"/>
          <w:szCs w:val="18"/>
          <w:b w:val="1"/>
          <w:bCs w:val="1"/>
          <w:color w:val="auto"/>
        </w:rPr>
        <w:t>Environmental or Social Claim</w:t>
      </w:r>
      <w:r>
        <w:rPr>
          <w:rFonts w:ascii="Arial" w:cs="Arial" w:eastAsia="Arial" w:hAnsi="Arial"/>
          <w:sz w:val="18"/>
          <w:szCs w:val="18"/>
          <w:color w:val="auto"/>
        </w:rPr>
        <w:t>” means any claim by any person in connection with:</w:t>
      </w:r>
    </w:p>
    <w:p>
      <w:pPr>
        <w:ind w:left="804" w:hanging="642"/>
        <w:spacing w:after="0"/>
        <w:tabs>
          <w:tab w:leader="none" w:pos="8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breach, or alleged breach, of an Environmental or Social Law; or</w:t>
      </w:r>
    </w:p>
    <w:p>
      <w:pPr>
        <w:spacing w:after="0" w:line="225" w:lineRule="exact"/>
        <w:rPr>
          <w:rFonts w:ascii="Arial" w:cs="Arial" w:eastAsia="Arial" w:hAnsi="Arial"/>
          <w:sz w:val="18"/>
          <w:szCs w:val="18"/>
          <w:color w:val="auto"/>
        </w:rPr>
      </w:pPr>
    </w:p>
    <w:p>
      <w:pPr>
        <w:ind w:left="804" w:hanging="642"/>
        <w:spacing w:after="0" w:line="277" w:lineRule="auto"/>
        <w:tabs>
          <w:tab w:leader="none" w:pos="8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accident, fire, explosion or other event of any type involving an emission or substance which is capable of causing harm to any living organism or the environment.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21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25" w:lineRule="exact"/>
        <w:rPr>
          <w:sz w:val="20"/>
          <w:szCs w:val="20"/>
          <w:color w:val="auto"/>
        </w:rPr>
      </w:pPr>
    </w:p>
    <w:p>
      <w:pPr>
        <w:ind w:left="4"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4" w:hanging="636"/>
        <w:spacing w:after="0"/>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25" w:lineRule="exact"/>
        <w:rPr>
          <w:rFonts w:ascii="Arial" w:cs="Arial" w:eastAsia="Arial" w:hAnsi="Arial"/>
          <w:sz w:val="18"/>
          <w:szCs w:val="18"/>
          <w:color w:val="auto"/>
        </w:rPr>
      </w:pPr>
    </w:p>
    <w:p>
      <w:pPr>
        <w:ind w:left="804" w:right="500" w:hanging="642"/>
        <w:spacing w:after="0" w:line="342" w:lineRule="auto"/>
        <w:tabs>
          <w:tab w:leader="none" w:pos="8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23" w:lineRule="exact"/>
        <w:rPr>
          <w:rFonts w:ascii="Arial" w:cs="Arial" w:eastAsia="Arial" w:hAnsi="Arial"/>
          <w:sz w:val="16"/>
          <w:szCs w:val="16"/>
          <w:color w:val="auto"/>
        </w:rPr>
      </w:pPr>
    </w:p>
    <w:p>
      <w:pPr>
        <w:ind w:left="804" w:right="480" w:hanging="642"/>
        <w:spacing w:after="0" w:line="308" w:lineRule="auto"/>
        <w:tabs>
          <w:tab w:leader="none" w:pos="8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ectPr>
          <w:pgSz w:w="11900" w:h="16870" w:orient="portrait"/>
          <w:cols w:equalWidth="0" w:num="1">
            <w:col w:w="10724"/>
          </w:cols>
          <w:pgMar w:left="896" w:top="125" w:right="279" w:bottom="0" w:gutter="0" w:footer="0" w:header="0"/>
        </w:sectPr>
      </w:pPr>
    </w:p>
    <w:bookmarkStart w:id="8" w:name="page9"/>
    <w:bookmarkEnd w:id="8"/>
    <w:p>
      <w:pPr>
        <w:ind w:left="800" w:hanging="642"/>
        <w:spacing w:after="0" w:line="277" w:lineRule="auto"/>
        <w:tabs>
          <w:tab w:leader="none" w:pos="7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170" w:lineRule="exact"/>
        <w:rPr>
          <w:rFonts w:ascii="Arial" w:cs="Arial" w:eastAsia="Arial" w:hAnsi="Arial"/>
          <w:sz w:val="18"/>
          <w:szCs w:val="18"/>
          <w:color w:val="auto"/>
        </w:rPr>
      </w:pPr>
    </w:p>
    <w:p>
      <w:pPr>
        <w:ind w:left="800" w:right="360" w:hanging="642"/>
        <w:spacing w:after="0" w:line="308" w:lineRule="auto"/>
        <w:tabs>
          <w:tab w:leader="none" w:pos="8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146" w:lineRule="exact"/>
        <w:rPr>
          <w:rFonts w:ascii="Arial" w:cs="Arial" w:eastAsia="Arial" w:hAnsi="Arial"/>
          <w:sz w:val="17"/>
          <w:szCs w:val="17"/>
          <w:color w:val="auto"/>
        </w:rPr>
      </w:pPr>
    </w:p>
    <w:p>
      <w:pPr>
        <w:ind w:left="800" w:right="680" w:hanging="642"/>
        <w:spacing w:after="0" w:line="277" w:lineRule="auto"/>
        <w:tabs>
          <w:tab w:leader="none" w:pos="8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“pass thru payment” described in section 1471(d)(7) of the Code not falling within paragraph (a) or (b) above, 1 January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 Letter</w:t>
      </w:r>
      <w:r>
        <w:rPr>
          <w:rFonts w:ascii="Arial" w:cs="Arial" w:eastAsia="Arial" w:hAnsi="Arial"/>
          <w:sz w:val="17"/>
          <w:szCs w:val="17"/>
          <w:color w:val="auto"/>
        </w:rPr>
        <w:t>” means any letter or letters referring to the Mandate Letter, this Agreement or the Facility between one or more Administrative Parties and the Borrower setting out any of the fees payable by the Borrower, including those referred to in Clause 11 (</w:t>
      </w:r>
      <w:r>
        <w:rPr>
          <w:rFonts w:ascii="Arial" w:cs="Arial" w:eastAsia="Arial" w:hAnsi="Arial"/>
          <w:sz w:val="17"/>
          <w:szCs w:val="17"/>
          <w:i w:val="1"/>
          <w:iCs w:val="1"/>
          <w:color w:val="auto"/>
        </w:rPr>
        <w:t>Fees</w:t>
      </w:r>
      <w:r>
        <w:rPr>
          <w:rFonts w:ascii="Arial" w:cs="Arial" w:eastAsia="Arial" w:hAnsi="Arial"/>
          <w:sz w:val="17"/>
          <w:szCs w:val="17"/>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 the date falling 364 days from the Utilisation Date.</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the Mandate Letter, any Fee Letter, any Utilisation Request, any Compliance Certificate, any Subordination Agreement and any other document designated as such by the Agent and the Borrower.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the Agent, the Mandated Lead Arrangers or a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229" w:lineRule="exact"/>
        <w:rPr>
          <w:sz w:val="20"/>
          <w:szCs w:val="20"/>
          <w:color w:val="auto"/>
        </w:rPr>
      </w:pPr>
    </w:p>
    <w:p>
      <w:pPr>
        <w:ind w:left="800" w:hanging="64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hanging="66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225" w:lineRule="exact"/>
        <w:rPr>
          <w:rFonts w:ascii="Arial" w:cs="Arial" w:eastAsia="Arial" w:hAnsi="Arial"/>
          <w:sz w:val="18"/>
          <w:szCs w:val="18"/>
          <w:color w:val="auto"/>
        </w:rPr>
      </w:pPr>
    </w:p>
    <w:p>
      <w:pPr>
        <w:ind w:left="820" w:hanging="662"/>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248" w:lineRule="exact"/>
        <w:rPr>
          <w:rFonts w:ascii="Arial" w:cs="Arial" w:eastAsia="Arial" w:hAnsi="Arial"/>
          <w:sz w:val="16"/>
          <w:szCs w:val="16"/>
          <w:color w:val="auto"/>
        </w:rPr>
      </w:pPr>
    </w:p>
    <w:p>
      <w:pPr>
        <w:ind w:left="800" w:right="380" w:hanging="642"/>
        <w:spacing w:after="0" w:line="277"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balance sheet liability;</w:t>
      </w:r>
    </w:p>
    <w:p>
      <w:pPr>
        <w:spacing w:after="0" w:line="170" w:lineRule="exact"/>
        <w:rPr>
          <w:rFonts w:ascii="Arial" w:cs="Arial" w:eastAsia="Arial" w:hAnsi="Arial"/>
          <w:sz w:val="18"/>
          <w:szCs w:val="18"/>
          <w:color w:val="auto"/>
        </w:rPr>
      </w:pPr>
    </w:p>
    <w:p>
      <w:pPr>
        <w:ind w:left="820" w:hanging="662"/>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receivables sold or discounted (other than any receivables to the extent they are sold or discounted on a non-recourse basis);</w:t>
      </w:r>
    </w:p>
    <w:p>
      <w:pPr>
        <w:spacing w:after="0" w:line="236" w:lineRule="exact"/>
        <w:rPr>
          <w:rFonts w:ascii="Arial" w:cs="Arial" w:eastAsia="Arial" w:hAnsi="Arial"/>
          <w:sz w:val="17"/>
          <w:szCs w:val="17"/>
          <w:color w:val="auto"/>
        </w:rPr>
      </w:pPr>
    </w:p>
    <w:p>
      <w:pPr>
        <w:ind w:left="800" w:right="80" w:hanging="642"/>
        <w:spacing w:after="0" w:line="277" w:lineRule="auto"/>
        <w:tabs>
          <w:tab w:leader="none" w:pos="8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170" w:lineRule="exact"/>
        <w:rPr>
          <w:rFonts w:ascii="Arial" w:cs="Arial" w:eastAsia="Arial" w:hAnsi="Arial"/>
          <w:sz w:val="18"/>
          <w:szCs w:val="18"/>
          <w:color w:val="auto"/>
        </w:rPr>
      </w:pPr>
    </w:p>
    <w:p>
      <w:pPr>
        <w:ind w:left="800" w:right="140" w:hanging="642"/>
        <w:spacing w:after="0" w:line="264" w:lineRule="auto"/>
        <w:tabs>
          <w:tab w:leader="none" w:pos="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81" w:lineRule="exact"/>
        <w:rPr>
          <w:rFonts w:ascii="Arial" w:cs="Arial" w:eastAsia="Arial" w:hAnsi="Arial"/>
          <w:sz w:val="18"/>
          <w:szCs w:val="18"/>
          <w:color w:val="auto"/>
        </w:rPr>
      </w:pPr>
    </w:p>
    <w:p>
      <w:pPr>
        <w:ind w:left="800" w:right="540" w:hanging="642"/>
        <w:spacing w:after="0" w:line="277"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70" w:lineRule="exact"/>
        <w:rPr>
          <w:rFonts w:ascii="Arial" w:cs="Arial" w:eastAsia="Arial" w:hAnsi="Arial"/>
          <w:sz w:val="18"/>
          <w:szCs w:val="18"/>
          <w:color w:val="auto"/>
        </w:rPr>
      </w:pPr>
    </w:p>
    <w:p>
      <w:pPr>
        <w:ind w:left="820" w:hanging="662"/>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any liability in respect of any guarantee or indemnity for any of the items referred to in paragraphs (a) to (h)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 Ltd. or any successor to its ratings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Rate</w:t>
      </w:r>
      <w:r>
        <w:rPr>
          <w:rFonts w:ascii="Arial" w:cs="Arial" w:eastAsia="Arial" w:hAnsi="Arial"/>
          <w:sz w:val="17"/>
          <w:szCs w:val="17"/>
          <w:color w:val="auto"/>
        </w:rPr>
        <w:t>” means any individual rate notified by a Lender to the Agent pursuant to paragraph (a)(ii) of Clause 10.3 (</w:t>
      </w:r>
      <w:r>
        <w:rPr>
          <w:rFonts w:ascii="Arial" w:cs="Arial" w:eastAsia="Arial" w:hAnsi="Arial"/>
          <w:sz w:val="17"/>
          <w:szCs w:val="17"/>
          <w:i w:val="1"/>
          <w:iCs w:val="1"/>
          <w:color w:val="auto"/>
        </w:rPr>
        <w:t>Cost of funds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 Structure Chart</w:t>
      </w:r>
      <w:r>
        <w:rPr>
          <w:rFonts w:ascii="Arial" w:cs="Arial" w:eastAsia="Arial" w:hAnsi="Arial"/>
          <w:sz w:val="17"/>
          <w:szCs w:val="17"/>
          <w:color w:val="auto"/>
        </w:rPr>
        <w:t>” means the group structure chart delivered to the Agent in accordance with Clause 4.1 (</w:t>
      </w:r>
      <w:r>
        <w:rPr>
          <w:rFonts w:ascii="Arial" w:cs="Arial" w:eastAsia="Arial" w:hAnsi="Arial"/>
          <w:sz w:val="17"/>
          <w:szCs w:val="17"/>
          <w:i w:val="1"/>
          <w:iCs w:val="1"/>
          <w:color w:val="auto"/>
        </w:rPr>
        <w:t>Initial conditions precedent</w:t>
      </w:r>
      <w:r>
        <w:rPr>
          <w:rFonts w:ascii="Arial" w:cs="Arial" w:eastAsia="Arial" w:hAnsi="Arial"/>
          <w:sz w:val="17"/>
          <w:szCs w:val="17"/>
          <w:color w:val="auto"/>
        </w:rPr>
        <w:t>).</w:t>
      </w:r>
    </w:p>
    <w:p>
      <w:pPr>
        <w:spacing w:after="0" w:line="23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Agency</w:t>
      </w:r>
      <w:r>
        <w:rPr>
          <w:rFonts w:ascii="Arial" w:cs="Arial" w:eastAsia="Arial" w:hAnsi="Arial"/>
          <w:sz w:val="18"/>
          <w:szCs w:val="18"/>
          <w:color w:val="auto"/>
        </w:rPr>
        <w:t>” means any government or any governmental agency, semi-governmental or judicial entity or authority (including any stock exchange or any self-regulatory organisation established under statute).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its Subsidiaries and the VIEs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 means the Hong Kong Special Administrative Region.</w:t>
      </w:r>
    </w:p>
    <w:p>
      <w:pPr>
        <w:spacing w:after="0" w:line="22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40"/>
          </w:cols>
          <w:pgMar w:left="900" w:top="341" w:right="359" w:bottom="10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Tax</w:t>
      </w:r>
      <w:r>
        <w:rPr>
          <w:rFonts w:ascii="Arial" w:cs="Arial" w:eastAsia="Arial" w:hAnsi="Arial"/>
          <w:sz w:val="18"/>
          <w:szCs w:val="18"/>
          <w:color w:val="auto"/>
        </w:rPr>
        <w:t>” means any goods and services tax, consumption tax, value added tax or any tax of a similar nature.</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w:t>
      </w:r>
      <w:r>
        <w:rPr>
          <w:rFonts w:ascii="Arial" w:cs="Arial" w:eastAsia="Arial" w:hAnsi="Arial"/>
          <w:sz w:val="18"/>
          <w:szCs w:val="18"/>
          <w:color w:val="auto"/>
        </w:rPr>
        <w:t>” means the document (if any) in the form approved by the Borrower concerning the Group which, at the Borrower’s request and on its behalf, was prepared in relation to this transaction and distributed by the Mandated Lead Arrangers to selected financial institutions during the primary Syndication of the Facility.</w:t>
      </w:r>
    </w:p>
    <w:p>
      <w:pPr>
        <w:spacing w:after="0" w:line="17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the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r>
        <w:rPr>
          <w:rFonts w:ascii="Arial" w:cs="Arial" w:eastAsia="Arial" w:hAnsi="Arial"/>
          <w:sz w:val="18"/>
          <w:szCs w:val="18"/>
          <w:i w:val="1"/>
          <w:iCs w:val="1"/>
          <w:color w:val="auto"/>
        </w:rPr>
        <w:t>.</w:t>
      </w:r>
    </w:p>
    <w:p>
      <w:pPr>
        <w:sectPr>
          <w:pgSz w:w="11900" w:h="16838" w:orient="portrait"/>
          <w:cols w:equalWidth="0" w:num="1">
            <w:col w:w="10600"/>
          </w:cols>
          <w:pgMar w:left="900" w:top="337" w:right="399" w:bottom="0" w:gutter="0" w:footer="0" w:header="0"/>
        </w:sectPr>
      </w:pP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Internet Finance Company</w:t>
      </w:r>
      <w:r>
        <w:rPr>
          <w:rFonts w:ascii="Arial" w:cs="Arial" w:eastAsia="Arial" w:hAnsi="Arial"/>
          <w:sz w:val="18"/>
          <w:szCs w:val="18"/>
          <w:color w:val="auto"/>
        </w:rPr>
        <w:t>” means each of Commercial Factoring Co., Ltd.), WFOE to be incorporated in Chongqing.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0"/>
        <w:spacing w:after="0"/>
        <w:tabs>
          <w:tab w:leader="none" w:pos="5180" w:val="left"/>
        </w:tabs>
        <w:rPr>
          <w:sz w:val="20"/>
          <w:szCs w:val="20"/>
          <w:color w:val="auto"/>
        </w:rPr>
      </w:pPr>
      <w:r>
        <w:rPr>
          <w:rFonts w:ascii="Arial" w:cs="Arial" w:eastAsia="Arial" w:hAnsi="Arial"/>
          <w:sz w:val="18"/>
          <w:szCs w:val="18"/>
          <w:color w:val="auto"/>
        </w:rPr>
        <w:t>(Zhejiang Vipshop Payment Co., Ltd.),</w:t>
      </w:r>
      <w:r>
        <w:rPr>
          <w:sz w:val="20"/>
          <w:szCs w:val="20"/>
          <w:color w:val="auto"/>
        </w:rPr>
        <w:tab/>
      </w:r>
      <w:r>
        <w:rPr>
          <w:rFonts w:ascii="Arial" w:cs="Arial" w:eastAsia="Arial" w:hAnsi="Arial"/>
          <w:sz w:val="16"/>
          <w:szCs w:val="16"/>
          <w:color w:val="auto"/>
        </w:rPr>
        <w:t>(Shanghai Pinzhong</w:t>
      </w:r>
    </w:p>
    <w:p>
      <w:pPr>
        <w:spacing w:after="0" w:line="23"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(Shanghai Microcredit Co., Ltd.),</w:t>
      </w:r>
      <w:r>
        <w:rPr>
          <w:sz w:val="20"/>
          <w:szCs w:val="20"/>
          <w:color w:val="auto"/>
        </w:rPr>
        <w:tab/>
      </w:r>
      <w:r>
        <w:rPr>
          <w:rFonts w:ascii="Arial" w:cs="Arial" w:eastAsia="Arial" w:hAnsi="Arial"/>
          <w:sz w:val="16"/>
          <w:szCs w:val="16"/>
          <w:color w:val="auto"/>
        </w:rPr>
        <w:t>(Guangzhou Microcredit Co., Ltd.) and a</w:t>
      </w:r>
    </w:p>
    <w:p>
      <w:pPr>
        <w:spacing w:after="0" w:line="422" w:lineRule="exact"/>
        <w:rPr>
          <w:sz w:val="20"/>
          <w:szCs w:val="20"/>
          <w:color w:val="auto"/>
        </w:rPr>
      </w:pPr>
    </w:p>
    <w:p>
      <w:pPr>
        <w:sectPr>
          <w:pgSz w:w="11900" w:h="16838" w:orient="portrait"/>
          <w:cols w:equalWidth="0" w:num="2">
            <w:col w:w="3320" w:space="480"/>
            <w:col w:w="6800"/>
          </w:cols>
          <w:pgMar w:left="900" w:top="337" w:right="399" w:bottom="0" w:gutter="0" w:footer="0" w:header="0"/>
          <w:type w:val="continuous"/>
        </w:sect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(rounded to the same number of decimal places as the two relevant Screen Rates) which results from interpolating on a linear basis between:</w:t>
      </w:r>
    </w:p>
    <w:p>
      <w:pPr>
        <w:spacing w:after="0" w:line="166" w:lineRule="exact"/>
        <w:rPr>
          <w:sz w:val="20"/>
          <w:szCs w:val="20"/>
          <w:color w:val="auto"/>
        </w:rPr>
      </w:pPr>
    </w:p>
    <w:p>
      <w:pPr>
        <w:ind w:left="800" w:hanging="64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3 months; and</w:t>
      </w:r>
    </w:p>
    <w:p>
      <w:pPr>
        <w:spacing w:after="0" w:line="225" w:lineRule="exact"/>
        <w:rPr>
          <w:rFonts w:ascii="Arial" w:cs="Arial" w:eastAsia="Arial" w:hAnsi="Arial"/>
          <w:sz w:val="18"/>
          <w:szCs w:val="18"/>
          <w:color w:val="auto"/>
        </w:rPr>
      </w:pPr>
    </w:p>
    <w:p>
      <w:pPr>
        <w:ind w:left="820" w:hanging="66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3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as of the Specified Time for US dollars.</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any joint venture entity, whether a company, unincorporated firm, undertaking, association, joint venture or partnership or any other entity.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229" w:lineRule="exact"/>
        <w:rPr>
          <w:sz w:val="20"/>
          <w:szCs w:val="20"/>
          <w:color w:val="auto"/>
        </w:rPr>
      </w:pPr>
    </w:p>
    <w:p>
      <w:pPr>
        <w:ind w:left="800" w:hanging="64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25" w:lineRule="exact"/>
        <w:rPr>
          <w:rFonts w:ascii="Arial" w:cs="Arial" w:eastAsia="Arial" w:hAnsi="Arial"/>
          <w:sz w:val="18"/>
          <w:szCs w:val="18"/>
          <w:color w:val="auto"/>
        </w:rPr>
      </w:pPr>
    </w:p>
    <w:p>
      <w:pPr>
        <w:ind w:left="800" w:right="460" w:hanging="642"/>
        <w:spacing w:after="0" w:line="277" w:lineRule="auto"/>
        <w:tabs>
          <w:tab w:leader="none" w:pos="8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24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the Loan:</w:t>
      </w:r>
    </w:p>
    <w:p>
      <w:pPr>
        <w:spacing w:after="0" w:line="229" w:lineRule="exact"/>
        <w:rPr>
          <w:sz w:val="20"/>
          <w:szCs w:val="20"/>
          <w:color w:val="auto"/>
        </w:rPr>
      </w:pPr>
    </w:p>
    <w:p>
      <w:pPr>
        <w:ind w:left="800" w:hanging="64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applicable Screen Rate as of the Specified Time for US dollars and for a period equal in length to 3 months; or</w:t>
      </w:r>
    </w:p>
    <w:p>
      <w:pPr>
        <w:spacing w:after="0" w:line="225" w:lineRule="exact"/>
        <w:rPr>
          <w:rFonts w:ascii="Arial" w:cs="Arial" w:eastAsia="Arial" w:hAnsi="Arial"/>
          <w:sz w:val="18"/>
          <w:szCs w:val="18"/>
          <w:color w:val="auto"/>
        </w:rPr>
      </w:pPr>
    </w:p>
    <w:p>
      <w:pPr>
        <w:ind w:left="820" w:hanging="66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loan made or to be made under the Facility or the principal amount outstanding for the time being of the loan.</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(other than a Saturday or Sunday) on which commercial banks are open for general business including dealings in interbank deposits in London.</w:t>
      </w:r>
    </w:p>
    <w:p>
      <w:pPr>
        <w:spacing w:after="0" w:line="162" w:lineRule="exact"/>
        <w:rPr>
          <w:sz w:val="20"/>
          <w:szCs w:val="20"/>
          <w:color w:val="auto"/>
        </w:rPr>
      </w:pPr>
    </w:p>
    <w:p>
      <w:pPr>
        <w:ind w:right="380"/>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Lenders</w:t>
      </w:r>
      <w:r>
        <w:rPr>
          <w:rFonts w:ascii="Arial" w:cs="Arial" w:eastAsia="Arial" w:hAnsi="Arial"/>
          <w:sz w:val="16"/>
          <w:szCs w:val="16"/>
          <w:color w:val="auto"/>
        </w:rPr>
        <w:t>” means a Lender or Lenders whose Commitments aggregate more than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Total Commitments (or, if the Total Commitments have been reduced to zero, aggregated more than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Total Commitments immediately prior to the reduction).</w:t>
      </w:r>
    </w:p>
    <w:p>
      <w:pPr>
        <w:spacing w:after="0" w:line="4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Mandate Letter</w:t>
      </w:r>
      <w:r>
        <w:rPr>
          <w:rFonts w:ascii="Arial" w:cs="Arial" w:eastAsia="Arial" w:hAnsi="Arial"/>
          <w:sz w:val="18"/>
          <w:szCs w:val="18"/>
          <w:color w:val="auto"/>
        </w:rPr>
        <w:t>” means the mandate letter dated 21 February 2017 and made between the Mandated Lead Arrangers as the mandated lead arrangers, the bookrunners and the underwriters and the Borrower as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w:t>
      </w:r>
    </w:p>
    <w:p>
      <w:pPr>
        <w:spacing w:after="0" w:line="229" w:lineRule="exact"/>
        <w:rPr>
          <w:sz w:val="20"/>
          <w:szCs w:val="20"/>
          <w:color w:val="auto"/>
        </w:rPr>
      </w:pPr>
    </w:p>
    <w:p>
      <w:pPr>
        <w:ind w:left="800" w:hanging="642"/>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0.5 per cent. per annum from the Utilisation Date to the date falling one Month after that date;</w:t>
      </w:r>
    </w:p>
    <w:p>
      <w:pPr>
        <w:spacing w:after="0" w:line="225" w:lineRule="exact"/>
        <w:rPr>
          <w:rFonts w:ascii="Arial" w:cs="Arial" w:eastAsia="Arial" w:hAnsi="Arial"/>
          <w:sz w:val="18"/>
          <w:szCs w:val="18"/>
          <w:color w:val="auto"/>
        </w:rPr>
      </w:pPr>
    </w:p>
    <w:p>
      <w:pPr>
        <w:ind w:left="820" w:hanging="662"/>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 per cent. per annum from the date falling one Month after the Utilisation Date to the date falling 3 Months after the Utilisation Date;</w:t>
      </w:r>
    </w:p>
    <w:p>
      <w:pPr>
        <w:spacing w:after="0" w:line="248" w:lineRule="exact"/>
        <w:rPr>
          <w:rFonts w:ascii="Arial" w:cs="Arial" w:eastAsia="Arial" w:hAnsi="Arial"/>
          <w:sz w:val="16"/>
          <w:szCs w:val="16"/>
          <w:color w:val="auto"/>
        </w:rPr>
      </w:pPr>
    </w:p>
    <w:p>
      <w:pPr>
        <w:ind w:left="820" w:hanging="662"/>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1.5 per cent. per annum from the date falling 3 Months after the Utilisation Date to the date falling 5 Months after the Utilisation Date;</w:t>
      </w:r>
    </w:p>
    <w:p>
      <w:pPr>
        <w:spacing w:after="0" w:line="248" w:lineRule="exact"/>
        <w:rPr>
          <w:rFonts w:ascii="Arial" w:cs="Arial" w:eastAsia="Arial" w:hAnsi="Arial"/>
          <w:sz w:val="16"/>
          <w:szCs w:val="16"/>
          <w:color w:val="auto"/>
        </w:rPr>
      </w:pPr>
    </w:p>
    <w:p>
      <w:pPr>
        <w:ind w:left="800" w:hanging="642"/>
        <w:spacing w:after="0" w:line="277"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2.25 per cent. per annum from the date falling 5 Months after the Utilisation Date to the date falling 8 Months after the Utilisation Date; and</w:t>
      </w:r>
    </w:p>
    <w:p>
      <w:pPr>
        <w:spacing w:after="0" w:line="170" w:lineRule="exact"/>
        <w:rPr>
          <w:rFonts w:ascii="Arial" w:cs="Arial" w:eastAsia="Arial" w:hAnsi="Arial"/>
          <w:sz w:val="18"/>
          <w:szCs w:val="18"/>
          <w:color w:val="auto"/>
        </w:rPr>
      </w:pPr>
    </w:p>
    <w:p>
      <w:pPr>
        <w:ind w:left="820" w:hanging="662"/>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2.75 per cent. per annum from the date falling 8 Months after the Utilisation Date to Final Repayment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in the reasonable opinion of the Majority Lenders a material adverse effect on:</w:t>
      </w:r>
    </w:p>
    <w:p>
      <w:pPr>
        <w:spacing w:after="0" w:line="229" w:lineRule="exact"/>
        <w:rPr>
          <w:sz w:val="20"/>
          <w:szCs w:val="20"/>
          <w:color w:val="auto"/>
        </w:rPr>
      </w:pPr>
    </w:p>
    <w:p>
      <w:pPr>
        <w:ind w:left="800" w:hanging="64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business or financial condition of an Obligor or the Group taken as a whole;</w:t>
      </w:r>
    </w:p>
    <w:p>
      <w:pPr>
        <w:spacing w:after="0" w:line="225" w:lineRule="exact"/>
        <w:rPr>
          <w:rFonts w:ascii="Arial" w:cs="Arial" w:eastAsia="Arial" w:hAnsi="Arial"/>
          <w:sz w:val="18"/>
          <w:szCs w:val="18"/>
          <w:color w:val="auto"/>
        </w:rPr>
      </w:pPr>
    </w:p>
    <w:p>
      <w:pPr>
        <w:ind w:left="820" w:hanging="66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the Finance Documents; or</w:t>
      </w:r>
    </w:p>
    <w:p>
      <w:pPr>
        <w:sectPr>
          <w:pgSz w:w="11900" w:h="16838" w:orient="portrait"/>
          <w:cols w:equalWidth="0" w:num="1">
            <w:col w:w="10600"/>
          </w:cols>
          <w:pgMar w:left="900" w:top="337" w:right="399" w:bottom="0" w:gutter="0" w:footer="0" w:header="0"/>
          <w:type w:val="continuous"/>
        </w:sectPr>
      </w:pPr>
    </w:p>
    <w:bookmarkStart w:id="10" w:name="page11"/>
    <w:bookmarkEnd w:id="10"/>
    <w:p>
      <w:pPr>
        <w:spacing w:after="0" w:line="32" w:lineRule="exact"/>
        <w:rPr>
          <w:sz w:val="20"/>
          <w:szCs w:val="20"/>
          <w:color w:val="auto"/>
        </w:rPr>
      </w:pPr>
    </w:p>
    <w:p>
      <w:pPr>
        <w:ind w:left="1460" w:right="100" w:hanging="642"/>
        <w:spacing w:after="0" w:line="277" w:lineRule="auto"/>
        <w:tabs>
          <w:tab w:leader="none" w:pos="14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validity, legality or enforceability of any Finance Documents or the rights or remedies of any Finance Party under any of the Finance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means each “Significant Consolidated Entity” as disclosed in Exhibit 8.1 to the Borrower’s most recent annual report 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ind w:left="660"/>
              <w:spacing w:after="0"/>
              <w:rPr>
                <w:sz w:val="20"/>
                <w:szCs w:val="20"/>
                <w:color w:val="auto"/>
              </w:rPr>
            </w:pPr>
            <w:r>
              <w:rPr>
                <w:rFonts w:ascii="Arial" w:cs="Arial" w:eastAsia="Arial" w:hAnsi="Arial"/>
                <w:sz w:val="18"/>
                <w:szCs w:val="18"/>
                <w:color w:val="auto"/>
              </w:rPr>
              <w:t>Form 20-F,</w:t>
            </w:r>
          </w:p>
        </w:tc>
        <w:tc>
          <w:tcPr>
            <w:tcW w:w="5320" w:type="dxa"/>
            <w:vAlign w:val="bottom"/>
            <w:gridSpan w:val="2"/>
          </w:tcPr>
          <w:p>
            <w:pPr>
              <w:jc w:val="right"/>
              <w:ind w:right="90"/>
              <w:spacing w:after="0"/>
              <w:rPr>
                <w:sz w:val="20"/>
                <w:szCs w:val="20"/>
                <w:color w:val="auto"/>
              </w:rPr>
            </w:pPr>
            <w:r>
              <w:rPr>
                <w:rFonts w:ascii="Arial" w:cs="Arial" w:eastAsia="Arial" w:hAnsi="Arial"/>
                <w:sz w:val="18"/>
                <w:szCs w:val="18"/>
                <w:color w:val="auto"/>
              </w:rPr>
              <w:t>(Shanghai Pinzhong Commercial Factoring Co., Ltd.),</w:t>
            </w: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   )</w:t>
            </w:r>
          </w:p>
        </w:tc>
        <w:tc>
          <w:tcPr>
            <w:tcW w:w="3420" w:type="dxa"/>
            <w:vAlign w:val="bottom"/>
          </w:tcPr>
          <w:p>
            <w:pPr>
              <w:ind w:left="120"/>
              <w:spacing w:after="0"/>
              <w:rPr>
                <w:sz w:val="20"/>
                <w:szCs w:val="20"/>
                <w:color w:val="auto"/>
              </w:rPr>
            </w:pPr>
            <w:r>
              <w:rPr>
                <w:rFonts w:ascii="Arial" w:cs="Arial" w:eastAsia="Arial" w:hAnsi="Arial"/>
                <w:sz w:val="18"/>
                <w:szCs w:val="18"/>
                <w:color w:val="auto"/>
              </w:rPr>
              <w:t>(Vipshop (Zhaoqing) Logistics Co., Ltd.),</w:t>
            </w:r>
          </w:p>
        </w:tc>
      </w:tr>
      <w:tr>
        <w:trPr>
          <w:trHeight w:val="216"/>
        </w:trPr>
        <w:tc>
          <w:tcPr>
            <w:tcW w:w="16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(Hubei Vipshop Logistics Co., Ltd.),</w:t>
            </w:r>
          </w:p>
        </w:tc>
        <w:tc>
          <w:tcPr>
            <w:tcW w:w="6740" w:type="dxa"/>
            <w:vAlign w:val="bottom"/>
            <w:gridSpan w:val="3"/>
          </w:tcPr>
          <w:p>
            <w:pPr>
              <w:ind w:left="1200"/>
              <w:spacing w:after="0"/>
              <w:rPr>
                <w:sz w:val="20"/>
                <w:szCs w:val="20"/>
                <w:color w:val="auto"/>
              </w:rPr>
            </w:pPr>
            <w:r>
              <w:rPr>
                <w:rFonts w:ascii="Arial" w:cs="Arial" w:eastAsia="Arial" w:hAnsi="Arial"/>
                <w:sz w:val="18"/>
                <w:szCs w:val="18"/>
                <w:color w:val="auto"/>
              </w:rPr>
              <w:t>(Guangzhou Vipshop Network Technology Co., Ltd.),</w:t>
            </w:r>
          </w:p>
        </w:tc>
      </w:tr>
      <w:tr>
        <w:trPr>
          <w:trHeight w:val="230"/>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(Zhejiang Vipshop Payment Co., Ltd.) or</w:t>
            </w:r>
          </w:p>
        </w:tc>
        <w:tc>
          <w:tcPr>
            <w:tcW w:w="3320" w:type="dxa"/>
            <w:vAlign w:val="bottom"/>
            <w:gridSpan w:val="2"/>
          </w:tcPr>
          <w:p>
            <w:pPr>
              <w:jc w:val="right"/>
              <w:ind w:right="30"/>
              <w:spacing w:after="0"/>
              <w:rPr>
                <w:sz w:val="20"/>
                <w:szCs w:val="20"/>
                <w:color w:val="auto"/>
              </w:rPr>
            </w:pPr>
            <w:r>
              <w:rPr>
                <w:rFonts w:ascii="Arial" w:cs="Arial" w:eastAsia="Arial" w:hAnsi="Arial"/>
                <w:sz w:val="18"/>
                <w:szCs w:val="18"/>
                <w:color w:val="auto"/>
              </w:rPr>
              <w:t>(Tianjin Pinjian E-Commerce Co., Ltd.).</w:t>
            </w:r>
          </w:p>
        </w:tc>
        <w:tc>
          <w:tcPr>
            <w:tcW w:w="34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has the meaning given to it in Clause 18.19 (</w:t>
      </w:r>
      <w:r>
        <w:rPr>
          <w:rFonts w:ascii="Arial" w:cs="Arial" w:eastAsia="Arial" w:hAnsi="Arial"/>
          <w:sz w:val="18"/>
          <w:szCs w:val="18"/>
          <w:i w:val="1"/>
          <w:iCs w:val="1"/>
          <w:color w:val="auto"/>
        </w:rPr>
        <w:t>Anti-money laundering</w:t>
      </w:r>
      <w:r>
        <w:rPr>
          <w:rFonts w:ascii="Arial" w:cs="Arial" w:eastAsia="Arial" w:hAnsi="Arial"/>
          <w:sz w:val="18"/>
          <w:szCs w:val="18"/>
          <w:color w:val="auto"/>
        </w:rPr>
        <w:t>).</w:t>
      </w:r>
    </w:p>
    <w:p>
      <w:pPr>
        <w:spacing w:after="0" w:line="225" w:lineRule="exact"/>
        <w:rPr>
          <w:sz w:val="20"/>
          <w:szCs w:val="20"/>
          <w:color w:val="auto"/>
        </w:rPr>
      </w:pPr>
    </w:p>
    <w:p>
      <w:pPr>
        <w:ind w:left="66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166" w:lineRule="exact"/>
        <w:rPr>
          <w:sz w:val="20"/>
          <w:szCs w:val="20"/>
          <w:color w:val="auto"/>
        </w:rPr>
      </w:pPr>
    </w:p>
    <w:p>
      <w:pPr>
        <w:jc w:val="both"/>
        <w:ind w:left="1460" w:right="300" w:hanging="642"/>
        <w:spacing w:after="0" w:line="342" w:lineRule="auto"/>
        <w:tabs>
          <w:tab w:leader="none" w:pos="1457"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23" w:lineRule="exact"/>
        <w:rPr>
          <w:rFonts w:ascii="Arial" w:cs="Arial" w:eastAsia="Arial" w:hAnsi="Arial"/>
          <w:sz w:val="16"/>
          <w:szCs w:val="16"/>
          <w:color w:val="auto"/>
        </w:rPr>
      </w:pPr>
    </w:p>
    <w:p>
      <w:pPr>
        <w:ind w:left="1460" w:right="700" w:hanging="642"/>
        <w:spacing w:after="0" w:line="277" w:lineRule="auto"/>
        <w:tabs>
          <w:tab w:leader="none" w:pos="14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70" w:lineRule="exact"/>
        <w:rPr>
          <w:rFonts w:ascii="Arial" w:cs="Arial" w:eastAsia="Arial" w:hAnsi="Arial"/>
          <w:sz w:val="18"/>
          <w:szCs w:val="18"/>
          <w:color w:val="auto"/>
        </w:rPr>
      </w:pPr>
    </w:p>
    <w:p>
      <w:pPr>
        <w:ind w:left="1460" w:right="340" w:hanging="642"/>
        <w:spacing w:after="0" w:line="277" w:lineRule="auto"/>
        <w:tabs>
          <w:tab w:leader="none" w:pos="14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Limited or any successor to its ratings business.</w:t>
      </w:r>
    </w:p>
    <w:p>
      <w:pPr>
        <w:spacing w:after="0" w:line="225" w:lineRule="exact"/>
        <w:rPr>
          <w:sz w:val="20"/>
          <w:szCs w:val="20"/>
          <w:color w:val="auto"/>
        </w:rPr>
      </w:pPr>
    </w:p>
    <w:p>
      <w:pPr>
        <w:ind w:left="660"/>
        <w:spacing w:after="0"/>
        <w:tabs>
          <w:tab w:leader="none" w:pos="3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Shen</w:t>
      </w:r>
      <w:r>
        <w:rPr>
          <w:rFonts w:ascii="Arial" w:cs="Arial" w:eastAsia="Arial" w:hAnsi="Arial"/>
          <w:sz w:val="18"/>
          <w:szCs w:val="18"/>
          <w:color w:val="auto"/>
        </w:rPr>
        <w:t>” means Mr. Eric Ya Shen (</w:t>
      </w:r>
      <w:r>
        <w:rPr>
          <w:sz w:val="20"/>
          <w:szCs w:val="20"/>
          <w:color w:val="auto"/>
        </w:rPr>
        <w:tab/>
      </w:r>
      <w:r>
        <w:rPr>
          <w:rFonts w:ascii="Arial" w:cs="Arial" w:eastAsia="Arial" w:hAnsi="Arial"/>
          <w:sz w:val="16"/>
          <w:szCs w:val="16"/>
          <w:color w:val="auto"/>
        </w:rPr>
        <w:t>), a Chinese passport holder with passport number E41936887.</w:t>
      </w:r>
    </w:p>
    <w:p>
      <w:pPr>
        <w:spacing w:after="0" w:line="225" w:lineRule="exact"/>
        <w:rPr>
          <w:sz w:val="20"/>
          <w:szCs w:val="20"/>
          <w:color w:val="auto"/>
        </w:rPr>
      </w:pPr>
    </w:p>
    <w:p>
      <w:pPr>
        <w:ind w:left="660"/>
        <w:spacing w:after="0"/>
        <w:tabs>
          <w:tab w:leader="none" w:pos="4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 Zhang</w:t>
      </w:r>
      <w:r>
        <w:rPr>
          <w:rFonts w:ascii="Arial" w:cs="Arial" w:eastAsia="Arial" w:hAnsi="Arial"/>
          <w:sz w:val="18"/>
          <w:szCs w:val="18"/>
          <w:color w:val="auto"/>
        </w:rPr>
        <w:t>” means Ms. Zhang Xiaochun (</w:t>
      </w:r>
      <w:r>
        <w:rPr>
          <w:sz w:val="20"/>
          <w:szCs w:val="20"/>
          <w:color w:val="auto"/>
        </w:rPr>
        <w:tab/>
      </w:r>
      <w:r>
        <w:rPr>
          <w:rFonts w:ascii="Arial" w:cs="Arial" w:eastAsia="Arial" w:hAnsi="Arial"/>
          <w:sz w:val="16"/>
          <w:szCs w:val="16"/>
          <w:color w:val="auto"/>
        </w:rPr>
        <w:t>), a Chinese passport holder with passport number E53145417.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NDRC</w:t>
      </w:r>
      <w:r>
        <w:rPr>
          <w:rFonts w:ascii="Arial" w:cs="Arial" w:eastAsia="Arial" w:hAnsi="Arial"/>
          <w:sz w:val="18"/>
          <w:szCs w:val="18"/>
          <w:color w:val="auto"/>
        </w:rPr>
        <w:t>” means the National Development and Reform Commission of the PRC.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that term in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has the meaning given to that term in Clause 34.5 (</w:t>
      </w:r>
      <w:r>
        <w:rPr>
          <w:rFonts w:ascii="Arial" w:cs="Arial" w:eastAsia="Arial" w:hAnsi="Arial"/>
          <w:sz w:val="18"/>
          <w:szCs w:val="18"/>
          <w:i w:val="1"/>
          <w:iCs w:val="1"/>
          <w:color w:val="auto"/>
        </w:rPr>
        <w:t>Replacement of Lender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Borrower and the Guarantor, and “</w:t>
      </w:r>
      <w:r>
        <w:rPr>
          <w:rFonts w:ascii="Arial" w:cs="Arial" w:eastAsia="Arial" w:hAnsi="Arial"/>
          <w:sz w:val="18"/>
          <w:szCs w:val="18"/>
          <w:b w:val="1"/>
          <w:bCs w:val="1"/>
          <w:color w:val="auto"/>
        </w:rPr>
        <w:t>Obligor</w:t>
      </w:r>
      <w:r>
        <w:rPr>
          <w:rFonts w:ascii="Arial" w:cs="Arial" w:eastAsia="Arial" w:hAnsi="Arial"/>
          <w:sz w:val="18"/>
          <w:szCs w:val="18"/>
          <w:color w:val="auto"/>
        </w:rPr>
        <w:t>” means each one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Cash and Cash Equivalents</w:t>
      </w:r>
      <w:r>
        <w:rPr>
          <w:rFonts w:ascii="Arial" w:cs="Arial" w:eastAsia="Arial" w:hAnsi="Arial"/>
          <w:sz w:val="18"/>
          <w:szCs w:val="18"/>
          <w:color w:val="auto"/>
        </w:rPr>
        <w:t>” means any cash and cash equivalent of the Group held outside of PRC.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Financial Statements</w:t>
      </w:r>
      <w:r>
        <w:rPr>
          <w:rFonts w:ascii="Arial" w:cs="Arial" w:eastAsia="Arial" w:hAnsi="Arial"/>
          <w:sz w:val="16"/>
          <w:szCs w:val="16"/>
          <w:color w:val="auto"/>
        </w:rPr>
        <w:t>” means the audited consolidated financial statements of the Group for the financial year ended 31 December 2015.</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each person whom a Lender will make payments under a Participation Agreement.</w:t>
      </w:r>
    </w:p>
    <w:p>
      <w:pPr>
        <w:spacing w:after="0" w:line="225" w:lineRule="exact"/>
        <w:rPr>
          <w:sz w:val="20"/>
          <w:szCs w:val="20"/>
          <w:color w:val="auto"/>
        </w:rPr>
      </w:pPr>
    </w:p>
    <w:p>
      <w:pPr>
        <w:ind w:left="66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w:t>
      </w:r>
      <w:r>
        <w:rPr>
          <w:rFonts w:ascii="Arial" w:cs="Arial" w:eastAsia="Arial" w:hAnsi="Arial"/>
          <w:sz w:val="18"/>
          <w:szCs w:val="18"/>
          <w:color w:val="auto"/>
        </w:rPr>
        <w:t>” means a fee letter, sub-participation, credit derivative (including a credit default swap or credit linked note), total return swap or any other agreement between a Lender and a Participant, whether directly or indirectly, under which the Lender is obliged to make certain payments to the Participant by reference to, one or more Finance Documents and/or one or more Obligors.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Agreement</w:t>
      </w:r>
      <w:r>
        <w:rPr>
          <w:rFonts w:ascii="Arial" w:cs="Arial" w:eastAsia="Arial" w:hAnsi="Arial"/>
          <w:sz w:val="18"/>
          <w:szCs w:val="18"/>
          <w:color w:val="auto"/>
        </w:rPr>
        <w:t>” means each agreement or letter between a Lender and a Participant in respect of a Participation.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 acquisition or investment:</w:t>
      </w:r>
    </w:p>
    <w:p>
      <w:pPr>
        <w:spacing w:after="0" w:line="229" w:lineRule="exact"/>
        <w:rPr>
          <w:sz w:val="20"/>
          <w:szCs w:val="20"/>
          <w:color w:val="auto"/>
        </w:rPr>
      </w:pPr>
    </w:p>
    <w:p>
      <w:pPr>
        <w:ind w:left="1460" w:hanging="642"/>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carried out in the ordinary course of the Group’s trading;</w:t>
      </w:r>
    </w:p>
    <w:p>
      <w:pPr>
        <w:spacing w:after="0" w:line="225" w:lineRule="exact"/>
        <w:rPr>
          <w:rFonts w:ascii="Arial" w:cs="Arial" w:eastAsia="Arial" w:hAnsi="Arial"/>
          <w:sz w:val="18"/>
          <w:szCs w:val="18"/>
          <w:color w:val="auto"/>
        </w:rPr>
      </w:pPr>
    </w:p>
    <w:p>
      <w:pPr>
        <w:ind w:left="1480" w:hanging="662"/>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a Permitted Investment; or</w:t>
      </w:r>
    </w:p>
    <w:p>
      <w:pPr>
        <w:spacing w:after="0" w:line="225" w:lineRule="exact"/>
        <w:rPr>
          <w:rFonts w:ascii="Arial" w:cs="Arial" w:eastAsia="Arial" w:hAnsi="Arial"/>
          <w:sz w:val="18"/>
          <w:szCs w:val="18"/>
          <w:color w:val="auto"/>
        </w:rPr>
      </w:pPr>
    </w:p>
    <w:p>
      <w:pPr>
        <w:ind w:left="1460" w:right="260" w:hanging="642"/>
        <w:spacing w:after="0" w:line="277" w:lineRule="auto"/>
        <w:tabs>
          <w:tab w:leader="none" w:pos="14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of which acquisition or investment (when aggregated with the value of all other acquisitions and investments permitted under this paragraph (c) and made in the same financial year) does not exceed US$250,000,000,</w:t>
      </w:r>
    </w:p>
    <w:p>
      <w:pPr>
        <w:spacing w:after="0" w:line="166" w:lineRule="exact"/>
        <w:rPr>
          <w:sz w:val="20"/>
          <w:szCs w:val="20"/>
          <w:color w:val="auto"/>
        </w:rPr>
      </w:pPr>
    </w:p>
    <w:p>
      <w:pPr>
        <w:ind w:left="820" w:right="560"/>
        <w:spacing w:after="0" w:line="282" w:lineRule="auto"/>
        <w:rPr>
          <w:sz w:val="20"/>
          <w:szCs w:val="20"/>
          <w:color w:val="auto"/>
        </w:rPr>
      </w:pPr>
      <w:r>
        <w:rPr>
          <w:rFonts w:ascii="Arial" w:cs="Arial" w:eastAsia="Arial" w:hAnsi="Arial"/>
          <w:sz w:val="18"/>
          <w:szCs w:val="18"/>
          <w:b w:val="1"/>
          <w:bCs w:val="1"/>
          <w:color w:val="auto"/>
        </w:rPr>
        <w:t>provided that</w:t>
      </w:r>
      <w:r>
        <w:rPr>
          <w:rFonts w:ascii="Arial" w:cs="Arial" w:eastAsia="Arial" w:hAnsi="Arial"/>
          <w:sz w:val="18"/>
          <w:szCs w:val="18"/>
          <w:color w:val="auto"/>
        </w:rPr>
        <w:t>, in each case, such acquisition or investment does not result in a breach of any Authorisation or of any other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Disposal</w:t>
      </w:r>
      <w:r>
        <w:rPr>
          <w:rFonts w:ascii="Arial" w:cs="Arial" w:eastAsia="Arial" w:hAnsi="Arial"/>
          <w:sz w:val="18"/>
          <w:szCs w:val="18"/>
          <w:color w:val="auto"/>
        </w:rPr>
        <w:t>” means any sale, lease, transfer or other disposal:</w:t>
      </w:r>
    </w:p>
    <w:p>
      <w:pPr>
        <w:sectPr>
          <w:pgSz w:w="11900" w:h="16870" w:orient="portrait"/>
          <w:cols w:equalWidth="0" w:num="1">
            <w:col w:w="11460"/>
          </w:cols>
          <w:pgMar w:left="240" w:top="341" w:right="199" w:bottom="0" w:gutter="0" w:footer="0" w:header="0"/>
        </w:sectPr>
      </w:pPr>
    </w:p>
    <w:bookmarkStart w:id="11" w:name="page12"/>
    <w:bookmarkEnd w:id="11"/>
    <w:p>
      <w:pPr>
        <w:ind w:left="804" w:hanging="642"/>
        <w:spacing w:after="0"/>
        <w:tabs>
          <w:tab w:leader="none" w:pos="8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made in the ordinary course of trading of the Group’s business;</w:t>
      </w:r>
    </w:p>
    <w:p>
      <w:pPr>
        <w:spacing w:after="0" w:line="225" w:lineRule="exact"/>
        <w:rPr>
          <w:rFonts w:ascii="Arial" w:cs="Arial" w:eastAsia="Arial" w:hAnsi="Arial"/>
          <w:sz w:val="18"/>
          <w:szCs w:val="18"/>
          <w:color w:val="auto"/>
        </w:rPr>
      </w:pPr>
    </w:p>
    <w:p>
      <w:pPr>
        <w:ind w:left="824" w:hanging="662"/>
        <w:spacing w:after="0"/>
        <w:tabs>
          <w:tab w:leader="none" w:pos="8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assets in exchange for other assets comparable or superior as to type, value and quality and for a similar purpose;</w:t>
      </w:r>
    </w:p>
    <w:p>
      <w:pPr>
        <w:spacing w:after="0" w:line="225" w:lineRule="exact"/>
        <w:rPr>
          <w:rFonts w:ascii="Arial" w:cs="Arial" w:eastAsia="Arial" w:hAnsi="Arial"/>
          <w:sz w:val="18"/>
          <w:szCs w:val="18"/>
          <w:color w:val="auto"/>
        </w:rPr>
      </w:pPr>
    </w:p>
    <w:p>
      <w:pPr>
        <w:ind w:left="824" w:hanging="662"/>
        <w:spacing w:after="0"/>
        <w:tabs>
          <w:tab w:leader="none" w:pos="8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obsolete or redundant assets not required for the business of the Group;</w:t>
      </w:r>
    </w:p>
    <w:p>
      <w:pPr>
        <w:spacing w:after="0" w:line="225" w:lineRule="exact"/>
        <w:rPr>
          <w:rFonts w:ascii="Arial" w:cs="Arial" w:eastAsia="Arial" w:hAnsi="Arial"/>
          <w:sz w:val="18"/>
          <w:szCs w:val="18"/>
          <w:color w:val="auto"/>
        </w:rPr>
      </w:pPr>
    </w:p>
    <w:p>
      <w:pPr>
        <w:ind w:left="804" w:right="80" w:hanging="642"/>
        <w:spacing w:after="0" w:line="277" w:lineRule="auto"/>
        <w:tabs>
          <w:tab w:leader="none" w:pos="8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between members of the Group provided that it is not a disposal from a Group member incorporated outside of PRC to a Group member incorporated inside of PRC (other than a Permitted Investment);</w:t>
      </w:r>
    </w:p>
    <w:p>
      <w:pPr>
        <w:spacing w:after="0" w:line="170" w:lineRule="exact"/>
        <w:rPr>
          <w:rFonts w:ascii="Arial" w:cs="Arial" w:eastAsia="Arial" w:hAnsi="Arial"/>
          <w:sz w:val="18"/>
          <w:szCs w:val="18"/>
          <w:color w:val="auto"/>
        </w:rPr>
      </w:pPr>
    </w:p>
    <w:p>
      <w:pPr>
        <w:ind w:left="804" w:right="400" w:hanging="642"/>
        <w:spacing w:after="0" w:line="277" w:lineRule="auto"/>
        <w:tabs>
          <w:tab w:leader="none" w:pos="8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use of proceeds under the Permitted Offshore Loan for financing the Group’s internet finance business and/or for other purposes referred to in the definition of Permitted Offshore Loan;</w:t>
      </w:r>
    </w:p>
    <w:p>
      <w:pPr>
        <w:spacing w:after="0" w:line="170" w:lineRule="exact"/>
        <w:rPr>
          <w:rFonts w:ascii="Arial" w:cs="Arial" w:eastAsia="Arial" w:hAnsi="Arial"/>
          <w:sz w:val="18"/>
          <w:szCs w:val="18"/>
          <w:color w:val="auto"/>
        </w:rPr>
      </w:pPr>
    </w:p>
    <w:p>
      <w:pPr>
        <w:ind w:left="824" w:hanging="662"/>
        <w:spacing w:after="0"/>
        <w:tabs>
          <w:tab w:leader="none" w:pos="8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 to a further aggregate amount of RMB1,000,000,000 to finance the Group’s logistic business; and</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4" w:right="80" w:hanging="642"/>
        <w:spacing w:after="0" w:line="291" w:lineRule="auto"/>
        <w:tabs>
          <w:tab w:leader="none" w:pos="8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where the higher of the market value or consideration receivable (when aggregated with the higher of the market value or consideration receivable for any other sale, lease, transfer or other disposal by members of the Group, other than any permitted under paragraphs (a) to</w:t>
      </w:r>
    </w:p>
    <w:p>
      <w:pPr>
        <w:ind w:left="804"/>
        <w:spacing w:after="0"/>
        <w:rPr>
          <w:rFonts w:ascii="Arial" w:cs="Arial" w:eastAsia="Arial" w:hAnsi="Arial"/>
          <w:sz w:val="16"/>
          <w:szCs w:val="16"/>
          <w:color w:val="auto"/>
        </w:rPr>
      </w:pPr>
      <w:r>
        <w:rPr>
          <w:rFonts w:ascii="Arial" w:cs="Arial" w:eastAsia="Arial" w:hAnsi="Arial"/>
          <w:sz w:val="18"/>
          <w:szCs w:val="18"/>
          <w:color w:val="auto"/>
        </w:rPr>
        <w:t>(f) above) does not exceed US$50,000,000 (or its equivalent) in any financial year.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means:</w:t>
      </w:r>
    </w:p>
    <w:p>
      <w:pPr>
        <w:spacing w:after="0" w:line="229" w:lineRule="exact"/>
        <w:rPr>
          <w:sz w:val="20"/>
          <w:szCs w:val="20"/>
          <w:color w:val="auto"/>
        </w:rPr>
      </w:pPr>
    </w:p>
    <w:p>
      <w:pPr>
        <w:ind w:left="804" w:hanging="642"/>
        <w:spacing w:after="0"/>
        <w:tabs>
          <w:tab w:leader="none" w:pos="8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Permitted Offshore Financial Indebtedness;</w:t>
      </w:r>
    </w:p>
    <w:p>
      <w:pPr>
        <w:spacing w:after="0" w:line="225" w:lineRule="exact"/>
        <w:rPr>
          <w:rFonts w:ascii="Arial" w:cs="Arial" w:eastAsia="Arial" w:hAnsi="Arial"/>
          <w:sz w:val="18"/>
          <w:szCs w:val="18"/>
          <w:color w:val="auto"/>
        </w:rPr>
      </w:pPr>
    </w:p>
    <w:p>
      <w:pPr>
        <w:ind w:left="824" w:hanging="662"/>
        <w:spacing w:after="0"/>
        <w:tabs>
          <w:tab w:leader="none" w:pos="8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intra-Group Financial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Clause 21.14 (</w:t>
      </w:r>
      <w:r>
        <w:rPr>
          <w:rFonts w:ascii="Arial" w:cs="Arial" w:eastAsia="Arial" w:hAnsi="Arial"/>
          <w:sz w:val="18"/>
          <w:szCs w:val="18"/>
          <w:i w:val="1"/>
          <w:iCs w:val="1"/>
          <w:color w:val="auto"/>
        </w:rPr>
        <w:t>Subordination</w:t>
      </w:r>
      <w:r>
        <w:rPr>
          <w:rFonts w:ascii="Arial" w:cs="Arial" w:eastAsia="Arial" w:hAnsi="Arial"/>
          <w:sz w:val="18"/>
          <w:szCs w:val="18"/>
          <w:color w:val="auto"/>
        </w:rPr>
        <w:t>) are complied with; and</w:t>
      </w:r>
    </w:p>
    <w:p>
      <w:pPr>
        <w:spacing w:after="0" w:line="225" w:lineRule="exact"/>
        <w:rPr>
          <w:rFonts w:ascii="Arial" w:cs="Arial" w:eastAsia="Arial" w:hAnsi="Arial"/>
          <w:sz w:val="18"/>
          <w:szCs w:val="18"/>
          <w:color w:val="auto"/>
        </w:rPr>
      </w:pPr>
    </w:p>
    <w:p>
      <w:pPr>
        <w:jc w:val="both"/>
        <w:ind w:left="804" w:right="120" w:hanging="642"/>
        <w:spacing w:after="0" w:line="286" w:lineRule="auto"/>
        <w:tabs>
          <w:tab w:leader="none" w:pos="8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Financial Indebtedness incurred in the PRC (including any amount incurred under any asset backed securities) the principal amount of which (when aggregated with the principal amount of any other Financial Indebtedness incurred by any member of the Group except as permitted under paragraph (a) or (b) above) does not exceed RMB3,000,000,000 (or its equivalent).</w:t>
      </w:r>
    </w:p>
    <w:p>
      <w:pPr>
        <w:spacing w:after="0" w:line="162"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w:t>
      </w:r>
      <w:r>
        <w:rPr>
          <w:rFonts w:ascii="Arial" w:cs="Arial" w:eastAsia="Arial" w:hAnsi="Arial"/>
          <w:sz w:val="18"/>
          <w:szCs w:val="18"/>
          <w:color w:val="auto"/>
        </w:rPr>
        <w:t>” means the subscription in cash by members of the Group incorporated outside of the PRC for equity interest issued by members of the Group incorporated in the PRC.</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Loans and Guarantees</w:t>
      </w:r>
      <w:r>
        <w:rPr>
          <w:rFonts w:ascii="Arial" w:cs="Arial" w:eastAsia="Arial" w:hAnsi="Arial"/>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loans made by an Internet Finance Company on arm’s length terms in the ordinary course of the Group’s internet finance business;</w:t>
      </w:r>
    </w:p>
    <w:p>
      <w:pPr>
        <w:spacing w:after="0" w:line="248" w:lineRule="exact"/>
        <w:rPr>
          <w:rFonts w:ascii="Arial" w:cs="Arial" w:eastAsia="Arial" w:hAnsi="Arial"/>
          <w:sz w:val="16"/>
          <w:szCs w:val="16"/>
          <w:color w:val="auto"/>
        </w:rPr>
      </w:pPr>
    </w:p>
    <w:p>
      <w:pPr>
        <w:ind w:left="664" w:hanging="664"/>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loan to any member of the Group that constitutes a Permitted Financial Indebtedness;</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given by a Group member incorporated in the PRC in respect of the obligations of other Group members;</w:t>
      </w:r>
    </w:p>
    <w:p>
      <w:pPr>
        <w:spacing w:after="0" w:line="225" w:lineRule="exact"/>
        <w:rPr>
          <w:rFonts w:ascii="Arial" w:cs="Arial" w:eastAsia="Arial" w:hAnsi="Arial"/>
          <w:sz w:val="18"/>
          <w:szCs w:val="18"/>
          <w:color w:val="auto"/>
        </w:rPr>
      </w:pPr>
    </w:p>
    <w:p>
      <w:pPr>
        <w:ind w:left="644" w:right="100" w:hanging="644"/>
        <w:spacing w:after="0" w:line="277"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given by a Group member incorporated outside of PRC of any Permitted Offshore Financial Indebtedness but excluding the Permitted Offshore Loan; and</w:t>
      </w:r>
    </w:p>
    <w:p>
      <w:pPr>
        <w:spacing w:after="0" w:line="170" w:lineRule="exact"/>
        <w:rPr>
          <w:rFonts w:ascii="Arial" w:cs="Arial" w:eastAsia="Arial" w:hAnsi="Arial"/>
          <w:sz w:val="18"/>
          <w:szCs w:val="18"/>
          <w:color w:val="auto"/>
        </w:rPr>
      </w:pPr>
    </w:p>
    <w:p>
      <w:pPr>
        <w:jc w:val="both"/>
        <w:ind w:left="644" w:right="20" w:hanging="644"/>
        <w:spacing w:after="0" w:line="264"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such liability the principal amount of which (when aggregated with the principal amount of any other liability provided by any member of the Group except any permitted under paragraphs (a) to (d) above) does not exceed US$50,000,000 (or its equivalent in another currency or currencies).</w:t>
      </w:r>
    </w:p>
    <w:p>
      <w:pPr>
        <w:spacing w:after="0" w:line="177" w:lineRule="exact"/>
        <w:rPr>
          <w:sz w:val="20"/>
          <w:szCs w:val="20"/>
          <w:color w:val="auto"/>
        </w:rPr>
      </w:pPr>
    </w:p>
    <w:p>
      <w:pPr>
        <w:ind w:left="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Offshore Financial Indebtedness</w:t>
      </w:r>
      <w:r>
        <w:rPr>
          <w:rFonts w:ascii="Arial" w:cs="Arial" w:eastAsia="Arial" w:hAnsi="Arial"/>
          <w:sz w:val="18"/>
          <w:szCs w:val="18"/>
          <w:color w:val="auto"/>
        </w:rPr>
        <w:t>” means:</w:t>
      </w:r>
    </w:p>
    <w:p>
      <w:pPr>
        <w:spacing w:after="0" w:line="229" w:lineRule="exact"/>
        <w:rPr>
          <w:sz w:val="20"/>
          <w:szCs w:val="20"/>
          <w:color w:val="auto"/>
        </w:rPr>
      </w:pPr>
    </w:p>
    <w:p>
      <w:pPr>
        <w:ind w:left="804" w:hanging="642"/>
        <w:spacing w:after="0"/>
        <w:tabs>
          <w:tab w:leader="none" w:pos="8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Facility;</w:t>
      </w:r>
    </w:p>
    <w:p>
      <w:pPr>
        <w:spacing w:after="0" w:line="225" w:lineRule="exact"/>
        <w:rPr>
          <w:rFonts w:ascii="Arial" w:cs="Arial" w:eastAsia="Arial" w:hAnsi="Arial"/>
          <w:sz w:val="18"/>
          <w:szCs w:val="18"/>
          <w:color w:val="auto"/>
        </w:rPr>
      </w:pPr>
    </w:p>
    <w:p>
      <w:pPr>
        <w:ind w:left="824" w:hanging="662"/>
        <w:spacing w:after="0"/>
        <w:tabs>
          <w:tab w:leader="none" w:pos="8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Convertible Bonds;</w:t>
      </w:r>
    </w:p>
    <w:p>
      <w:pPr>
        <w:spacing w:after="0" w:line="225" w:lineRule="exact"/>
        <w:rPr>
          <w:rFonts w:ascii="Arial" w:cs="Arial" w:eastAsia="Arial" w:hAnsi="Arial"/>
          <w:sz w:val="18"/>
          <w:szCs w:val="18"/>
          <w:color w:val="auto"/>
        </w:rPr>
      </w:pPr>
    </w:p>
    <w:p>
      <w:pPr>
        <w:ind w:left="4964" w:right="3980" w:hanging="4802"/>
        <w:spacing w:after="0" w:line="528" w:lineRule="auto"/>
        <w:tabs>
          <w:tab w:leader="none" w:pos="8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Take-out Debt or (if there is no Take-out Debt) the Permitted Refinancing; and 12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824" w:hanging="662"/>
        <w:spacing w:after="0"/>
        <w:tabs>
          <w:tab w:leader="none" w:pos="8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Permitted Offshore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-509905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Offshore Loan</w:t>
      </w:r>
      <w:r>
        <w:rPr>
          <w:rFonts w:ascii="Arial" w:cs="Arial" w:eastAsia="Arial" w:hAnsi="Arial"/>
          <w:sz w:val="18"/>
          <w:szCs w:val="18"/>
          <w:color w:val="auto"/>
        </w:rPr>
        <w:t>” means the up to US$150,000,000 offshore bilateral loan to be entered into by any Group member incorporated outside of PRC for increasing the registered capital of an Internet Finance Company in relation to the Group’s small loan business and/or for warehouse land purchase and/or for general corporate purposes in the ordinary course of business of the Group and to be secured by security over a cash deposit of Vipshop (China) Co., Ltd..</w:t>
      </w:r>
    </w:p>
    <w:p>
      <w:pPr>
        <w:spacing w:after="0" w:line="180"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means, subject to the terms and conditions of the Mandate Letter, the refinancing of this Facility by a bank loan in the event that the principal amount of the Utilisation is less than US$200,000,000.</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w:t>
      </w:r>
      <w:r>
        <w:rPr>
          <w:rFonts w:ascii="Arial" w:cs="Arial" w:eastAsia="Arial" w:hAnsi="Arial"/>
          <w:sz w:val="18"/>
          <w:szCs w:val="18"/>
          <w:color w:val="auto"/>
        </w:rPr>
        <w:t>” means:</w:t>
      </w:r>
    </w:p>
    <w:p>
      <w:pPr>
        <w:sectPr>
          <w:pgSz w:w="11900" w:h="16838" w:orient="portrait"/>
          <w:cols w:equalWidth="0" w:num="1">
            <w:col w:w="10724"/>
          </w:cols>
          <w:pgMar w:left="896" w:top="341" w:right="279" w:bottom="36" w:gutter="0" w:footer="0" w:header="0"/>
        </w:sectPr>
      </w:pPr>
    </w:p>
    <w:bookmarkStart w:id="12" w:name="page13"/>
    <w:bookmarkEnd w:id="12"/>
    <w:p>
      <w:pPr>
        <w:spacing w:after="0" w:line="32" w:lineRule="exact"/>
        <w:rPr>
          <w:sz w:val="20"/>
          <w:szCs w:val="20"/>
          <w:color w:val="auto"/>
        </w:rPr>
      </w:pPr>
    </w:p>
    <w:p>
      <w:pPr>
        <w:ind w:left="800" w:right="180" w:hanging="642"/>
        <w:spacing w:after="0" w:line="277" w:lineRule="auto"/>
        <w:tabs>
          <w:tab w:leader="none" w:pos="7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Security or Quasi-Security granted by a member of the Group incorporated in PRC over assets located in PRC for obligations owed by an entity incorporated in PRC to an entity incorporated in PRC;</w:t>
      </w:r>
    </w:p>
    <w:p>
      <w:pPr>
        <w:spacing w:after="0" w:line="170" w:lineRule="exact"/>
        <w:rPr>
          <w:rFonts w:ascii="Arial" w:cs="Arial" w:eastAsia="Arial" w:hAnsi="Arial"/>
          <w:sz w:val="18"/>
          <w:szCs w:val="18"/>
          <w:color w:val="auto"/>
        </w:rPr>
      </w:pPr>
    </w:p>
    <w:p>
      <w:pPr>
        <w:ind w:left="820" w:hanging="662"/>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Security or Quasi-Security over cash held in bank accounts in PRC to secure the obligations under the Permitted Offshore Loan;</w:t>
      </w:r>
    </w:p>
    <w:p>
      <w:pPr>
        <w:spacing w:after="0" w:line="248" w:lineRule="exact"/>
        <w:rPr>
          <w:rFonts w:ascii="Arial" w:cs="Arial" w:eastAsia="Arial" w:hAnsi="Arial"/>
          <w:sz w:val="16"/>
          <w:szCs w:val="16"/>
          <w:color w:val="auto"/>
        </w:rPr>
      </w:pPr>
    </w:p>
    <w:p>
      <w:pPr>
        <w:ind w:left="800" w:right="260" w:hanging="642"/>
        <w:spacing w:after="0" w:line="277" w:lineRule="auto"/>
        <w:tabs>
          <w:tab w:leader="none" w:pos="8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any member of the Group in the ordinary course of its banking arrangements for the purpose of netting debit and credit balances;</w:t>
      </w:r>
    </w:p>
    <w:p>
      <w:pPr>
        <w:spacing w:after="0" w:line="170" w:lineRule="exact"/>
        <w:rPr>
          <w:rFonts w:ascii="Arial" w:cs="Arial" w:eastAsia="Arial" w:hAnsi="Arial"/>
          <w:sz w:val="18"/>
          <w:szCs w:val="18"/>
          <w:color w:val="auto"/>
        </w:rPr>
      </w:pPr>
    </w:p>
    <w:p>
      <w:pPr>
        <w:ind w:left="800" w:right="200" w:hanging="642"/>
        <w:spacing w:after="0" w:line="277" w:lineRule="auto"/>
        <w:tabs>
          <w:tab w:leader="none" w:pos="8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payment or close-out netting or set-off arrangement pursuant to any hedging transaction entered into by a member of the Group for the purpose of:</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hedging any risk to which any member of the Group is exposed in its ordinary course of trading; or</w:t>
      </w:r>
    </w:p>
    <w:p>
      <w:pPr>
        <w:spacing w:after="0" w:line="225" w:lineRule="exact"/>
        <w:rPr>
          <w:rFonts w:ascii="Arial" w:cs="Arial" w:eastAsia="Arial" w:hAnsi="Arial"/>
          <w:sz w:val="18"/>
          <w:szCs w:val="18"/>
          <w:color w:val="auto"/>
        </w:rPr>
      </w:pPr>
    </w:p>
    <w:p>
      <w:pPr>
        <w:ind w:left="1300" w:right="780" w:hanging="655"/>
        <w:spacing w:after="0" w:line="277" w:lineRule="auto"/>
        <w:tabs>
          <w:tab w:leader="none" w:pos="13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its interest rate or currency management operations which are carried out in the ordinary course of business and for non-speculative purposes only,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excluding, in each case, any Security or Quasi-Security under a credit support arrangement in relation to a hedging transaction;</w:t>
      </w:r>
    </w:p>
    <w:p>
      <w:pPr>
        <w:spacing w:after="0" w:line="237" w:lineRule="exact"/>
        <w:rPr>
          <w:sz w:val="20"/>
          <w:szCs w:val="20"/>
          <w:color w:val="auto"/>
        </w:rPr>
      </w:pPr>
    </w:p>
    <w:p>
      <w:pPr>
        <w:ind w:left="800" w:hanging="642"/>
        <w:spacing w:after="0" w:line="277" w:lineRule="auto"/>
        <w:tabs>
          <w:tab w:leader="none" w:pos="8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lien arising by operation of law and in the ordinary course of trading provided that the debt which is secured thereby is paid when due or contested in good faith by appropriate proceedings and properly provisioned;</w:t>
      </w:r>
    </w:p>
    <w:p>
      <w:pPr>
        <w:spacing w:after="0" w:line="170" w:lineRule="exact"/>
        <w:rPr>
          <w:rFonts w:ascii="Arial" w:cs="Arial" w:eastAsia="Arial" w:hAnsi="Arial"/>
          <w:sz w:val="18"/>
          <w:szCs w:val="18"/>
          <w:color w:val="auto"/>
        </w:rPr>
      </w:pPr>
    </w:p>
    <w:p>
      <w:pPr>
        <w:ind w:left="800" w:right="100" w:hanging="642"/>
        <w:spacing w:after="0" w:line="286" w:lineRule="auto"/>
        <w:tabs>
          <w:tab w:leader="none" w:pos="8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Security or Quasi-Security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w:t>
      </w:r>
    </w:p>
    <w:p>
      <w:pPr>
        <w:spacing w:after="0" w:line="165" w:lineRule="exact"/>
        <w:rPr>
          <w:rFonts w:ascii="Arial" w:cs="Arial" w:eastAsia="Arial" w:hAnsi="Arial"/>
          <w:sz w:val="17"/>
          <w:szCs w:val="17"/>
          <w:color w:val="auto"/>
        </w:rPr>
      </w:pPr>
    </w:p>
    <w:p>
      <w:pPr>
        <w:ind w:left="800" w:right="100" w:hanging="642"/>
        <w:spacing w:after="0" w:line="277" w:lineRule="auto"/>
        <w:tabs>
          <w:tab w:leader="none" w:pos="8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Security over rental deposits arising in the ordinary course of trading in respect of any property leased or licensed by any member of the Group; or</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right="40" w:hanging="642"/>
        <w:spacing w:after="0" w:line="264" w:lineRule="auto"/>
        <w:tabs>
          <w:tab w:leader="none" w:pos="8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Security or Quasi-Security securing indebtedness the principal amount of which (when aggregated with the principal amount of any other indebtedness which has the benefit of Security or Quasi-Security given by any member of the Group other than any permitted under paragraphs (a) to (g) above) does not exceed US$50,000,000 (or its equivalent).</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excluding for the purpose of any Finance Document, Hong Kong, the Macau Special Administrative Region and Macau.</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w:t>
      </w:r>
    </w:p>
    <w:p>
      <w:pPr>
        <w:spacing w:after="0" w:line="229" w:lineRule="exact"/>
        <w:rPr>
          <w:sz w:val="20"/>
          <w:szCs w:val="20"/>
          <w:color w:val="auto"/>
        </w:rPr>
      </w:pPr>
    </w:p>
    <w:p>
      <w:pPr>
        <w:ind w:left="800" w:right="60" w:hanging="642"/>
        <w:spacing w:after="0" w:line="259" w:lineRule="auto"/>
        <w:tabs>
          <w:tab w:leader="none" w:pos="7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relation to any period for which an interest rate is to be determined, two London Business Days before the 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 and</w:t>
      </w:r>
    </w:p>
    <w:p>
      <w:pPr>
        <w:spacing w:after="0" w:line="186" w:lineRule="exact"/>
        <w:rPr>
          <w:rFonts w:ascii="Arial" w:cs="Arial" w:eastAsia="Arial" w:hAnsi="Arial"/>
          <w:sz w:val="18"/>
          <w:szCs w:val="18"/>
          <w:color w:val="auto"/>
        </w:rPr>
      </w:pPr>
    </w:p>
    <w:p>
      <w:pPr>
        <w:ind w:left="800" w:right="20" w:hanging="642"/>
        <w:spacing w:after="0" w:line="277" w:lineRule="auto"/>
        <w:tabs>
          <w:tab w:leader="none" w:pos="8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relation to any Interest Period the duration of which is selected by the Agent pursuant to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such date as may be determined by the Agent (acting reasonably).</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the London interbank market.</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(other than Clause 18.7 (</w:t>
      </w:r>
      <w:r>
        <w:rPr>
          <w:rFonts w:ascii="Arial" w:cs="Arial" w:eastAsia="Arial" w:hAnsi="Arial"/>
          <w:sz w:val="18"/>
          <w:szCs w:val="18"/>
          <w:i w:val="1"/>
          <w:iCs w:val="1"/>
          <w:color w:val="auto"/>
        </w:rPr>
        <w:t>No insolvency</w:t>
      </w:r>
      <w:r>
        <w:rPr>
          <w:rFonts w:ascii="Arial" w:cs="Arial" w:eastAsia="Arial" w:hAnsi="Arial"/>
          <w:sz w:val="18"/>
          <w:szCs w:val="18"/>
          <w:color w:val="auto"/>
        </w:rPr>
        <w:t>), Clause 18.8 (</w:t>
      </w:r>
      <w:r>
        <w:rPr>
          <w:rFonts w:ascii="Arial" w:cs="Arial" w:eastAsia="Arial" w:hAnsi="Arial"/>
          <w:sz w:val="18"/>
          <w:szCs w:val="18"/>
          <w:i w:val="1"/>
          <w:iCs w:val="1"/>
          <w:color w:val="auto"/>
        </w:rPr>
        <w:t>Deduction of Tax</w:t>
      </w:r>
      <w:r>
        <w:rPr>
          <w:rFonts w:ascii="Arial" w:cs="Arial" w:eastAsia="Arial" w:hAnsi="Arial"/>
          <w:sz w:val="18"/>
          <w:szCs w:val="18"/>
          <w:color w:val="auto"/>
        </w:rPr>
        <w:t>) and Clause 18.14 (</w:t>
      </w:r>
      <w:r>
        <w:rPr>
          <w:rFonts w:ascii="Arial" w:cs="Arial" w:eastAsia="Arial" w:hAnsi="Arial"/>
          <w:sz w:val="18"/>
          <w:szCs w:val="18"/>
          <w:i w:val="1"/>
          <w:iCs w:val="1"/>
          <w:color w:val="auto"/>
        </w:rPr>
        <w:t>No proceedings pending or threatened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or any successor to its ratings business.</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ICE Benchmark Administration Limited (or any other person which takes over the administration of that rate) for US dollars for the relevant period displayed on page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Time</w:t>
      </w:r>
      <w:r>
        <w:rPr>
          <w:rFonts w:ascii="Arial" w:cs="Arial" w:eastAsia="Arial" w:hAnsi="Arial"/>
          <w:sz w:val="18"/>
          <w:szCs w:val="18"/>
          <w:color w:val="auto"/>
        </w:rPr>
        <w:t>” means a day or time determined in accordance with Schedule 7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ectPr>
          <w:pgSz w:w="11900" w:h="16870" w:orient="portrait"/>
          <w:cols w:equalWidth="0" w:num="1">
            <w:col w:w="10760"/>
          </w:cols>
          <w:pgMar w:left="900" w:top="125" w:right="239" w:bottom="0" w:gutter="0" w:footer="0" w:header="0"/>
        </w:sectPr>
      </w:pPr>
    </w:p>
    <w:bookmarkStart w:id="13" w:name="page14"/>
    <w:bookmarkEnd w:id="13"/>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Supporting Lender</w:t>
      </w:r>
      <w:r>
        <w:rPr>
          <w:rFonts w:ascii="Arial" w:cs="Arial" w:eastAsia="Arial" w:hAnsi="Arial"/>
          <w:sz w:val="18"/>
          <w:szCs w:val="18"/>
          <w:color w:val="auto"/>
        </w:rPr>
        <w:t>” has the meaning give to it in Clause 24.3 (</w:t>
      </w:r>
      <w:r>
        <w:rPr>
          <w:rFonts w:ascii="Arial" w:cs="Arial" w:eastAsia="Arial" w:hAnsi="Arial"/>
          <w:sz w:val="18"/>
          <w:szCs w:val="18"/>
          <w:i w:val="1"/>
          <w:iCs w:val="1"/>
          <w:color w:val="auto"/>
        </w:rPr>
        <w:t>Buy-out</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any subordination agreement entered into or to be entered into between any Obligor as debtor, any non-Obligor Group member as subordinated creditor and the Agent in form and substance reasonably satisfactory to the Agent regarding the subordination of Subordinated Financial Indebtedness to the Facility in accordance with Clause 21.14 (</w:t>
      </w:r>
      <w:r>
        <w:rPr>
          <w:rFonts w:ascii="Arial" w:cs="Arial" w:eastAsia="Arial" w:hAnsi="Arial"/>
          <w:sz w:val="18"/>
          <w:szCs w:val="18"/>
          <w:i w:val="1"/>
          <w:iCs w:val="1"/>
          <w:color w:val="auto"/>
        </w:rPr>
        <w:t>Subordination</w:t>
      </w:r>
      <w:r>
        <w:rPr>
          <w:rFonts w:ascii="Arial" w:cs="Arial" w:eastAsia="Arial" w:hAnsi="Arial"/>
          <w:sz w:val="18"/>
          <w:szCs w:val="18"/>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Financial Indebtedness</w:t>
      </w:r>
      <w:r>
        <w:rPr>
          <w:rFonts w:ascii="Arial" w:cs="Arial" w:eastAsia="Arial" w:hAnsi="Arial"/>
          <w:sz w:val="18"/>
          <w:szCs w:val="18"/>
          <w:color w:val="auto"/>
        </w:rPr>
        <w:t>” has the meaning given to it in Clause 21.14 (</w:t>
      </w:r>
      <w:r>
        <w:rPr>
          <w:rFonts w:ascii="Arial" w:cs="Arial" w:eastAsia="Arial" w:hAnsi="Arial"/>
          <w:sz w:val="18"/>
          <w:szCs w:val="18"/>
          <w:i w:val="1"/>
          <w:iCs w:val="1"/>
          <w:color w:val="auto"/>
        </w:rPr>
        <w:t>Subordination</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229" w:lineRule="exact"/>
        <w:rPr>
          <w:sz w:val="20"/>
          <w:szCs w:val="20"/>
          <w:color w:val="auto"/>
        </w:rPr>
      </w:pPr>
    </w:p>
    <w:p>
      <w:pPr>
        <w:ind w:left="804" w:hanging="642"/>
        <w:spacing w:after="0"/>
        <w:tabs>
          <w:tab w:leader="none" w:pos="8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225" w:lineRule="exact"/>
        <w:rPr>
          <w:rFonts w:ascii="Arial" w:cs="Arial" w:eastAsia="Arial" w:hAnsi="Arial"/>
          <w:sz w:val="18"/>
          <w:szCs w:val="18"/>
          <w:color w:val="auto"/>
        </w:rPr>
      </w:pPr>
    </w:p>
    <w:p>
      <w:pPr>
        <w:ind w:left="804" w:right="280" w:hanging="642"/>
        <w:spacing w:after="0" w:line="277" w:lineRule="auto"/>
        <w:tabs>
          <w:tab w:leader="none" w:pos="8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more than half the issued equity share capital of which is beneficially owned, directly or indirectly, by the first mentioned company or corporation; or</w:t>
      </w:r>
    </w:p>
    <w:p>
      <w:pPr>
        <w:spacing w:after="0" w:line="170" w:lineRule="exact"/>
        <w:rPr>
          <w:rFonts w:ascii="Arial" w:cs="Arial" w:eastAsia="Arial" w:hAnsi="Arial"/>
          <w:sz w:val="18"/>
          <w:szCs w:val="18"/>
          <w:color w:val="auto"/>
        </w:rPr>
      </w:pPr>
    </w:p>
    <w:p>
      <w:pPr>
        <w:ind w:left="824" w:hanging="662"/>
        <w:spacing w:after="0"/>
        <w:tabs>
          <w:tab w:leader="none" w:pos="8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Take-out Debt</w:t>
      </w:r>
      <w:r>
        <w:rPr>
          <w:rFonts w:ascii="Arial" w:cs="Arial" w:eastAsia="Arial" w:hAnsi="Arial"/>
          <w:sz w:val="18"/>
          <w:szCs w:val="18"/>
          <w:color w:val="auto"/>
        </w:rPr>
        <w:t>” means the indebtedness to be incurred under the Take-out Debt Offering.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Take-out Debt Offering</w:t>
      </w:r>
      <w:r>
        <w:rPr>
          <w:rFonts w:ascii="Arial" w:cs="Arial" w:eastAsia="Arial" w:hAnsi="Arial"/>
          <w:sz w:val="17"/>
          <w:szCs w:val="17"/>
          <w:color w:val="auto"/>
        </w:rPr>
        <w:t>” means a public or private issuance, offering and sale by the Borrower or one of its affiliates of up to approximately</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US$1,000,000,000 of debt securities (and in any event the net proceeds of which shall be sufficient to pay all outstanding amount under the Facility).</w:t>
      </w:r>
    </w:p>
    <w:p>
      <w:pPr>
        <w:spacing w:after="0" w:line="230"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Take-out Engagement Letter</w:t>
      </w:r>
      <w:r>
        <w:rPr>
          <w:rFonts w:ascii="Arial" w:cs="Arial" w:eastAsia="Arial" w:hAnsi="Arial"/>
          <w:sz w:val="18"/>
          <w:szCs w:val="18"/>
          <w:color w:val="auto"/>
        </w:rPr>
        <w:t>” “ means that certain engagement letter pursuant to which the Borrower has exclusively appointed the Takeout Investment Banks to act as joint lead managers and bookrunners, underwriters, initial purchasers and placement agents, as applicable, with respect to the Take-out Debt Offering, in form and substance satisfactory to the Mandated Lead Arrangers.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Take-out Investment Banks</w:t>
      </w:r>
      <w:r>
        <w:rPr>
          <w:rFonts w:ascii="Arial" w:cs="Arial" w:eastAsia="Arial" w:hAnsi="Arial"/>
          <w:sz w:val="18"/>
          <w:szCs w:val="18"/>
          <w:color w:val="auto"/>
        </w:rPr>
        <w:t>” means the financial institutions acceptable to the Mandated Lead Arrangers.</w:t>
      </w:r>
    </w:p>
    <w:p>
      <w:pPr>
        <w:spacing w:after="0" w:line="22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has the meaning given to such term in Clause 12.1 (</w:t>
      </w:r>
      <w:r>
        <w:rPr>
          <w:rFonts w:ascii="Arial" w:cs="Arial" w:eastAsia="Arial" w:hAnsi="Arial"/>
          <w:sz w:val="18"/>
          <w:szCs w:val="18"/>
          <w:i w:val="1"/>
          <w:iCs w:val="1"/>
          <w:color w:val="auto"/>
        </w:rPr>
        <w:t>Tax definitions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at any time the aggregate of the Commitments (being $632,500,000 at the date of this Agreement).</w:t>
      </w:r>
    </w:p>
    <w:p>
      <w:pPr>
        <w:spacing w:after="0" w:line="225"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Agent and the Borrower.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229" w:lineRule="exact"/>
        <w:rPr>
          <w:sz w:val="20"/>
          <w:szCs w:val="20"/>
          <w:color w:val="auto"/>
        </w:rPr>
      </w:pPr>
    </w:p>
    <w:p>
      <w:pPr>
        <w:ind w:left="804" w:hanging="642"/>
        <w:spacing w:after="0"/>
        <w:tabs>
          <w:tab w:leader="none" w:pos="8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225" w:lineRule="exact"/>
        <w:rPr>
          <w:rFonts w:ascii="Arial" w:cs="Arial" w:eastAsia="Arial" w:hAnsi="Arial"/>
          <w:sz w:val="18"/>
          <w:szCs w:val="18"/>
          <w:color w:val="auto"/>
        </w:rPr>
      </w:pPr>
    </w:p>
    <w:p>
      <w:pPr>
        <w:ind w:left="824" w:hanging="662"/>
        <w:spacing w:after="0"/>
        <w:tabs>
          <w:tab w:leader="none" w:pos="8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221"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Transactions</w:t>
      </w:r>
      <w:r>
        <w:rPr>
          <w:rFonts w:ascii="Arial" w:cs="Arial" w:eastAsia="Arial" w:hAnsi="Arial"/>
          <w:sz w:val="18"/>
          <w:szCs w:val="18"/>
          <w:color w:val="auto"/>
        </w:rPr>
        <w:t>” means any derivative transaction entered into in connection with protection against or benefit from fluctuation in any rate or price.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the Finance Documents.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the utilisation of the Facility.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the Utilisation, being the date on which the Loan is to be made.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VIE</w:t>
      </w:r>
      <w:r>
        <w:rPr>
          <w:rFonts w:ascii="Arial" w:cs="Arial" w:eastAsia="Arial" w:hAnsi="Arial"/>
          <w:sz w:val="16"/>
          <w:szCs w:val="16"/>
          <w:color w:val="auto"/>
        </w:rPr>
        <w:t>” means any variable interest entity of the Group and all its subsidiaries; the variable interest entities of the Group at the top level within PRC</w:t>
      </w:r>
    </w:p>
    <w:p>
      <w:pPr>
        <w:spacing w:after="0" w:line="50"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being (Guangzhou Vipshop Information Technology Co., Ltd.) and (Tianjin Pinjian E-Commerce Co., Ltd.) at the date of this Agreement.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 Documents</w:t>
      </w:r>
      <w:r>
        <w:rPr>
          <w:rFonts w:ascii="Arial" w:cs="Arial" w:eastAsia="Arial" w:hAnsi="Arial"/>
          <w:sz w:val="18"/>
          <w:szCs w:val="18"/>
          <w:color w:val="auto"/>
        </w:rPr>
        <w:t>” means:</w:t>
      </w:r>
    </w:p>
    <w:p>
      <w:pPr>
        <w:spacing w:after="0" w:line="229" w:lineRule="exact"/>
        <w:rPr>
          <w:sz w:val="20"/>
          <w:szCs w:val="20"/>
          <w:color w:val="auto"/>
        </w:rPr>
      </w:pPr>
    </w:p>
    <w:p>
      <w:pPr>
        <w:ind w:left="644" w:right="220" w:hanging="644"/>
        <w:spacing w:after="0" w:line="297" w:lineRule="auto"/>
        <w:tabs>
          <w:tab w:leader="none" w:pos="6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series of contractual arrangements entered into between Mr. Shen, Hong Xiaobo, Vipshop (China) Co., Ltd., and Guangzhou Vipshop Information Technology Co., Ltd. (as applicable), including among others, the Fourth Amended and Restated Equity Interest Pledge Agreement and Exclusive Option Agreement dated 23 December 2015, the Second Amended and Restated Power of Attorney issued by Hong Xiaobo on 23 December 2015, the Third Amended and Restated Power of Attorney issued by Mr. Shen on 23 December 2015, the Loan Agreement dated 22 December 2015 and the Amended and Restated Exclusive Business Cooperation Agreement signed by</w:t>
      </w:r>
    </w:p>
    <w:p>
      <w:pPr>
        <w:sectPr>
          <w:pgSz w:w="11900" w:h="16874" w:orient="portrait"/>
          <w:cols w:equalWidth="0" w:num="1">
            <w:col w:w="10744"/>
          </w:cols>
          <w:pgMar w:left="896" w:top="337" w:right="259" w:bottom="0" w:gutter="0" w:footer="0" w:header="0"/>
        </w:sectPr>
      </w:pPr>
    </w:p>
    <w:bookmarkStart w:id="14" w:name="page15"/>
    <w:bookmarkEnd w:id="14"/>
    <w:p>
      <w:pPr>
        <w:spacing w:after="0" w:line="32" w:lineRule="exact"/>
        <w:rPr>
          <w:sz w:val="20"/>
          <w:szCs w:val="20"/>
          <w:color w:val="auto"/>
        </w:rPr>
      </w:pPr>
    </w:p>
    <w:p>
      <w:pPr>
        <w:ind w:left="644" w:right="420"/>
        <w:spacing w:after="0" w:line="277" w:lineRule="auto"/>
        <w:rPr>
          <w:sz w:val="20"/>
          <w:szCs w:val="20"/>
          <w:color w:val="auto"/>
        </w:rPr>
      </w:pPr>
      <w:r>
        <w:rPr>
          <w:rFonts w:ascii="Arial" w:cs="Arial" w:eastAsia="Arial" w:hAnsi="Arial"/>
          <w:sz w:val="18"/>
          <w:szCs w:val="18"/>
          <w:color w:val="auto"/>
        </w:rPr>
        <w:t>Guangzhou Vipshop Computer Service, Co., Ltd. (the predecessor of Vipshop (China) Co., Ltd.) and Guangzhou Vipshop Information Technology Co., Ltd. on 8 October 2011;</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40" w:hanging="644"/>
        <w:spacing w:after="0" w:line="279" w:lineRule="auto"/>
        <w:tabs>
          <w:tab w:leader="none" w:pos="6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series of contractual arrangements entered into between Mr. Shen, Yu Zhihui, LeFeng (Shanghai) Information Technology Co., Ltd. and Shanghai PinJian E-Commerce Co., Ltd. (the predecessor of Tianjin PinJian E-Commerce Co., Ltd.) (as applicable) dated 24 June 2014, including among others, the Exclusive Option Agreement, the Exclusive Business Cooperation Agreement, the Equity Interest Pledge Agreement, the Loan Agreement, and the Power of Attorney issued by Mr. Shen and Yu Zhihui;</w:t>
      </w:r>
    </w:p>
    <w:p>
      <w:pPr>
        <w:spacing w:after="0" w:line="171" w:lineRule="exact"/>
        <w:rPr>
          <w:rFonts w:ascii="Arial" w:cs="Arial" w:eastAsia="Arial" w:hAnsi="Arial"/>
          <w:sz w:val="17"/>
          <w:szCs w:val="17"/>
          <w:color w:val="auto"/>
        </w:rPr>
      </w:pPr>
    </w:p>
    <w:p>
      <w:pPr>
        <w:ind w:left="644" w:right="160" w:hanging="644"/>
        <w:spacing w:after="0" w:line="259"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any other arrangement, instrument or agreement constituting all or any part of the contractual arrangements enabling any member of the Group to exercise effective control over, and consolidate the financial statements of, any VIE, and any other revenue transfer arrangements entered into by any VIE and any member of the Group relating to any revenue generated in connection with or received or receivable by any VIE; and</w:t>
      </w:r>
    </w:p>
    <w:p>
      <w:pPr>
        <w:spacing w:after="0" w:line="186" w:lineRule="exact"/>
        <w:rPr>
          <w:rFonts w:ascii="Arial" w:cs="Arial" w:eastAsia="Arial" w:hAnsi="Arial"/>
          <w:sz w:val="18"/>
          <w:szCs w:val="18"/>
          <w:color w:val="auto"/>
        </w:rPr>
      </w:pPr>
    </w:p>
    <w:p>
      <w:pPr>
        <w:ind w:left="664" w:hanging="664"/>
        <w:spacing w:after="0"/>
        <w:tabs>
          <w:tab w:leader="none" w:pos="6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document or agreement may be designated as such by the Agent and the Borrower from time to time.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“WFOE” </w:t>
      </w:r>
      <w:r>
        <w:rPr>
          <w:rFonts w:ascii="Arial" w:cs="Arial" w:eastAsia="Arial" w:hAnsi="Arial"/>
          <w:sz w:val="18"/>
          <w:szCs w:val="18"/>
          <w:color w:val="auto"/>
        </w:rPr>
        <w:t>means a wholly foreign-owned enterprise incorporated under the laws of PRC.</w:t>
      </w:r>
    </w:p>
    <w:p>
      <w:pPr>
        <w:spacing w:after="0" w:line="225"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21" w:lineRule="exact"/>
        <w:rPr>
          <w:sz w:val="20"/>
          <w:szCs w:val="20"/>
          <w:color w:val="auto"/>
        </w:rPr>
      </w:pPr>
    </w:p>
    <w:p>
      <w:pPr>
        <w:ind w:left="1324" w:hanging="675"/>
        <w:spacing w:after="0"/>
        <w:tabs>
          <w:tab w:leader="none" w:pos="1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Administrative Party</w:t>
      </w:r>
      <w:r>
        <w:rPr>
          <w:rFonts w:ascii="Arial" w:cs="Arial" w:eastAsia="Arial" w:hAnsi="Arial"/>
          <w:sz w:val="18"/>
          <w:szCs w:val="18"/>
          <w:color w:val="auto"/>
        </w:rPr>
        <w:t>”, the “</w:t>
      </w:r>
      <w:r>
        <w:rPr>
          <w:rFonts w:ascii="Arial" w:cs="Arial" w:eastAsia="Arial" w:hAnsi="Arial"/>
          <w:sz w:val="18"/>
          <w:szCs w:val="18"/>
          <w:b w:val="1"/>
          <w:bCs w:val="1"/>
          <w:color w:val="auto"/>
        </w:rPr>
        <w:t>Agent</w:t>
      </w:r>
      <w:r>
        <w:rPr>
          <w:rFonts w:ascii="Arial" w:cs="Arial" w:eastAsia="Arial" w:hAnsi="Arial"/>
          <w:sz w:val="18"/>
          <w:szCs w:val="18"/>
          <w:color w:val="auto"/>
        </w:rPr>
        <w:t>”, the “</w:t>
      </w:r>
      <w:r>
        <w:rPr>
          <w:rFonts w:ascii="Arial" w:cs="Arial" w:eastAsia="Arial" w:hAnsi="Arial"/>
          <w:sz w:val="18"/>
          <w:szCs w:val="18"/>
          <w:b w:val="1"/>
          <w:bCs w:val="1"/>
          <w:color w:val="auto"/>
        </w:rPr>
        <w:t>Mandated Lead Arranger</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w:t>
      </w:r>
    </w:p>
    <w:p>
      <w:pPr>
        <w:spacing w:after="0" w:line="27" w:lineRule="exact"/>
        <w:rPr>
          <w:sz w:val="20"/>
          <w:szCs w:val="20"/>
          <w:color w:val="auto"/>
        </w:rPr>
      </w:pPr>
    </w:p>
    <w:p>
      <w:pPr>
        <w:ind w:left="130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180" w:lineRule="exact"/>
        <w:rPr>
          <w:sz w:val="20"/>
          <w:szCs w:val="20"/>
          <w:color w:val="auto"/>
        </w:rPr>
      </w:pPr>
    </w:p>
    <w:p>
      <w:pPr>
        <w:ind w:left="1324" w:hanging="675"/>
        <w:spacing w:after="0"/>
        <w:tabs>
          <w:tab w:leader="none" w:pos="1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225" w:lineRule="exact"/>
        <w:rPr>
          <w:rFonts w:ascii="Arial" w:cs="Arial" w:eastAsia="Arial" w:hAnsi="Arial"/>
          <w:sz w:val="18"/>
          <w:szCs w:val="18"/>
          <w:color w:val="auto"/>
        </w:rPr>
      </w:pPr>
    </w:p>
    <w:p>
      <w:pPr>
        <w:ind w:left="1304" w:right="440" w:hanging="655"/>
        <w:spacing w:after="0" w:line="282" w:lineRule="auto"/>
        <w:tabs>
          <w:tab w:leader="none" w:pos="13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161" w:lineRule="exact"/>
        <w:rPr>
          <w:rFonts w:ascii="Arial" w:cs="Arial" w:eastAsia="Arial" w:hAnsi="Arial"/>
          <w:sz w:val="18"/>
          <w:szCs w:val="18"/>
          <w:color w:val="auto"/>
        </w:rPr>
      </w:pPr>
    </w:p>
    <w:p>
      <w:pPr>
        <w:ind w:left="1304" w:hanging="655"/>
        <w:spacing w:after="0"/>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shall be construed as “including without limitation” (and cognate expressions shall be construed similarly);</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group of Lenders</w:t>
      </w:r>
      <w:r>
        <w:rPr>
          <w:rFonts w:ascii="Arial" w:cs="Arial" w:eastAsia="Arial" w:hAnsi="Arial"/>
          <w:sz w:val="18"/>
          <w:szCs w:val="18"/>
          <w:color w:val="auto"/>
        </w:rPr>
        <w:t>” includes all the Lenders;</w:t>
      </w:r>
    </w:p>
    <w:p>
      <w:pPr>
        <w:spacing w:after="0" w:line="225" w:lineRule="exact"/>
        <w:rPr>
          <w:rFonts w:ascii="Arial" w:cs="Arial" w:eastAsia="Arial" w:hAnsi="Arial"/>
          <w:sz w:val="18"/>
          <w:szCs w:val="18"/>
          <w:color w:val="auto"/>
        </w:rPr>
      </w:pPr>
    </w:p>
    <w:p>
      <w:pPr>
        <w:ind w:left="1304" w:right="460" w:hanging="655"/>
        <w:spacing w:after="0" w:line="282"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right="120" w:hanging="655"/>
        <w:spacing w:after="0" w:line="266" w:lineRule="auto"/>
        <w:tabs>
          <w:tab w:leader="none" w:pos="13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Lender’s “</w:t>
      </w:r>
      <w:r>
        <w:rPr>
          <w:rFonts w:ascii="Arial" w:cs="Arial" w:eastAsia="Arial" w:hAnsi="Arial"/>
          <w:sz w:val="18"/>
          <w:szCs w:val="18"/>
          <w:b w:val="1"/>
          <w:bCs w:val="1"/>
          <w:color w:val="auto"/>
        </w:rPr>
        <w:t>participation</w:t>
      </w:r>
      <w:r>
        <w:rPr>
          <w:rFonts w:ascii="Arial" w:cs="Arial" w:eastAsia="Arial" w:hAnsi="Arial"/>
          <w:sz w:val="18"/>
          <w:szCs w:val="18"/>
          <w:color w:val="auto"/>
        </w:rPr>
        <w:t>” in the Loan or Unpaid Sum includes an amount (in the currency of such Loan or Unpaid Sum) representing the fraction or portion (attributable to such Lender by virtue of the provisions of this Agreement) of the total amount of such Loan or Unpaid Sum and the Lender’s rights under this Agreement in respect thereof;</w:t>
      </w:r>
    </w:p>
    <w:p>
      <w:pPr>
        <w:spacing w:after="0" w:line="176" w:lineRule="exact"/>
        <w:rPr>
          <w:rFonts w:ascii="Arial" w:cs="Arial" w:eastAsia="Arial" w:hAnsi="Arial"/>
          <w:sz w:val="18"/>
          <w:szCs w:val="18"/>
          <w:color w:val="auto"/>
        </w:rPr>
      </w:pPr>
    </w:p>
    <w:p>
      <w:pPr>
        <w:ind w:left="1304" w:right="220" w:hanging="655"/>
        <w:spacing w:after="0" w:line="313" w:lineRule="auto"/>
        <w:tabs>
          <w:tab w:leader="none" w:pos="1339"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138" w:lineRule="exact"/>
        <w:rPr>
          <w:rFonts w:ascii="Arial" w:cs="Arial" w:eastAsia="Arial" w:hAnsi="Arial"/>
          <w:sz w:val="17"/>
          <w:szCs w:val="17"/>
          <w:color w:val="auto"/>
        </w:rPr>
      </w:pPr>
    </w:p>
    <w:p>
      <w:pPr>
        <w:jc w:val="both"/>
        <w:ind w:left="1304" w:right="40" w:hanging="655"/>
        <w:spacing w:after="0" w:line="266" w:lineRule="auto"/>
        <w:tabs>
          <w:tab w:leader="none" w:pos="13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80" w:lineRule="exact"/>
        <w:rPr>
          <w:rFonts w:ascii="Arial" w:cs="Arial" w:eastAsia="Arial" w:hAnsi="Arial"/>
          <w:sz w:val="18"/>
          <w:szCs w:val="18"/>
          <w:color w:val="auto"/>
        </w:rPr>
      </w:pPr>
    </w:p>
    <w:p>
      <w:pPr>
        <w:ind w:left="1304" w:hanging="655"/>
        <w:spacing w:after="0"/>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time of day is a reference to New York time.</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25" w:lineRule="exact"/>
        <w:rPr>
          <w:rFonts w:ascii="Arial" w:cs="Arial" w:eastAsia="Arial" w:hAnsi="Arial"/>
          <w:sz w:val="18"/>
          <w:szCs w:val="18"/>
          <w:color w:val="auto"/>
        </w:rPr>
      </w:pPr>
    </w:p>
    <w:p>
      <w:pPr>
        <w:ind w:left="644" w:right="280" w:hanging="644"/>
        <w:spacing w:after="0" w:line="277"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6" w:lineRule="exact"/>
        <w:rPr>
          <w:rFonts w:ascii="Arial" w:cs="Arial" w:eastAsia="Arial" w:hAnsi="Arial"/>
          <w:sz w:val="18"/>
          <w:szCs w:val="18"/>
          <w:color w:val="auto"/>
        </w:rPr>
      </w:pPr>
    </w:p>
    <w:p>
      <w:pPr>
        <w:ind w:left="644" w:right="440" w:hanging="644"/>
        <w:spacing w:after="0" w:line="282" w:lineRule="auto"/>
        <w:tabs>
          <w:tab w:leader="none" w:pos="6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in writing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in writing.</w:t>
      </w:r>
    </w:p>
    <w:p>
      <w:pPr>
        <w:spacing w:after="0" w:line="161" w:lineRule="exact"/>
        <w:rPr>
          <w:rFonts w:ascii="Arial" w:cs="Arial" w:eastAsia="Arial" w:hAnsi="Arial"/>
          <w:sz w:val="18"/>
          <w:szCs w:val="18"/>
          <w:color w:val="auto"/>
        </w:rPr>
      </w:pPr>
    </w:p>
    <w:p>
      <w:pPr>
        <w:ind w:left="644" w:hanging="644"/>
        <w:spacing w:after="0" w:line="261"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Where this Agreement specifies an amount in a given currency (the “</w:t>
      </w:r>
      <w:r>
        <w:rPr>
          <w:rFonts w:ascii="Arial" w:cs="Arial" w:eastAsia="Arial" w:hAnsi="Arial"/>
          <w:sz w:val="18"/>
          <w:szCs w:val="18"/>
          <w:b w:val="1"/>
          <w:bCs w:val="1"/>
          <w:color w:val="auto"/>
        </w:rPr>
        <w:t>specified currency</w:t>
      </w:r>
      <w:r>
        <w:rPr>
          <w:rFonts w:ascii="Arial" w:cs="Arial" w:eastAsia="Arial" w:hAnsi="Arial"/>
          <w:sz w:val="18"/>
          <w:szCs w:val="18"/>
          <w:color w:val="auto"/>
        </w:rPr>
        <w:t>”) “</w:t>
      </w:r>
      <w:r>
        <w:rPr>
          <w:rFonts w:ascii="Arial" w:cs="Arial" w:eastAsia="Arial" w:hAnsi="Arial"/>
          <w:sz w:val="18"/>
          <w:szCs w:val="18"/>
          <w:b w:val="1"/>
          <w:bCs w:val="1"/>
          <w:color w:val="auto"/>
        </w:rPr>
        <w:t>or its equivalent</w:t>
      </w:r>
      <w:r>
        <w:rPr>
          <w:rFonts w:ascii="Arial" w:cs="Arial" w:eastAsia="Arial" w:hAnsi="Arial"/>
          <w:sz w:val="18"/>
          <w:szCs w:val="18"/>
          <w:color w:val="auto"/>
        </w:rPr>
        <w:t>”, the “</w:t>
      </w:r>
      <w:r>
        <w:rPr>
          <w:rFonts w:ascii="Arial" w:cs="Arial" w:eastAsia="Arial" w:hAnsi="Arial"/>
          <w:sz w:val="18"/>
          <w:szCs w:val="18"/>
          <w:b w:val="1"/>
          <w:bCs w:val="1"/>
          <w:color w:val="auto"/>
        </w:rPr>
        <w:t>equivalent</w:t>
      </w:r>
      <w:r>
        <w:rPr>
          <w:rFonts w:ascii="Arial" w:cs="Arial" w:eastAsia="Arial" w:hAnsi="Arial"/>
          <w:sz w:val="18"/>
          <w:szCs w:val="18"/>
          <w:color w:val="auto"/>
        </w:rPr>
        <w:t>” is a reference to the amount of any other currency which, when converted into the specified currency utilising the Agent’s spot rate of exchange for the purchase of the specified currency with that other currency at or about 11 a.m. on the relevant date, is equal to the relevant amount in the specified currency.</w:t>
      </w:r>
    </w:p>
    <w:p>
      <w:pPr>
        <w:spacing w:after="0" w:line="180"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US dollars</w:t>
      </w:r>
      <w:r>
        <w:rPr>
          <w:rFonts w:ascii="Arial" w:cs="Arial" w:eastAsia="Arial" w:hAnsi="Arial"/>
          <w:sz w:val="18"/>
          <w:szCs w:val="18"/>
          <w:color w:val="auto"/>
        </w:rPr>
        <w:t>” denote the lawful currency of US. “</w:t>
      </w:r>
      <w:r>
        <w:rPr>
          <w:rFonts w:ascii="Arial" w:cs="Arial" w:eastAsia="Arial" w:hAnsi="Arial"/>
          <w:sz w:val="18"/>
          <w:szCs w:val="18"/>
          <w:b w:val="1"/>
          <w:bCs w:val="1"/>
          <w:color w:val="auto"/>
        </w:rPr>
        <w:t>RMB</w:t>
      </w:r>
      <w:r>
        <w:rPr>
          <w:rFonts w:ascii="Arial" w:cs="Arial" w:eastAsia="Arial" w:hAnsi="Arial"/>
          <w:sz w:val="18"/>
          <w:szCs w:val="18"/>
          <w:color w:val="auto"/>
        </w:rPr>
        <w:t>” denotes the lawful currency of PRC.</w:t>
      </w:r>
    </w:p>
    <w:p>
      <w:pPr>
        <w:sectPr>
          <w:pgSz w:w="11900" w:h="16870" w:orient="portrait"/>
          <w:cols w:equalWidth="0" w:num="1">
            <w:col w:w="10744"/>
          </w:cols>
          <w:pgMar w:left="896" w:top="125" w:right="259" w:bottom="0" w:gutter="0" w:footer="0" w:header="0"/>
        </w:sectPr>
      </w:pPr>
    </w:p>
    <w:bookmarkStart w:id="15" w:name="page16"/>
    <w:bookmarkEnd w:id="15"/>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229" w:lineRule="exact"/>
        <w:rPr>
          <w:sz w:val="20"/>
          <w:szCs w:val="20"/>
          <w:color w:val="auto"/>
        </w:rPr>
      </w:pPr>
    </w:p>
    <w:p>
      <w:pPr>
        <w:jc w:val="both"/>
        <w:ind w:left="1960" w:right="360" w:hanging="655"/>
        <w:spacing w:after="0" w:line="342" w:lineRule="auto"/>
        <w:tabs>
          <w:tab w:leader="none" w:pos="1957"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expressly provided to the contrary in a Finance Document, a person who is not a Party has no right under the Contracts (Rights of Third Parties) Act 1999 (the “</w:t>
      </w:r>
      <w:r>
        <w:rPr>
          <w:rFonts w:ascii="Arial" w:cs="Arial" w:eastAsia="Arial" w:hAnsi="Arial"/>
          <w:sz w:val="16"/>
          <w:szCs w:val="16"/>
          <w:b w:val="1"/>
          <w:bCs w:val="1"/>
          <w:color w:val="auto"/>
        </w:rPr>
        <w:t>Third Parties Act</w:t>
      </w:r>
      <w:r>
        <w:rPr>
          <w:rFonts w:ascii="Arial" w:cs="Arial" w:eastAsia="Arial" w:hAnsi="Arial"/>
          <w:sz w:val="16"/>
          <w:szCs w:val="16"/>
          <w:color w:val="auto"/>
        </w:rPr>
        <w:t>”) to enforce or to enjoy the benefit of any term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line="277" w:lineRule="auto"/>
        <w:tabs>
          <w:tab w:leader="none" w:pos="19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this Agreement at any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FACILITY</w:t>
      </w:r>
    </w:p>
    <w:p>
      <w:pPr>
        <w:spacing w:after="0" w:line="20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Facility</w:t>
      </w:r>
    </w:p>
    <w:p>
      <w:pPr>
        <w:spacing w:after="0" w:line="22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Subject to the terms of this Agreement, the Lenders make available to the Borrower a US dollar term loan facility in an aggregate amount equal to the Total Commitments.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229" w:lineRule="exact"/>
        <w:rPr>
          <w:sz w:val="20"/>
          <w:szCs w:val="20"/>
          <w:color w:val="auto"/>
        </w:rPr>
      </w:pPr>
    </w:p>
    <w:p>
      <w:pPr>
        <w:ind w:left="1300" w:hanging="644"/>
        <w:spacing w:after="0" w:line="264" w:lineRule="auto"/>
        <w:tabs>
          <w:tab w:leader="none" w:pos="12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1" w:lineRule="exact"/>
        <w:rPr>
          <w:rFonts w:ascii="Arial" w:cs="Arial" w:eastAsia="Arial" w:hAnsi="Arial"/>
          <w:sz w:val="18"/>
          <w:szCs w:val="18"/>
          <w:color w:val="auto"/>
        </w:rPr>
      </w:pPr>
    </w:p>
    <w:p>
      <w:pPr>
        <w:ind w:left="1300" w:right="20" w:hanging="644"/>
        <w:spacing w:after="0" w:line="273" w:lineRule="auto"/>
        <w:tabs>
          <w:tab w:leader="none" w:pos="13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178" w:lineRule="exact"/>
        <w:rPr>
          <w:rFonts w:ascii="Arial" w:cs="Arial" w:eastAsia="Arial" w:hAnsi="Arial"/>
          <w:sz w:val="17"/>
          <w:szCs w:val="17"/>
          <w:color w:val="auto"/>
        </w:rPr>
      </w:pPr>
    </w:p>
    <w:p>
      <w:pPr>
        <w:ind w:left="1300" w:right="240" w:hanging="644"/>
        <w:spacing w:after="0" w:line="277" w:lineRule="auto"/>
        <w:tabs>
          <w:tab w:leader="none" w:pos="13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w:t>
      </w:r>
    </w:p>
    <w:p>
      <w:pPr>
        <w:spacing w:after="0" w:line="16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apply all amounts borrowed by it under the Facility towards:</w:t>
      </w:r>
    </w:p>
    <w:p>
      <w:pPr>
        <w:spacing w:after="0" w:line="225" w:lineRule="exact"/>
        <w:rPr>
          <w:sz w:val="20"/>
          <w:szCs w:val="20"/>
          <w:color w:val="auto"/>
        </w:rPr>
      </w:pPr>
    </w:p>
    <w:p>
      <w:pPr>
        <w:ind w:left="1300" w:right="60" w:hanging="644"/>
        <w:spacing w:after="0" w:line="264" w:lineRule="auto"/>
        <w:tabs>
          <w:tab w:leader="none" w:pos="12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to the Convertible Bonds Trustee for the holders of the Convertible Bonds for amounts (including all accrued but unpaid interest) payable as a result of the exercise by holders of the Convertible Bonds of their option to require the Borrower to repurchase the Convertible Bonds;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the drawdown fee referred to in Clause 11.3 (</w:t>
      </w:r>
      <w:r>
        <w:rPr>
          <w:rFonts w:ascii="Arial" w:cs="Arial" w:eastAsia="Arial" w:hAnsi="Arial"/>
          <w:sz w:val="18"/>
          <w:szCs w:val="18"/>
          <w:i w:val="1"/>
          <w:iCs w:val="1"/>
          <w:color w:val="auto"/>
        </w:rPr>
        <w:t>Drawdown fee</w:t>
      </w:r>
      <w:r>
        <w:rPr>
          <w:rFonts w:ascii="Arial" w:cs="Arial" w:eastAsia="Arial" w:hAnsi="Arial"/>
          <w:sz w:val="18"/>
          <w:szCs w:val="18"/>
          <w:color w:val="auto"/>
        </w:rPr>
        <w:t>) ;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the fees, costs and expenses incurred in connection with the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229" w:lineRule="exact"/>
        <w:rPr>
          <w:sz w:val="20"/>
          <w:szCs w:val="20"/>
          <w:color w:val="auto"/>
        </w:rPr>
      </w:pPr>
    </w:p>
    <w:p>
      <w:pPr>
        <w:jc w:val="both"/>
        <w:ind w:left="1300" w:right="660" w:hanging="644"/>
        <w:spacing w:after="0" w:line="264" w:lineRule="auto"/>
        <w:tabs>
          <w:tab w:leader="none" w:pos="12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Borrower may not deliver a Utilisation Request unless the Agent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(acting reasonably). The Agent shall notify the Borrower and the Lenders promptly upon being so satisfied.</w:t>
      </w:r>
    </w:p>
    <w:p>
      <w:pPr>
        <w:spacing w:after="0" w:line="181" w:lineRule="exact"/>
        <w:rPr>
          <w:rFonts w:ascii="Arial" w:cs="Arial" w:eastAsia="Arial" w:hAnsi="Arial"/>
          <w:sz w:val="18"/>
          <w:szCs w:val="18"/>
          <w:color w:val="auto"/>
        </w:rPr>
      </w:pPr>
    </w:p>
    <w:p>
      <w:pPr>
        <w:jc w:val="both"/>
        <w:ind w:left="1300" w:right="320" w:hanging="644"/>
        <w:spacing w:after="0" w:line="342" w:lineRule="auto"/>
        <w:tabs>
          <w:tab w:leader="none" w:pos="1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Other than to the extent that any Lender notifies the Agent in writing to the contrary before the Agent gives the notification described in paragraph (a) above, the Lenders authorise (but do not require) the Agent to give that notification. The Agent shall not be liable for any</w:t>
      </w:r>
    </w:p>
    <w:p>
      <w:pPr>
        <w:sectPr>
          <w:pgSz w:w="11900" w:h="16838" w:orient="portrait"/>
          <w:cols w:equalWidth="0" w:num="1">
            <w:col w:w="11420"/>
          </w:cols>
          <w:pgMar w:left="240" w:top="337" w:right="239" w:bottom="0" w:gutter="0" w:footer="0" w:header="0"/>
        </w:sectPr>
      </w:pPr>
    </w:p>
    <w:bookmarkStart w:id="16" w:name="page17"/>
    <w:bookmarkEnd w:id="16"/>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damages, costs or losses whatsoever as a result of giving any such notification.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Further conditions precedent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Lenders will only be obliged to comply with Clause 5.4 (</w:t>
      </w:r>
      <w:r>
        <w:rPr>
          <w:rFonts w:ascii="Arial" w:cs="Arial" w:eastAsia="Arial" w:hAnsi="Arial"/>
          <w:sz w:val="16"/>
          <w:szCs w:val="16"/>
          <w:i w:val="1"/>
          <w:iCs w:val="1"/>
          <w:color w:val="auto"/>
        </w:rPr>
        <w:t>Lender’s participation</w:t>
      </w:r>
      <w:r>
        <w:rPr>
          <w:rFonts w:ascii="Arial" w:cs="Arial" w:eastAsia="Arial" w:hAnsi="Arial"/>
          <w:sz w:val="16"/>
          <w:szCs w:val="16"/>
          <w:color w:val="auto"/>
        </w:rPr>
        <w:t>) if on the date of the Utilisation Request and on the proposed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Utilisation Date:</w:t>
      </w:r>
    </w:p>
    <w:p>
      <w:pPr>
        <w:spacing w:after="0" w:line="211" w:lineRule="exact"/>
        <w:rPr>
          <w:sz w:val="20"/>
          <w:szCs w:val="20"/>
          <w:color w:val="auto"/>
        </w:rPr>
      </w:pPr>
    </w:p>
    <w:p>
      <w:pPr>
        <w:ind w:left="1300" w:right="540" w:hanging="644"/>
        <w:spacing w:after="0" w:line="308" w:lineRule="auto"/>
        <w:tabs>
          <w:tab w:leader="none" w:pos="1297"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 Default is continuing or would result from the proposed Loan and none of the circumstances described in Clause 7.2 (</w:t>
      </w:r>
      <w:r>
        <w:rPr>
          <w:rFonts w:ascii="Arial" w:cs="Arial" w:eastAsia="Arial" w:hAnsi="Arial"/>
          <w:sz w:val="17"/>
          <w:szCs w:val="17"/>
          <w:i w:val="1"/>
          <w:iCs w:val="1"/>
          <w:color w:val="auto"/>
        </w:rPr>
        <w:t>Change of</w:t>
      </w:r>
      <w:r>
        <w:rPr>
          <w:rFonts w:ascii="Arial" w:cs="Arial" w:eastAsia="Arial" w:hAnsi="Arial"/>
          <w:sz w:val="17"/>
          <w:szCs w:val="17"/>
          <w:color w:val="auto"/>
        </w:rPr>
        <w:t xml:space="preserve"> </w:t>
      </w:r>
      <w:r>
        <w:rPr>
          <w:rFonts w:ascii="Arial" w:cs="Arial" w:eastAsia="Arial" w:hAnsi="Arial"/>
          <w:sz w:val="17"/>
          <w:szCs w:val="17"/>
          <w:i w:val="1"/>
          <w:iCs w:val="1"/>
          <w:color w:val="auto"/>
        </w:rPr>
        <w:t>control</w:t>
      </w:r>
      <w:r>
        <w:rPr>
          <w:rFonts w:ascii="Arial" w:cs="Arial" w:eastAsia="Arial" w:hAnsi="Arial"/>
          <w:sz w:val="17"/>
          <w:szCs w:val="17"/>
          <w:color w:val="auto"/>
        </w:rPr>
        <w:t>), Clause 7.4 (</w:t>
      </w:r>
      <w:r>
        <w:rPr>
          <w:rFonts w:ascii="Arial" w:cs="Arial" w:eastAsia="Arial" w:hAnsi="Arial"/>
          <w:sz w:val="17"/>
          <w:szCs w:val="17"/>
          <w:i w:val="1"/>
          <w:iCs w:val="1"/>
          <w:color w:val="auto"/>
        </w:rPr>
        <w:t>De-listing</w:t>
      </w:r>
      <w:r>
        <w:rPr>
          <w:rFonts w:ascii="Arial" w:cs="Arial" w:eastAsia="Arial" w:hAnsi="Arial"/>
          <w:sz w:val="17"/>
          <w:szCs w:val="17"/>
          <w:color w:val="auto"/>
        </w:rPr>
        <w:t>), Clause 7.5 (</w:t>
      </w:r>
      <w:r>
        <w:rPr>
          <w:rFonts w:ascii="Arial" w:cs="Arial" w:eastAsia="Arial" w:hAnsi="Arial"/>
          <w:sz w:val="17"/>
          <w:szCs w:val="17"/>
          <w:i w:val="1"/>
          <w:iCs w:val="1"/>
          <w:color w:val="auto"/>
        </w:rPr>
        <w:t>Stock suspension</w:t>
      </w:r>
      <w:r>
        <w:rPr>
          <w:rFonts w:ascii="Arial" w:cs="Arial" w:eastAsia="Arial" w:hAnsi="Arial"/>
          <w:sz w:val="17"/>
          <w:szCs w:val="17"/>
          <w:color w:val="auto"/>
        </w:rPr>
        <w:t>) and Clause 7.6 (</w:t>
      </w:r>
      <w:r>
        <w:rPr>
          <w:rFonts w:ascii="Arial" w:cs="Arial" w:eastAsia="Arial" w:hAnsi="Arial"/>
          <w:sz w:val="17"/>
          <w:szCs w:val="17"/>
          <w:i w:val="1"/>
          <w:iCs w:val="1"/>
          <w:color w:val="auto"/>
        </w:rPr>
        <w:t>Credit rating</w:t>
      </w:r>
      <w:r>
        <w:rPr>
          <w:rFonts w:ascii="Arial" w:cs="Arial" w:eastAsia="Arial" w:hAnsi="Arial"/>
          <w:sz w:val="17"/>
          <w:szCs w:val="17"/>
          <w:color w:val="auto"/>
        </w:rPr>
        <w:t>) have occurred; and</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Repeating Representations to be made by each Obligor are true in all material respects.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Maximum number of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may only deliver one Utilisation Request.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UTILISATION</w:t>
      </w:r>
    </w:p>
    <w:p>
      <w:pPr>
        <w:spacing w:after="0" w:line="20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the Utilisation Request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may utilise the Facility by delivery to the Agent of a duly completed Utilisation Request not later than the Specified Time.</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the Utilisation Request</w:t>
      </w:r>
    </w:p>
    <w:p>
      <w:pPr>
        <w:spacing w:after="0" w:line="229"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Utilisation Request is irrevocable and will not be regarded as having been duly completed unless: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account of the Convertible Bonds Trustee is provided in sufficient detail to receive the proceeds of the Loan.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Only one Loan may be requested in the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29"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specified in the Utilisation Request must be US dollars.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Total Commitment;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225" w:lineRule="exact"/>
        <w:rPr>
          <w:rFonts w:ascii="Arial" w:cs="Arial" w:eastAsia="Arial" w:hAnsi="Arial"/>
          <w:sz w:val="18"/>
          <w:szCs w:val="18"/>
          <w:color w:val="auto"/>
        </w:rPr>
      </w:pPr>
    </w:p>
    <w:p>
      <w:pPr>
        <w:ind w:left="2600" w:right="140" w:hanging="647"/>
        <w:spacing w:after="0" w:line="277" w:lineRule="auto"/>
        <w:tabs>
          <w:tab w:leader="none" w:pos="2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amount (included all accrued but unpaid interest) payable with respect to any Convertible Bonds tendered for early repurchase by holders of the Convertible Bonds;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drawdown fee referred to in Clause 11.3 (</w:t>
      </w:r>
      <w:r>
        <w:rPr>
          <w:rFonts w:ascii="Arial" w:cs="Arial" w:eastAsia="Arial" w:hAnsi="Arial"/>
          <w:sz w:val="18"/>
          <w:szCs w:val="18"/>
          <w:i w:val="1"/>
          <w:iCs w:val="1"/>
          <w:color w:val="auto"/>
        </w:rPr>
        <w:t>Drawdown fee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fees, costs and expenses incurred in connection with the Facility,</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 which is a minimum of US$5,000,000.</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29" w:lineRule="exact"/>
        <w:rPr>
          <w:sz w:val="20"/>
          <w:szCs w:val="20"/>
          <w:color w:val="auto"/>
        </w:rPr>
      </w:pPr>
    </w:p>
    <w:p>
      <w:pPr>
        <w:jc w:val="both"/>
        <w:ind w:left="1300" w:right="100" w:hanging="644"/>
        <w:spacing w:after="0" w:line="342" w:lineRule="auto"/>
        <w:tabs>
          <w:tab w:leader="none" w:pos="12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conditions set out in Clause 4 (</w:t>
      </w:r>
      <w:r>
        <w:rPr>
          <w:rFonts w:ascii="Arial" w:cs="Arial" w:eastAsia="Arial" w:hAnsi="Arial"/>
          <w:sz w:val="16"/>
          <w:szCs w:val="16"/>
          <w:i w:val="1"/>
          <w:iCs w:val="1"/>
          <w:color w:val="auto"/>
        </w:rPr>
        <w:t>Conditions of Utilisation</w:t>
      </w:r>
      <w:r>
        <w:rPr>
          <w:rFonts w:ascii="Arial" w:cs="Arial" w:eastAsia="Arial" w:hAnsi="Arial"/>
          <w:sz w:val="16"/>
          <w:szCs w:val="16"/>
          <w:color w:val="auto"/>
        </w:rPr>
        <w:t>) and Clauses 5.1 (</w:t>
      </w:r>
      <w:r>
        <w:rPr>
          <w:rFonts w:ascii="Arial" w:cs="Arial" w:eastAsia="Arial" w:hAnsi="Arial"/>
          <w:sz w:val="16"/>
          <w:szCs w:val="16"/>
          <w:i w:val="1"/>
          <w:iCs w:val="1"/>
          <w:color w:val="auto"/>
        </w:rPr>
        <w:t>Delivery of the Utilisation Request</w:t>
      </w:r>
      <w:r>
        <w:rPr>
          <w:rFonts w:ascii="Arial" w:cs="Arial" w:eastAsia="Arial" w:hAnsi="Arial"/>
          <w:sz w:val="16"/>
          <w:szCs w:val="16"/>
          <w:color w:val="auto"/>
        </w:rPr>
        <w:t>) to 5.3 (</w:t>
      </w:r>
      <w:r>
        <w:rPr>
          <w:rFonts w:ascii="Arial" w:cs="Arial" w:eastAsia="Arial" w:hAnsi="Arial"/>
          <w:sz w:val="16"/>
          <w:szCs w:val="16"/>
          <w:i w:val="1"/>
          <w:iCs w:val="1"/>
          <w:color w:val="auto"/>
        </w:rPr>
        <w:t>Currency and</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have been met, each Lender shall make its participation in the Loan available by the Utilisation Date through its Facility Office.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77" w:lineRule="auto"/>
        <w:tabs>
          <w:tab w:leader="none" w:pos="13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of each Lender’s participation in the Loan will be equal to the proportion borne by its Commitment to the Total Commitments immediately prior to making the Loan.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Agent shall notify each Lender of the amount of the Loan and the amount of its participation in the Loan by the Specified Time.</w:t>
      </w:r>
    </w:p>
    <w:p>
      <w:pPr>
        <w:spacing w:after="0" w:line="236" w:lineRule="exact"/>
        <w:rPr>
          <w:rFonts w:ascii="Arial" w:cs="Arial" w:eastAsia="Arial" w:hAnsi="Arial"/>
          <w:sz w:val="17"/>
          <w:szCs w:val="17"/>
          <w:color w:val="auto"/>
        </w:rPr>
      </w:pPr>
    </w:p>
    <w:p>
      <w:pPr>
        <w:ind w:left="1300" w:right="20" w:hanging="644"/>
        <w:spacing w:after="0" w:line="342" w:lineRule="auto"/>
        <w:tabs>
          <w:tab w:leader="none" w:pos="13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the part of the Loan for payments towards the purpose specified in paragraph (a) of Clause 3.1 (</w:t>
      </w:r>
      <w:r>
        <w:rPr>
          <w:rFonts w:ascii="Arial" w:cs="Arial" w:eastAsia="Arial" w:hAnsi="Arial"/>
          <w:sz w:val="16"/>
          <w:szCs w:val="16"/>
          <w:i w:val="1"/>
          <w:iCs w:val="1"/>
          <w:color w:val="auto"/>
        </w:rPr>
        <w:t>Purpose</w:t>
      </w:r>
      <w:r>
        <w:rPr>
          <w:rFonts w:ascii="Arial" w:cs="Arial" w:eastAsia="Arial" w:hAnsi="Arial"/>
          <w:sz w:val="16"/>
          <w:szCs w:val="16"/>
          <w:color w:val="auto"/>
        </w:rPr>
        <w:t>), each Lender’s obligation to fund shall be satisfied by making payments to the nominated account of the Convertible Bond Trustee as specified in the Utilisation</w:t>
      </w:r>
    </w:p>
    <w:p>
      <w:pPr>
        <w:sectPr>
          <w:pgSz w:w="11900" w:h="16975" w:orient="portrait"/>
          <w:cols w:equalWidth="0" w:num="1">
            <w:col w:w="11300"/>
          </w:cols>
          <w:pgMar w:left="240" w:top="125" w:right="359" w:bottom="0" w:gutter="0" w:footer="0" w:header="0"/>
        </w:sectPr>
      </w:pPr>
    </w:p>
    <w:bookmarkStart w:id="17" w:name="page18"/>
    <w:bookmarkEnd w:id="17"/>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Request.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the Facility</w:t>
      </w:r>
    </w:p>
    <w:p>
      <w:pPr>
        <w:spacing w:after="0" w:line="229"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The Total Commitments which, at that time, are unutilised shall be immediately cancelled at 5 p.m. (New York time) on the last day of the Availability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PREPAYMENT AND CANCELLATION</w:t>
      </w:r>
    </w:p>
    <w:p>
      <w:pPr>
        <w:spacing w:after="0" w:line="20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of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Loan will be repaid in full on the Final Repayment Date.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Reborrowing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may not reborrow any part of the Facility which is repaid.</w:t>
      </w:r>
    </w:p>
    <w:p>
      <w:pPr>
        <w:spacing w:after="0" w:line="22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at any time, it is or will become unlawful in any applicable jurisdiction for a Lender to perform any of its obligations as contemplated by this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Agreement or to fund or maintain its participation in any Loan or it is or will become unlawful for any Affiliate of a Lender for that Lender to do so:</w:t>
      </w:r>
    </w:p>
    <w:p>
      <w:pPr>
        <w:spacing w:after="0" w:line="234"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 of that Lender will be immediately cancelled; and</w:t>
      </w:r>
    </w:p>
    <w:p>
      <w:pPr>
        <w:spacing w:after="0" w:line="225" w:lineRule="exact"/>
        <w:rPr>
          <w:rFonts w:ascii="Arial" w:cs="Arial" w:eastAsia="Arial" w:hAnsi="Arial"/>
          <w:sz w:val="18"/>
          <w:szCs w:val="18"/>
          <w:color w:val="auto"/>
        </w:rPr>
      </w:pPr>
    </w:p>
    <w:p>
      <w:pPr>
        <w:ind w:left="1300" w:right="40" w:hanging="644"/>
        <w:spacing w:after="0" w:line="257" w:lineRule="auto"/>
        <w:tabs>
          <w:tab w:leader="none" w:pos="13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that the Lender’s participation has not been transferred pursuant to paragraph (d) of Clause 7.9 (</w:t>
      </w:r>
      <w:r>
        <w:rPr>
          <w:rFonts w:ascii="Arial" w:cs="Arial" w:eastAsia="Arial" w:hAnsi="Arial"/>
          <w:sz w:val="18"/>
          <w:szCs w:val="18"/>
          <w:i w:val="1"/>
          <w:iCs w:val="1"/>
          <w:color w:val="auto"/>
        </w:rPr>
        <w:t>Right of prepayment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 in relation to a single Lender</w:t>
      </w:r>
      <w:r>
        <w:rPr>
          <w:rFonts w:ascii="Arial" w:cs="Arial" w:eastAsia="Arial" w:hAnsi="Arial"/>
          <w:sz w:val="18"/>
          <w:szCs w:val="18"/>
          <w:color w:val="auto"/>
        </w:rPr>
        <w:t>), the Borrower shall repay that Lender’s participation in the Loan on the last day of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for the Loan occurring after the Agent has notified the Borrower or, if earlier, the date specified by the Lender in the notice delivered to the Agent (being no earlier than the last day of any applicable grace period permitted by law) and that Lender’s corresponding Commitment shall be cancelled in the amount of the participations repaid.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Change of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Shen ceases to be the chairman of the board of directors or the chief executive officer of the Borrower; or</w:t>
      </w:r>
    </w:p>
    <w:p>
      <w:pPr>
        <w:spacing w:after="0" w:line="225" w:lineRule="exact"/>
        <w:rPr>
          <w:rFonts w:ascii="Arial" w:cs="Arial" w:eastAsia="Arial" w:hAnsi="Arial"/>
          <w:sz w:val="18"/>
          <w:szCs w:val="18"/>
          <w:color w:val="auto"/>
        </w:rPr>
      </w:pPr>
    </w:p>
    <w:p>
      <w:pPr>
        <w:jc w:val="both"/>
        <w:ind w:left="1300" w:right="40" w:hanging="644"/>
        <w:spacing w:after="0" w:line="312" w:lineRule="auto"/>
        <w:tabs>
          <w:tab w:leader="none" w:pos="13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Mr. Shen and Ms. Zhang and any entities controlled by Mr. Shen and/or Ms. Zhang, together, cease directly or indirectly to have the power (whether by way of ownership of shares, proxy, contract, agency or otherwise) to cast, or control the casting of, 50.1 per cent or more of the maximum number of votes that may be cast at a general meeting of the Borrower (including with respect to the election of directors),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each case:</w:t>
      </w:r>
    </w:p>
    <w:p>
      <w:pPr>
        <w:spacing w:after="0" w:line="225" w:lineRule="exact"/>
        <w:rPr>
          <w:sz w:val="20"/>
          <w:szCs w:val="20"/>
          <w:color w:val="auto"/>
        </w:rPr>
      </w:pPr>
    </w:p>
    <w:p>
      <w:pPr>
        <w:ind w:left="1980" w:hanging="675"/>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Lender shall not be obliged to fund a Utilisation;</w:t>
      </w:r>
    </w:p>
    <w:p>
      <w:pPr>
        <w:spacing w:after="0" w:line="225" w:lineRule="exact"/>
        <w:rPr>
          <w:rFonts w:ascii="Arial" w:cs="Arial" w:eastAsia="Arial" w:hAnsi="Arial"/>
          <w:sz w:val="18"/>
          <w:szCs w:val="18"/>
          <w:color w:val="auto"/>
        </w:rPr>
      </w:pPr>
    </w:p>
    <w:p>
      <w:pPr>
        <w:ind w:left="1960" w:right="300" w:hanging="655"/>
        <w:spacing w:after="0" w:line="302" w:lineRule="auto"/>
        <w:tabs>
          <w:tab w:leader="none" w:pos="2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 Lender so requires, the Agent shall, by not less than 10 days’ notice cancel the Commitment of that Lender and declare the participation of that Lender in the Loan, together with accrued interest, and all other amounts accrued under the Finance Documents in relation to that Lender’s participation immediately due and payable, where upon the Commitment of that Lender will be cancelled and all such outstanding amounts under the Loan will become immediately due and payable; and</w:t>
      </w:r>
    </w:p>
    <w:p>
      <w:pPr>
        <w:spacing w:after="0" w:line="154" w:lineRule="exact"/>
        <w:rPr>
          <w:rFonts w:ascii="Arial" w:cs="Arial" w:eastAsia="Arial" w:hAnsi="Arial"/>
          <w:sz w:val="16"/>
          <w:szCs w:val="16"/>
          <w:color w:val="auto"/>
        </w:rPr>
      </w:pPr>
    </w:p>
    <w:p>
      <w:pPr>
        <w:ind w:left="1960" w:hanging="655"/>
        <w:spacing w:after="0" w:line="259" w:lineRule="auto"/>
        <w:tabs>
          <w:tab w:leader="none" w:pos="19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Majority Lenders so require, the Agent shall, by not less than 10 days’ notice to the Borrower, cancel the Total Commitments and declare all outstanding Loan, together with accrued interest, and all other amounts accrued under the Finance Documents immediately due and payable, whereupon the Total Commitments will be cancelled and all such outstanding Loan and amounts will become immediately due and payable.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color w:val="auto"/>
        </w:rPr>
        <w:t>Capital market issuance/asset disposals</w:t>
      </w:r>
    </w:p>
    <w:p>
      <w:pPr>
        <w:spacing w:after="0" w:line="229"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purpose of this Clause 7.3:</w:t>
      </w: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Market Issuance</w:t>
      </w:r>
      <w:r>
        <w:rPr>
          <w:rFonts w:ascii="Arial" w:cs="Arial" w:eastAsia="Arial" w:hAnsi="Arial"/>
          <w:sz w:val="18"/>
          <w:szCs w:val="18"/>
          <w:color w:val="auto"/>
        </w:rPr>
        <w:t>” means:</w:t>
      </w:r>
    </w:p>
    <w:p>
      <w:pPr>
        <w:sectPr>
          <w:pgSz w:w="11900" w:h="16870" w:orient="portrait"/>
          <w:cols w:equalWidth="0" w:num="1">
            <w:col w:w="11420"/>
          </w:cols>
          <w:pgMar w:left="240" w:top="125" w:right="239" w:bottom="0" w:gutter="0" w:footer="0" w:header="0"/>
        </w:sectPr>
      </w:pPr>
    </w:p>
    <w:bookmarkStart w:id="18" w:name="page19"/>
    <w:bookmarkEnd w:id="18"/>
    <w:p>
      <w:pPr>
        <w:ind w:left="1960" w:hanging="655"/>
        <w:spacing w:after="0" w:line="264" w:lineRule="auto"/>
        <w:tabs>
          <w:tab w:leader="none" w:pos="198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offshore indebtedness raised by the Borrower or any of the member of the Group, including the incurrence of any loans or any direct or indirect public offering or private placement of any debt or convertible securities or other debt financing (excluding the Permitted Offshore Loan);</w:t>
      </w:r>
    </w:p>
    <w:p>
      <w:pPr>
        <w:spacing w:after="0" w:line="181" w:lineRule="exact"/>
        <w:rPr>
          <w:rFonts w:ascii="Arial" w:cs="Arial" w:eastAsia="Arial" w:hAnsi="Arial"/>
          <w:sz w:val="18"/>
          <w:szCs w:val="18"/>
          <w:color w:val="auto"/>
        </w:rPr>
      </w:pPr>
    </w:p>
    <w:p>
      <w:pPr>
        <w:ind w:left="1960" w:right="40" w:hanging="655"/>
        <w:spacing w:after="0" w:line="277" w:lineRule="auto"/>
        <w:tabs>
          <w:tab w:leader="none" w:pos="19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issuance of equity by the Borrower or any of the member of the Group (excluding any equity issued to another member of the Group); or</w:t>
      </w:r>
    </w:p>
    <w:p>
      <w:pPr>
        <w:spacing w:after="0" w:line="170" w:lineRule="exact"/>
        <w:rPr>
          <w:rFonts w:ascii="Arial" w:cs="Arial" w:eastAsia="Arial" w:hAnsi="Arial"/>
          <w:sz w:val="18"/>
          <w:szCs w:val="18"/>
          <w:color w:val="auto"/>
        </w:rPr>
      </w:pPr>
    </w:p>
    <w:p>
      <w:pPr>
        <w:ind w:left="1960" w:right="460" w:hanging="655"/>
        <w:spacing w:after="0" w:line="277" w:lineRule="auto"/>
        <w:tabs>
          <w:tab w:leader="none" w:pos="2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future offshore bank borrowings by the Borrower or any of the member of the Group (excluding the Permitted Offshore Loan).</w:t>
      </w:r>
    </w:p>
    <w:p>
      <w:pPr>
        <w:spacing w:after="0" w:line="166" w:lineRule="exact"/>
        <w:rPr>
          <w:sz w:val="20"/>
          <w:szCs w:val="20"/>
          <w:color w:val="auto"/>
        </w:rPr>
      </w:pPr>
    </w:p>
    <w:p>
      <w:pPr>
        <w:ind w:left="130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Market Issuance Proceeds</w:t>
      </w:r>
      <w:r>
        <w:rPr>
          <w:rFonts w:ascii="Arial" w:cs="Arial" w:eastAsia="Arial" w:hAnsi="Arial"/>
          <w:sz w:val="18"/>
          <w:szCs w:val="18"/>
          <w:color w:val="auto"/>
        </w:rPr>
        <w:t>” means the consideration receivable by any member of the Group for any Capital Market Issuance made by any member of the Group after deducting:</w:t>
      </w:r>
    </w:p>
    <w:p>
      <w:pPr>
        <w:spacing w:after="0" w:line="166" w:lineRule="exact"/>
        <w:rPr>
          <w:sz w:val="20"/>
          <w:szCs w:val="20"/>
          <w:color w:val="auto"/>
        </w:rPr>
      </w:pPr>
    </w:p>
    <w:p>
      <w:pPr>
        <w:ind w:left="1960" w:right="120" w:hanging="655"/>
        <w:spacing w:after="0" w:line="277" w:lineRule="auto"/>
        <w:tabs>
          <w:tab w:leader="none" w:pos="19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reasonable expenses which are incurred by any member of the Group with respect to that Capital Market Issuance to persons who are not members of the Group;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560" w:hanging="655"/>
        <w:spacing w:after="0" w:line="342" w:lineRule="auto"/>
        <w:tabs>
          <w:tab w:leader="none" w:pos="19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Tax incurred and required to be paid in connection with that Capital Market Issuance (as reasonably determined by the relevant Group member, on the basis of existing rates and taking account of any available credit, deduction or allowance).</w:t>
      </w:r>
    </w:p>
    <w:p>
      <w:pPr>
        <w:spacing w:after="0" w:line="120" w:lineRule="exact"/>
        <w:rPr>
          <w:sz w:val="20"/>
          <w:szCs w:val="20"/>
          <w:color w:val="auto"/>
        </w:rPr>
      </w:pPr>
    </w:p>
    <w:p>
      <w:pPr>
        <w:ind w:left="1300"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consideration receivable by any member of the Group (including any amount receivable in repayment of intercompany debt) for any Disposal (other than any Disposal to another member of the Group that constitutes a Permitted Disposal) made by any member of the Group exceeding US$50,000,000 in respect of any single Disposal or US$50,000,000 in aggregate each year except for Excluded Disposal Proceeds and after deducting:</w:t>
      </w:r>
    </w:p>
    <w:p>
      <w:pPr>
        <w:spacing w:after="0" w:line="184" w:lineRule="exact"/>
        <w:rPr>
          <w:sz w:val="20"/>
          <w:szCs w:val="20"/>
          <w:color w:val="auto"/>
        </w:rPr>
      </w:pPr>
    </w:p>
    <w:p>
      <w:pPr>
        <w:ind w:left="1960" w:right="340" w:hanging="655"/>
        <w:spacing w:after="0" w:line="277" w:lineRule="auto"/>
        <w:tabs>
          <w:tab w:leader="none" w:pos="19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reasonable expenses which are incurred by any member of the Group with respect to that Disposal to persons who are not members of the Group; and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9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incurred and required to be paid by the seller in connection with that Disposal (as reasonably determined by the seller, on the basis of existing rates and taking account of any available credit, deduction or allowance).</w:t>
      </w:r>
    </w:p>
    <w:p>
      <w:pPr>
        <w:spacing w:after="0" w:line="166" w:lineRule="exact"/>
        <w:rPr>
          <w:sz w:val="20"/>
          <w:szCs w:val="20"/>
          <w:color w:val="auto"/>
        </w:rPr>
      </w:pPr>
    </w:p>
    <w:p>
      <w:pPr>
        <w:ind w:left="1300" w:right="340" w:firstLine="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lease, licence, transfer, loan or other disposal by a person of any asset, undertaking or business (whether by a voluntary or involuntary single transaction or series of transactions).</w:t>
      </w:r>
    </w:p>
    <w:p>
      <w:pPr>
        <w:spacing w:after="0" w:line="162" w:lineRule="exact"/>
        <w:rPr>
          <w:sz w:val="20"/>
          <w:szCs w:val="20"/>
          <w:color w:val="auto"/>
        </w:rPr>
      </w:pPr>
    </w:p>
    <w:p>
      <w:pPr>
        <w:ind w:left="13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Disposal Proceeds</w:t>
      </w:r>
      <w:r>
        <w:rPr>
          <w:rFonts w:ascii="Arial" w:cs="Arial" w:eastAsia="Arial" w:hAnsi="Arial"/>
          <w:sz w:val="18"/>
          <w:szCs w:val="18"/>
          <w:color w:val="auto"/>
        </w:rPr>
        <w:t>” means the proceeds of a Disposal of the assets of a Group member incorporated in the PRC until (and then only to the extent that) the Group is able to remit such disposal proceeds out of the PRC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Obligors will procure that the relevant Group member(s) incorporated in the PRC take(s) all reasonable steps to do).</w:t>
      </w:r>
    </w:p>
    <w:p>
      <w:pPr>
        <w:spacing w:after="0" w:line="180" w:lineRule="exact"/>
        <w:rPr>
          <w:sz w:val="20"/>
          <w:szCs w:val="20"/>
          <w:color w:val="auto"/>
        </w:rPr>
      </w:pPr>
    </w:p>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the occurrence 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Capital Market Issuance;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Disposal,</w:t>
      </w:r>
    </w:p>
    <w:p>
      <w:pPr>
        <w:spacing w:after="0" w:line="225" w:lineRule="exact"/>
        <w:rPr>
          <w:sz w:val="20"/>
          <w:szCs w:val="20"/>
          <w:color w:val="auto"/>
        </w:rPr>
      </w:pPr>
    </w:p>
    <w:p>
      <w:pPr>
        <w:ind w:left="1300" w:right="440"/>
        <w:spacing w:after="0" w:line="308" w:lineRule="auto"/>
        <w:rPr>
          <w:sz w:val="20"/>
          <w:szCs w:val="20"/>
          <w:color w:val="auto"/>
        </w:rPr>
      </w:pPr>
      <w:r>
        <w:rPr>
          <w:rFonts w:ascii="Arial" w:cs="Arial" w:eastAsia="Arial" w:hAnsi="Arial"/>
          <w:sz w:val="17"/>
          <w:szCs w:val="17"/>
          <w:color w:val="auto"/>
        </w:rPr>
        <w:t>the Borrower shall prepay the Loan and all other amounts accrued under the Finance Documents and cancel Total Commitments in an amount equal to the amount of Capital Market Issuance Proceeds or the Disposal Proceeds (as applicable).</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De-listing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steps are taken by the Borrower to cause its shares to cease to be listed, traded or publicly quoted on the NYSE;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NYSE announces that the Borrower’s shares cease (or will cease) to be listed, traded or publicly quoted on the NYSE; or</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Borrower’s shares cease to be listed, traded or publicly quoted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in each case, for the avoidance of doubt, a suspension of or limitation on trading alone) in each case:</w:t>
      </w:r>
    </w:p>
    <w:p>
      <w:pPr>
        <w:spacing w:after="0" w:line="225" w:lineRule="exact"/>
        <w:rPr>
          <w:sz w:val="20"/>
          <w:szCs w:val="20"/>
          <w:color w:val="auto"/>
        </w:rPr>
      </w:pPr>
    </w:p>
    <w:p>
      <w:pPr>
        <w:ind w:left="1980" w:hanging="675"/>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Lender shall not be obliged to fund a Utilisation;</w:t>
      </w:r>
    </w:p>
    <w:p>
      <w:pPr>
        <w:spacing w:after="0" w:line="225" w:lineRule="exact"/>
        <w:rPr>
          <w:rFonts w:ascii="Arial" w:cs="Arial" w:eastAsia="Arial" w:hAnsi="Arial"/>
          <w:sz w:val="18"/>
          <w:szCs w:val="18"/>
          <w:color w:val="auto"/>
        </w:rPr>
      </w:pPr>
    </w:p>
    <w:p>
      <w:pPr>
        <w:ind w:left="1960" w:right="280" w:hanging="655"/>
        <w:spacing w:after="0" w:line="302" w:lineRule="auto"/>
        <w:tabs>
          <w:tab w:leader="none" w:pos="1964"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 Lender so requires, the Agent shall, by not less than 10 days’ notice cancel the Commitment of that Lender and declare the participation of that Lender in the Loan, together with accrued interest, and all other amounts accrued under the Finance Documents in relation to that Lender’s participation immediately due and payable, where upon the Commitment of that Lender will be cancelled and all such outstanding amounts under the Loan will become immediately due and payable; and</w:t>
      </w:r>
    </w:p>
    <w:p>
      <w:pPr>
        <w:sectPr>
          <w:pgSz w:w="11900" w:h="16838" w:orient="portrait"/>
          <w:cols w:equalWidth="0" w:num="1">
            <w:col w:w="11380"/>
          </w:cols>
          <w:pgMar w:left="240" w:top="341" w:right="279" w:bottom="0" w:gutter="0" w:footer="0" w:header="0"/>
        </w:sectPr>
      </w:pPr>
    </w:p>
    <w:bookmarkStart w:id="19" w:name="page20"/>
    <w:bookmarkEnd w:id="19"/>
    <w:p>
      <w:pPr>
        <w:ind w:left="1960" w:hanging="655"/>
        <w:spacing w:after="0" w:line="259" w:lineRule="auto"/>
        <w:tabs>
          <w:tab w:leader="none" w:pos="19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Majority Lenders so require, the Agent shall, by not less than 10 days’ notice to the Borrower, cancel the Total Commitments and declare all outstanding Loan, together with accrued interest, and all other amounts accrued under the Finance Documents immediately due and payable, whereupon the Total Commitments will be cancelled and all such outstanding Loan and amounts will become immediately due and payable.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color w:val="auto"/>
        </w:rPr>
        <w:t>Stock suspension</w:t>
      </w:r>
    </w:p>
    <w:p>
      <w:pPr>
        <w:spacing w:after="0" w:line="229"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If any suspension of or limitation is imposed on the trading of the Borrower’s shares for a period of 10 or more consecutive scheduled trading days, the Borrower must notify the Lenders promptly and unless in the opinion of the Majority Lenders such suspension or limitation is solely caused by administrative or technical reasons in the system of the NYSE:</w:t>
      </w:r>
    </w:p>
    <w:p>
      <w:pPr>
        <w:spacing w:after="0" w:line="181"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Lender shall not be obliged to fund a Utilisation;</w:t>
      </w:r>
    </w:p>
    <w:p>
      <w:pPr>
        <w:spacing w:after="0" w:line="225" w:lineRule="exact"/>
        <w:rPr>
          <w:rFonts w:ascii="Arial" w:cs="Arial" w:eastAsia="Arial" w:hAnsi="Arial"/>
          <w:sz w:val="18"/>
          <w:szCs w:val="18"/>
          <w:color w:val="auto"/>
        </w:rPr>
      </w:pPr>
    </w:p>
    <w:p>
      <w:pPr>
        <w:ind w:left="1300" w:right="40" w:hanging="644"/>
        <w:spacing w:after="0" w:line="259"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Lender so requires, the Agent shall, by not less than 10 days’ notice cancel the Commitment of that Lender and declare the participation of that Lender in the Loan, together with accrued interest, and all other amounts accrued under the Finance Documents in relation to that Lender’s participation immediately due and payable, whereupon the Commitment of that Lender will be cancelled and all such outstanding amounts under the Loan will become immediately due and payable; and</w:t>
      </w:r>
    </w:p>
    <w:p>
      <w:pPr>
        <w:spacing w:after="0" w:line="186" w:lineRule="exact"/>
        <w:rPr>
          <w:rFonts w:ascii="Arial" w:cs="Arial" w:eastAsia="Arial" w:hAnsi="Arial"/>
          <w:sz w:val="18"/>
          <w:szCs w:val="18"/>
          <w:color w:val="auto"/>
        </w:rPr>
      </w:pPr>
    </w:p>
    <w:p>
      <w:pPr>
        <w:ind w:left="1300" w:right="20" w:hanging="644"/>
        <w:spacing w:after="0" w:line="259" w:lineRule="auto"/>
        <w:tabs>
          <w:tab w:leader="none" w:pos="13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Majority Lenders so require, the Agent shall, by not less than 10 days’ notice to the Borrower, cancel the Total Commitments and declare all outstanding Loan, together with accrued interest, and all other amounts accrued under the Finance Documents immediately due and payable, whereupon the Total Commitments will be cancelled and all such outstanding Loan and amounts will become immediately due and payable.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Credit rating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Borrower’ long-term corporate credit rating /foreign currency long-term issuer default rating/issuer rating (as applicable) ceases to be rated by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Fitch and/or Moody’s or is downgraded by:</w:t>
      </w:r>
    </w:p>
    <w:p>
      <w:pPr>
        <w:spacing w:after="0" w:line="211"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S&amp;P to below BBB-;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Fitch to below BBB-; or</w:t>
      </w:r>
    </w:p>
    <w:p>
      <w:pPr>
        <w:spacing w:after="0" w:line="225" w:lineRule="exact"/>
        <w:rPr>
          <w:rFonts w:ascii="Arial" w:cs="Arial" w:eastAsia="Arial" w:hAnsi="Arial"/>
          <w:sz w:val="18"/>
          <w:szCs w:val="18"/>
          <w:color w:val="auto"/>
        </w:rPr>
      </w:pPr>
    </w:p>
    <w:p>
      <w:pPr>
        <w:ind w:left="660" w:right="8340" w:hanging="4"/>
        <w:spacing w:after="0" w:line="501" w:lineRule="auto"/>
        <w:tabs>
          <w:tab w:leader="none" w:pos="13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Moody’s to below Baa3, in each case,</w:t>
      </w:r>
    </w:p>
    <w:p>
      <w:pPr>
        <w:ind w:left="1980" w:hanging="675"/>
        <w:spacing w:after="0"/>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Lender shall not be obliged to fund a Utilisation;</w:t>
      </w:r>
    </w:p>
    <w:p>
      <w:pPr>
        <w:spacing w:after="0" w:line="225" w:lineRule="exact"/>
        <w:rPr>
          <w:rFonts w:ascii="Arial" w:cs="Arial" w:eastAsia="Arial" w:hAnsi="Arial"/>
          <w:sz w:val="18"/>
          <w:szCs w:val="18"/>
          <w:color w:val="auto"/>
        </w:rPr>
      </w:pPr>
    </w:p>
    <w:p>
      <w:pPr>
        <w:ind w:left="1960" w:right="40" w:hanging="655"/>
        <w:spacing w:after="0" w:line="279" w:lineRule="auto"/>
        <w:tabs>
          <w:tab w:leader="none" w:pos="1964"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a Lender so requires, the Agent shall, by not less than 10 days’ notice cancel the Commitment of that Lender and declare the participation of that Lender in the Loan, together with accrued interest, and all other amounts accrued under the Finance Documents in relation to that Lender’s participation immediately due and payable, whereupon the Commitment of that Lender will be cancelled and all such outstanding amounts under the Loan will become immediately due and payable; and</w:t>
      </w:r>
    </w:p>
    <w:p>
      <w:pPr>
        <w:spacing w:after="0" w:line="171" w:lineRule="exact"/>
        <w:rPr>
          <w:rFonts w:ascii="Arial" w:cs="Arial" w:eastAsia="Arial" w:hAnsi="Arial"/>
          <w:sz w:val="17"/>
          <w:szCs w:val="17"/>
          <w:color w:val="auto"/>
        </w:rPr>
      </w:pPr>
    </w:p>
    <w:p>
      <w:pPr>
        <w:ind w:left="1960" w:hanging="655"/>
        <w:spacing w:after="0" w:line="259" w:lineRule="auto"/>
        <w:tabs>
          <w:tab w:leader="none" w:pos="1977"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the Majority Lenders so require, the Agent shall, by not less than 10 days’ notice to the Borrower, cancel the Total Commitments and declare all outstanding Loan, together with accrued interest, and all other amounts accrued under the Finance Documents immediately due and payable, whereupon the Total Commitments will be cancelled and all such outstanding Loan and amounts will become immediately due and payable.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Voluntary cancellation</w:t>
      </w:r>
    </w:p>
    <w:p>
      <w:pPr>
        <w:spacing w:after="0" w:line="229"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The Borrower may, if it gives the Agent not less than 5 Business Days’ (or such shorter period as the Majority Lenders may agree) prior notice, cancel the whole or any part (being a minimum amount of US$50,000,000) of the Facility. Any cancellation under this Clause 7.7 shall reduce the Commitments of the Lenders rateably.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Voluntary prepayment of Loans</w:t>
      </w:r>
    </w:p>
    <w:p>
      <w:pPr>
        <w:spacing w:after="0" w:line="229" w:lineRule="exact"/>
        <w:rPr>
          <w:sz w:val="20"/>
          <w:szCs w:val="20"/>
          <w:color w:val="auto"/>
        </w:rPr>
      </w:pPr>
    </w:p>
    <w:p>
      <w:pPr>
        <w:ind w:left="1300" w:hanging="644"/>
        <w:spacing w:after="0" w:line="264" w:lineRule="auto"/>
        <w:tabs>
          <w:tab w:leader="none" w:pos="12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Borrower may, if it gives the Agent not less than 5 Business Days’ (or such shorter period as the Majority Lenders may agree) prior notice, prepay the whole or any part of any Loan (but, if in part, being the lower of the amount outstanding under the Facility and an amount that reduces the amount of the Loan by a minimum amount of US$50,000,000).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Loan may only be prepaid after the last day of the Availability Period (or, if earlier, the day on which the Commitments are zero).</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prepayment under this Clause 7.8 shall be applied rateably among the participations of all Lenders.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color w:val="auto"/>
        </w:rPr>
        <w:t>Right of prepayment and cancellation in relation to a single Lender</w:t>
      </w:r>
    </w:p>
    <w:p>
      <w:pPr>
        <w:sectPr>
          <w:pgSz w:w="11900" w:h="16838" w:orient="portrait"/>
          <w:cols w:equalWidth="0" w:num="1">
            <w:col w:w="11420"/>
          </w:cols>
          <w:pgMar w:left="240" w:top="125" w:right="239" w:bottom="0" w:gutter="0" w:footer="0" w:header="0"/>
        </w:sectPr>
      </w:pPr>
    </w:p>
    <w:bookmarkStart w:id="20" w:name="page21"/>
    <w:bookmarkEnd w:id="20"/>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sum payable to any Lender by an Obligor is required to be increased under paragraph (a) of Clause 12.2 (</w:t>
      </w:r>
      <w:r>
        <w:rPr>
          <w:rFonts w:ascii="Arial" w:cs="Arial" w:eastAsia="Arial" w:hAnsi="Arial"/>
          <w:sz w:val="16"/>
          <w:szCs w:val="16"/>
          <w:i w:val="1"/>
          <w:iCs w:val="1"/>
          <w:color w:val="auto"/>
        </w:rPr>
        <w:t>Tax gross-up</w:t>
      </w:r>
      <w:r>
        <w:rPr>
          <w:rFonts w:ascii="Arial" w:cs="Arial" w:eastAsia="Arial" w:hAnsi="Arial"/>
          <w:sz w:val="16"/>
          <w:szCs w:val="16"/>
          <w:color w:val="auto"/>
        </w:rPr>
        <w:t>); or</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37" w:lineRule="exact"/>
        <w:rPr>
          <w:sz w:val="20"/>
          <w:szCs w:val="20"/>
          <w:color w:val="auto"/>
        </w:rPr>
      </w:pPr>
    </w:p>
    <w:p>
      <w:pPr>
        <w:jc w:val="both"/>
        <w:ind w:left="1300" w:right="280"/>
        <w:spacing w:after="0" w:line="286" w:lineRule="auto"/>
        <w:rPr>
          <w:sz w:val="20"/>
          <w:szCs w:val="20"/>
          <w:color w:val="auto"/>
        </w:rPr>
      </w:pPr>
      <w:r>
        <w:rPr>
          <w:rFonts w:ascii="Arial" w:cs="Arial" w:eastAsia="Arial" w:hAnsi="Arial"/>
          <w:sz w:val="17"/>
          <w:szCs w:val="17"/>
          <w:color w:val="auto"/>
        </w:rPr>
        <w:t>the Borrower may, whilst the circumstance giving rise to the requirement for that increase or indemnification continues, give the Agent notice of cancellation of the Commitment of that Lender and its intention to procure the prepayment of that Lender’s participation in the Loan or give the Agent notice of its intention to replace that Lender in accordance with paragraph (d) below.</w:t>
      </w:r>
    </w:p>
    <w:p>
      <w:pPr>
        <w:spacing w:after="0" w:line="166" w:lineRule="exact"/>
        <w:rPr>
          <w:sz w:val="20"/>
          <w:szCs w:val="20"/>
          <w:color w:val="auto"/>
        </w:rPr>
      </w:pPr>
    </w:p>
    <w:p>
      <w:pPr>
        <w:ind w:left="1300" w:right="240" w:hanging="644"/>
        <w:spacing w:after="0" w:line="277" w:lineRule="auto"/>
        <w:tabs>
          <w:tab w:leader="none" w:pos="13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Commitment of that Lender shall immediately be reduced to zero.</w:t>
      </w:r>
    </w:p>
    <w:p>
      <w:pPr>
        <w:spacing w:after="0" w:line="170" w:lineRule="exact"/>
        <w:rPr>
          <w:rFonts w:ascii="Arial" w:cs="Arial" w:eastAsia="Arial" w:hAnsi="Arial"/>
          <w:sz w:val="18"/>
          <w:szCs w:val="18"/>
          <w:color w:val="auto"/>
        </w:rPr>
      </w:pPr>
    </w:p>
    <w:p>
      <w:pPr>
        <w:ind w:left="1300" w:right="380" w:hanging="644"/>
        <w:spacing w:after="0" w:line="308" w:lineRule="auto"/>
        <w:tabs>
          <w:tab w:leader="none" w:pos="131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has given notice of cancellation under paragraph (a) above (or, if earlier, the date specified by the Borrower in that notice), the Borrower shall prepay that Lender’s participation in the Loan.</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of the circumstances set out in paragraph (a) above apply to a Lender;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Borrower becomes obliged to pay any amount in accordance with Clause 7.1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w:t>
      </w:r>
    </w:p>
    <w:p>
      <w:pPr>
        <w:spacing w:after="0" w:line="225" w:lineRule="exact"/>
        <w:rPr>
          <w:sz w:val="20"/>
          <w:szCs w:val="20"/>
          <w:color w:val="auto"/>
        </w:rPr>
      </w:pPr>
    </w:p>
    <w:p>
      <w:pPr>
        <w:ind w:left="1300"/>
        <w:spacing w:after="0" w:line="254" w:lineRule="auto"/>
        <w:rPr>
          <w:sz w:val="20"/>
          <w:szCs w:val="20"/>
          <w:color w:val="auto"/>
        </w:rPr>
      </w:pPr>
      <w:r>
        <w:rPr>
          <w:rFonts w:ascii="Arial" w:cs="Arial" w:eastAsia="Arial" w:hAnsi="Arial"/>
          <w:sz w:val="18"/>
          <w:szCs w:val="18"/>
          <w:color w:val="auto"/>
        </w:rPr>
        <w:t>the Borrower may, on five Business Days’ prior notice to the Agent and that Lender, replace that Lender by requiring that Lender to (and, to the extent permitted by law, that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the Finance Documents to a Lender or other bank, financial institution, trust, fund or other entity selected by the Borrower which confirms its willingness to assume and does assume all the obligations of the transferring Lender in accordance with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transfer in an amount equal to the outstanding principal amount of such Lender’s participation in the outstanding Loans and all accrued interest (to the extent that the Agent has not given a notification under Clause 24.13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Break Costs and other amounts payable in relation thereto under the Finance Documents.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replacement of a Lender pursuant to paragraph (d) above shall be subject to the following conditions: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2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(d) above be required to pay or surrender any of the fees received by such Lender pursuant to the Finance Documents; and</w:t>
      </w:r>
    </w:p>
    <w:p>
      <w:pPr>
        <w:spacing w:after="0" w:line="170" w:lineRule="exact"/>
        <w:rPr>
          <w:rFonts w:ascii="Arial" w:cs="Arial" w:eastAsia="Arial" w:hAnsi="Arial"/>
          <w:sz w:val="18"/>
          <w:szCs w:val="18"/>
          <w:color w:val="auto"/>
        </w:rPr>
      </w:pPr>
    </w:p>
    <w:p>
      <w:pPr>
        <w:ind w:left="1960" w:right="260" w:hanging="655"/>
        <w:spacing w:after="0" w:line="264" w:lineRule="auto"/>
        <w:tabs>
          <w:tab w:leader="none" w:pos="19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 Lender shall be obliged to execute a Transfer Certificate unless it is satisfied that it has completed all “know your customer” and other similar procedures that it is required (or deems desirable) to conduct in relation to the transfer to such replacement Lender.</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Lender shall perform the procedures described in paragraph (e)(iv) above as soon as reasonably practicable following delivery of a notice referred to in paragraph (d) above and shall notify the Agent and the Borrower when it is satisfied that it has completed those checks.</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color w:val="auto"/>
        </w:rPr>
        <w:t>Right of cancellation in relation to a Defaulting Lender</w:t>
      </w:r>
    </w:p>
    <w:p>
      <w:pPr>
        <w:spacing w:after="0" w:line="229" w:lineRule="exact"/>
        <w:rPr>
          <w:sz w:val="20"/>
          <w:szCs w:val="20"/>
          <w:color w:val="auto"/>
        </w:rPr>
      </w:pPr>
    </w:p>
    <w:p>
      <w:pPr>
        <w:ind w:left="1300" w:right="80" w:hanging="644"/>
        <w:spacing w:after="0" w:line="277" w:lineRule="auto"/>
        <w:tabs>
          <w:tab w:leader="none" w:pos="12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 may, at any time whilst the Lender continues to be a Defaulting Lender, give the Agent two Business Days’ notice of cancellation of the Commitment of that Lender.</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the Commitment of the Defaulting Lender shall immediately be reduced to zero.</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Agent shall as soon as practicable after receipt of a notice referred to in paragraph (a) above, notify all the Lenders.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color w:val="auto"/>
        </w:rPr>
        <w:t>Restrictions</w:t>
      </w:r>
    </w:p>
    <w:p>
      <w:pPr>
        <w:spacing w:after="0" w:line="229" w:lineRule="exact"/>
        <w:rPr>
          <w:sz w:val="20"/>
          <w:szCs w:val="20"/>
          <w:color w:val="auto"/>
        </w:rPr>
      </w:pPr>
    </w:p>
    <w:p>
      <w:pPr>
        <w:ind w:left="1300" w:right="60" w:hanging="644"/>
        <w:spacing w:after="0" w:line="264" w:lineRule="auto"/>
        <w:tabs>
          <w:tab w:leader="none" w:pos="12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21" w:name="page22"/>
    <w:bookmarkEnd w:id="21"/>
    <w:p>
      <w:pPr>
        <w:spacing w:after="0" w:line="90" w:lineRule="exact"/>
        <w:rPr>
          <w:sz w:val="20"/>
          <w:szCs w:val="20"/>
          <w:color w:val="auto"/>
        </w:rPr>
      </w:pPr>
    </w:p>
    <w:p>
      <w:pPr>
        <w:ind w:left="1300" w:right="160" w:hanging="644"/>
        <w:spacing w:after="0" w:line="277" w:lineRule="auto"/>
        <w:tabs>
          <w:tab w:leader="none" w:pos="13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 except at the times and in the manner expressly provided for in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affected Lender, as appropriate.</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2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b w:val="1"/>
          <w:bCs w:val="1"/>
          <w:color w:val="auto"/>
        </w:rPr>
        <w:t>Application of prepayments</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Any prepayment of the Loan (other than a prepayment pursuant to Clause 7.1 (</w:t>
      </w:r>
      <w:r>
        <w:rPr>
          <w:rFonts w:ascii="Arial" w:cs="Arial" w:eastAsia="Arial" w:hAnsi="Arial"/>
          <w:sz w:val="18"/>
          <w:szCs w:val="18"/>
          <w:i w:val="1"/>
          <w:iCs w:val="1"/>
          <w:color w:val="auto"/>
        </w:rPr>
        <w:t>Illegality</w:t>
      </w:r>
      <w:r>
        <w:rPr>
          <w:rFonts w:ascii="Arial" w:cs="Arial" w:eastAsia="Arial" w:hAnsi="Arial"/>
          <w:sz w:val="18"/>
          <w:szCs w:val="18"/>
          <w:color w:val="auto"/>
        </w:rPr>
        <w:t>), paragraph (b)(iii) of Clause 7.2 (</w:t>
      </w:r>
      <w:r>
        <w:rPr>
          <w:rFonts w:ascii="Arial" w:cs="Arial" w:eastAsia="Arial" w:hAnsi="Arial"/>
          <w:sz w:val="18"/>
          <w:szCs w:val="18"/>
          <w:i w:val="1"/>
          <w:iCs w:val="1"/>
          <w:color w:val="auto"/>
        </w:rPr>
        <w:t>Change of control</w:t>
      </w:r>
      <w:r>
        <w:rPr>
          <w:rFonts w:ascii="Arial" w:cs="Arial" w:eastAsia="Arial" w:hAnsi="Arial"/>
          <w:sz w:val="18"/>
          <w:szCs w:val="18"/>
          <w:color w:val="auto"/>
        </w:rPr>
        <w:t>), paragraph (c)(iii) of Clause 7.4 (</w:t>
      </w:r>
      <w:r>
        <w:rPr>
          <w:rFonts w:ascii="Arial" w:cs="Arial" w:eastAsia="Arial" w:hAnsi="Arial"/>
          <w:sz w:val="18"/>
          <w:szCs w:val="18"/>
          <w:i w:val="1"/>
          <w:iCs w:val="1"/>
          <w:color w:val="auto"/>
        </w:rPr>
        <w:t>De-listing</w:t>
      </w:r>
      <w:r>
        <w:rPr>
          <w:rFonts w:ascii="Arial" w:cs="Arial" w:eastAsia="Arial" w:hAnsi="Arial"/>
          <w:sz w:val="18"/>
          <w:szCs w:val="18"/>
          <w:color w:val="auto"/>
        </w:rPr>
        <w:t>), paragraph (b) of Clause 7.5 (</w:t>
      </w:r>
      <w:r>
        <w:rPr>
          <w:rFonts w:ascii="Arial" w:cs="Arial" w:eastAsia="Arial" w:hAnsi="Arial"/>
          <w:sz w:val="18"/>
          <w:szCs w:val="18"/>
          <w:i w:val="1"/>
          <w:iCs w:val="1"/>
          <w:color w:val="auto"/>
        </w:rPr>
        <w:t>Stock suspension</w:t>
      </w:r>
      <w:r>
        <w:rPr>
          <w:rFonts w:ascii="Arial" w:cs="Arial" w:eastAsia="Arial" w:hAnsi="Arial"/>
          <w:sz w:val="18"/>
          <w:szCs w:val="18"/>
          <w:color w:val="auto"/>
        </w:rPr>
        <w:t>), paragraph (iii) of Clause 7.6 (</w:t>
      </w:r>
      <w:r>
        <w:rPr>
          <w:rFonts w:ascii="Arial" w:cs="Arial" w:eastAsia="Arial" w:hAnsi="Arial"/>
          <w:sz w:val="18"/>
          <w:szCs w:val="18"/>
          <w:i w:val="1"/>
          <w:iCs w:val="1"/>
          <w:color w:val="auto"/>
        </w:rPr>
        <w:t>Credit rating</w:t>
      </w:r>
      <w:r>
        <w:rPr>
          <w:rFonts w:ascii="Arial" w:cs="Arial" w:eastAsia="Arial" w:hAnsi="Arial"/>
          <w:sz w:val="18"/>
          <w:szCs w:val="18"/>
          <w:color w:val="auto"/>
        </w:rPr>
        <w:t>), Clause 7.9 (</w:t>
      </w:r>
      <w:r>
        <w:rPr>
          <w:rFonts w:ascii="Arial" w:cs="Arial" w:eastAsia="Arial" w:hAnsi="Arial"/>
          <w:sz w:val="18"/>
          <w:szCs w:val="18"/>
          <w:i w:val="1"/>
          <w:iCs w:val="1"/>
          <w:color w:val="auto"/>
        </w:rPr>
        <w:t>Right of prepayment and cancellation in relation to a single Lender</w:t>
      </w:r>
      <w:r>
        <w:rPr>
          <w:rFonts w:ascii="Arial" w:cs="Arial" w:eastAsia="Arial" w:hAnsi="Arial"/>
          <w:sz w:val="18"/>
          <w:szCs w:val="18"/>
          <w:color w:val="auto"/>
        </w:rPr>
        <w:t>) and Clause 7.10 (</w:t>
      </w:r>
      <w:r>
        <w:rPr>
          <w:rFonts w:ascii="Arial" w:cs="Arial" w:eastAsia="Arial" w:hAnsi="Arial"/>
          <w:sz w:val="18"/>
          <w:szCs w:val="18"/>
          <w:i w:val="1"/>
          <w:iCs w:val="1"/>
          <w:color w:val="auto"/>
        </w:rPr>
        <w:t>Right of cancellation in relation to a Defaulting Lender</w:t>
      </w:r>
      <w:r>
        <w:rPr>
          <w:rFonts w:ascii="Arial" w:cs="Arial" w:eastAsia="Arial" w:hAnsi="Arial"/>
          <w:sz w:val="18"/>
          <w:szCs w:val="18"/>
          <w:color w:val="auto"/>
        </w:rPr>
        <w:t xml:space="preserve">) shall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each Lender’s participation in the Loan.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COSTS OF UTILISATION</w:t>
      </w:r>
    </w:p>
    <w:p>
      <w:pPr>
        <w:spacing w:after="0" w:line="20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rate of interest on the Loan for each Interest Period is the percentage rate per annum which is the aggregate of the applicable:</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LIBOR.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Payment of interest</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Borrower shall pay accrued interest on the Loan on the last day of each Interest Period (and, if the Interest Period is longer than six Months, on the dates falling at six-monthly intervals after the first day of the Interest Period).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Default interest</w:t>
      </w:r>
    </w:p>
    <w:p>
      <w:pPr>
        <w:spacing w:after="0" w:line="229" w:lineRule="exact"/>
        <w:rPr>
          <w:sz w:val="20"/>
          <w:szCs w:val="20"/>
          <w:color w:val="auto"/>
        </w:rPr>
      </w:pPr>
    </w:p>
    <w:p>
      <w:pPr>
        <w:ind w:left="1300" w:right="20" w:hanging="644"/>
        <w:spacing w:after="0" w:line="297" w:lineRule="auto"/>
        <w:tabs>
          <w:tab w:leader="none" w:pos="129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an Obligor fails to pay any amount payable by it under a Finance Document on its due date, interest shall accrue on the Unpaid Sum from the due date to the date of actual payment (both before and after judgment) at a rate which is, subject to paragraph (b) below, 2 per cent. per annum higher than the rate which would have been payable if the Unpaid Sum had, during the period of non-payment, constituted the Loan in the currency of the Unpaid Sum for successive Interest Periods, each of a duration selected by the Agent (acting reasonably). Any interest accruing under this Clause 8.3 shall be immediately payable by the Obligor on demand by the Agent.</w:t>
      </w:r>
    </w:p>
    <w:p>
      <w:pPr>
        <w:spacing w:after="0" w:line="158" w:lineRule="exact"/>
        <w:rPr>
          <w:rFonts w:ascii="Arial" w:cs="Arial" w:eastAsia="Arial" w:hAnsi="Arial"/>
          <w:sz w:val="16"/>
          <w:szCs w:val="16"/>
          <w:color w:val="auto"/>
        </w:rPr>
      </w:pPr>
    </w:p>
    <w:p>
      <w:pPr>
        <w:ind w:left="1300" w:hanging="644"/>
        <w:spacing w:after="0" w:line="277" w:lineRule="auto"/>
        <w:tabs>
          <w:tab w:leader="none" w:pos="13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Unpaid Sum consists of all or part of the Loan which became due on a day which was not the last day of an Interest Period relating to the Loan:</w:t>
      </w:r>
    </w:p>
    <w:p>
      <w:pPr>
        <w:spacing w:after="0" w:line="170" w:lineRule="exact"/>
        <w:rPr>
          <w:rFonts w:ascii="Arial" w:cs="Arial" w:eastAsia="Arial" w:hAnsi="Arial"/>
          <w:sz w:val="18"/>
          <w:szCs w:val="18"/>
          <w:color w:val="auto"/>
        </w:rPr>
      </w:pPr>
    </w:p>
    <w:p>
      <w:pPr>
        <w:ind w:left="1960" w:right="380" w:hanging="655"/>
        <w:spacing w:after="0" w:line="277" w:lineRule="auto"/>
        <w:tabs>
          <w:tab w:leader="none" w:pos="1981"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the Loan; and</w:t>
      </w:r>
    </w:p>
    <w:p>
      <w:pPr>
        <w:spacing w:after="0" w:line="170" w:lineRule="exact"/>
        <w:rPr>
          <w:rFonts w:ascii="Arial" w:cs="Arial" w:eastAsia="Arial" w:hAnsi="Arial"/>
          <w:sz w:val="18"/>
          <w:szCs w:val="18"/>
          <w:color w:val="auto"/>
        </w:rPr>
      </w:pPr>
    </w:p>
    <w:p>
      <w:pPr>
        <w:ind w:left="1960" w:right="120" w:hanging="655"/>
        <w:spacing w:after="0" w:line="277" w:lineRule="auto"/>
        <w:tabs>
          <w:tab w:leader="none" w:pos="1991"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cent. per annum higher than the rate which would have applied if the Unpaid Sum had not become due.</w:t>
      </w:r>
    </w:p>
    <w:p>
      <w:pPr>
        <w:spacing w:after="0" w:line="170" w:lineRule="exact"/>
        <w:rPr>
          <w:rFonts w:ascii="Arial" w:cs="Arial" w:eastAsia="Arial" w:hAnsi="Arial"/>
          <w:sz w:val="18"/>
          <w:szCs w:val="18"/>
          <w:color w:val="auto"/>
        </w:rPr>
      </w:pPr>
    </w:p>
    <w:p>
      <w:pPr>
        <w:ind w:left="1300" w:right="720" w:hanging="644"/>
        <w:spacing w:after="0" w:line="277" w:lineRule="auto"/>
        <w:tabs>
          <w:tab w:leader="none" w:pos="13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Default interest (if unpaid) arising on an Unpaid Sum will be compounded with the Unpaid Sum at the end of each Interest Period applicable to that Unpaid Sum but will remain immediately due and payable.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229" w:lineRule="exact"/>
        <w:rPr>
          <w:sz w:val="20"/>
          <w:szCs w:val="20"/>
          <w:color w:val="auto"/>
        </w:rPr>
      </w:pPr>
    </w:p>
    <w:p>
      <w:pPr>
        <w:jc w:val="center"/>
        <w:ind w:left="5620" w:right="1020" w:hanging="4964"/>
        <w:spacing w:after="0" w:line="528" w:lineRule="auto"/>
        <w:tabs>
          <w:tab w:leader="none" w:pos="12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Borrower of the determination of a rate of interest under this Agreement. 32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20" w:hanging="664"/>
        <w:spacing w:after="0"/>
        <w:tabs>
          <w:tab w:leader="none" w:pos="1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Agent shall promptly notify the Borrower of each Funding Rate relating to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229" w:lineRule="exact"/>
        <w:rPr>
          <w:sz w:val="20"/>
          <w:szCs w:val="20"/>
          <w:color w:val="auto"/>
        </w:rPr>
      </w:pPr>
    </w:p>
    <w:p>
      <w:pPr>
        <w:ind w:left="1300" w:right="160" w:hanging="644"/>
        <w:spacing w:after="0" w:line="277" w:lineRule="auto"/>
        <w:tabs>
          <w:tab w:leader="none" w:pos="1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other provisions of this Clause, each Interest Period for the Loan will be three Months (unless the Borrower and all the Lenders agree otherwise).</w:t>
      </w:r>
    </w:p>
    <w:p>
      <w:pPr>
        <w:sectPr>
          <w:pgSz w:w="11900" w:h="16929" w:orient="portrait"/>
          <w:cols w:equalWidth="0" w:num="1">
            <w:col w:w="11400"/>
          </w:cols>
          <w:pgMar w:left="240" w:top="125" w:right="259" w:bottom="0" w:gutter="0" w:footer="0" w:header="0"/>
        </w:sectPr>
      </w:pPr>
    </w:p>
    <w:bookmarkStart w:id="22" w:name="page23"/>
    <w:bookmarkEnd w:id="22"/>
    <w:p>
      <w:pPr>
        <w:ind w:left="1320" w:hanging="664"/>
        <w:spacing w:after="0"/>
        <w:tabs>
          <w:tab w:leader="none" w:pos="1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Interest Period for the Loan will start on the Utilisation Date or (if already made) on the last day of the preceding Interest Period.</w:t>
      </w:r>
    </w:p>
    <w:p>
      <w:pPr>
        <w:spacing w:after="0" w:line="2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9.2</w:t>
      </w:r>
      <w:r>
        <w:rPr>
          <w:rFonts w:ascii="Arial" w:cs="Arial" w:eastAsia="Arial" w:hAnsi="Arial"/>
          <w:sz w:val="15"/>
          <w:szCs w:val="15"/>
          <w:b w:val="1"/>
          <w:bCs w:val="1"/>
          <w:color w:val="auto"/>
        </w:rPr>
        <w:t>Non-Business Days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No overrunning of the Final Repayment 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Interest Period would otherwise overrun the Final Repayment Date, it will be shortened so that it ends on the Final Repayment Date.</w:t>
      </w:r>
    </w:p>
    <w:p>
      <w:pPr>
        <w:spacing w:after="0" w:line="233"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Unavailability of Screen Rate</w:t>
      </w:r>
    </w:p>
    <w:p>
      <w:pPr>
        <w:spacing w:after="0" w:line="229" w:lineRule="exact"/>
        <w:rPr>
          <w:sz w:val="20"/>
          <w:szCs w:val="20"/>
          <w:color w:val="auto"/>
        </w:rPr>
      </w:pPr>
    </w:p>
    <w:p>
      <w:pPr>
        <w:ind w:left="1300" w:right="180" w:hanging="644"/>
        <w:spacing w:after="0" w:line="277" w:lineRule="auto"/>
        <w:tabs>
          <w:tab w:leader="none" w:pos="1297"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Interpolated Screen Rate: </w:t>
      </w:r>
      <w:r>
        <w:rPr>
          <w:rFonts w:ascii="Arial" w:cs="Arial" w:eastAsia="Arial" w:hAnsi="Arial"/>
          <w:sz w:val="18"/>
          <w:szCs w:val="18"/>
          <w:color w:val="auto"/>
        </w:rPr>
        <w:t>If no Screen Rate is available for LIBOR for an Interest Period, the applicable LIBOR shall be the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Screen Rate for a period equal in length to 3 months.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Cost of funds: </w:t>
      </w:r>
      <w:r>
        <w:rPr>
          <w:rFonts w:ascii="Arial" w:cs="Arial" w:eastAsia="Arial" w:hAnsi="Arial"/>
          <w:sz w:val="18"/>
          <w:szCs w:val="18"/>
          <w:color w:val="auto"/>
        </w:rPr>
        <w:t>If no Screen Rate is available for LIBOR for: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US dollars;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Interest Period and it is not possible to calculate the Interpolated Screen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there shall be no LIBOR for the Loan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the Loan for that Interest Period.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If before 5 p.m. in Hong Kong on the Business Day immediately following the Quotation Day for the relevant Interest Period the Agent receives notifications from a Lender or Lenders (whose participations in the Loan exceed 30 per cent. of the Loan) that the cost to it of funding its participation in the Loan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the Loan for the relevant Interest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Cost of funds</w:t>
      </w:r>
    </w:p>
    <w:p>
      <w:pPr>
        <w:spacing w:after="0" w:line="229" w:lineRule="exact"/>
        <w:rPr>
          <w:sz w:val="20"/>
          <w:szCs w:val="20"/>
          <w:color w:val="auto"/>
        </w:rPr>
      </w:pPr>
    </w:p>
    <w:p>
      <w:pPr>
        <w:ind w:left="1300" w:right="460" w:hanging="644"/>
        <w:spacing w:after="0" w:line="277" w:lineRule="auto"/>
        <w:tabs>
          <w:tab w:leader="none" w:pos="12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relevant Loan for the relevant Interest Period shall be the percentage rate per annum which is the sum of:</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25" w:lineRule="exact"/>
        <w:rPr>
          <w:rFonts w:ascii="Arial" w:cs="Arial" w:eastAsia="Arial" w:hAnsi="Arial"/>
          <w:sz w:val="18"/>
          <w:szCs w:val="18"/>
          <w:color w:val="auto"/>
        </w:rPr>
      </w:pPr>
    </w:p>
    <w:p>
      <w:pPr>
        <w:ind w:left="1960" w:right="160" w:hanging="655"/>
        <w:spacing w:after="0" w:line="264" w:lineRule="auto"/>
        <w:tabs>
          <w:tab w:leader="none" w:pos="19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before interest is due to be paid in respect of that Interest Period, to be that which expresses as a percentage rate per annum the cost to the relevant Lender of funding its participation in the Loan from whatever source it may reasonably select.</w:t>
      </w:r>
    </w:p>
    <w:p>
      <w:pPr>
        <w:spacing w:after="0" w:line="181"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 so requires, the Agent and the Borrower shall enter into negotiations (for a period of not more than 30 days) with a view to agreeing a substitute basis for determining the rate of interest.</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Borrower, be binding on all Parties.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Break Costs</w:t>
      </w:r>
    </w:p>
    <w:p>
      <w:pPr>
        <w:spacing w:after="0" w:line="229" w:lineRule="exact"/>
        <w:rPr>
          <w:sz w:val="20"/>
          <w:szCs w:val="20"/>
          <w:color w:val="auto"/>
        </w:rPr>
      </w:pPr>
    </w:p>
    <w:p>
      <w:pPr>
        <w:ind w:left="1300" w:right="160" w:hanging="644"/>
        <w:spacing w:after="0" w:line="264" w:lineRule="auto"/>
        <w:tabs>
          <w:tab w:leader="none" w:pos="129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a Finance Party, pay to that Finance Party its Break Costs attributable to all or any part of the Loan or Unpaid Sum being paid by the Borrower on a day other than the last day of an Interest Period for the Loan or Unpaid Sum.</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6" w:lineRule="exact"/>
        <w:rPr>
          <w:rFonts w:ascii="Arial" w:cs="Arial" w:eastAsia="Arial" w:hAnsi="Arial"/>
          <w:sz w:val="18"/>
          <w:szCs w:val="18"/>
          <w:color w:val="auto"/>
        </w:rPr>
      </w:pPr>
    </w:p>
    <w:p>
      <w:pPr>
        <w:ind w:left="640" w:hanging="63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Upfront fee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shall pay to each Mandated Lead Arranger (for its own account) an upfront fee in the amount and at the times agreed in a Fee Letter.</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Agency fee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pay to the Agent (for its own account) an agency fee in the amount and at the times agreed in a Fee Letter.</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Drawdown fee</w:t>
      </w:r>
    </w:p>
    <w:p>
      <w:pPr>
        <w:sectPr>
          <w:pgSz w:w="11900" w:h="16838" w:orient="portrait"/>
          <w:cols w:equalWidth="0" w:num="1">
            <w:col w:w="11400"/>
          </w:cols>
          <w:pgMar w:left="240" w:top="341" w:right="259" w:bottom="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The Borrower shall pay to each Mandated Lead Arranger (for its own account) a drawdown fee in the amount and at the times agreed in a Fee Letter.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Fee netting</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Agent and each Mandated Lead Arranger (as applicable) may deduct the fees referred to in Clauses 11.2 (</w:t>
      </w:r>
      <w:r>
        <w:rPr>
          <w:rFonts w:ascii="Arial" w:cs="Arial" w:eastAsia="Arial" w:hAnsi="Arial"/>
          <w:sz w:val="18"/>
          <w:szCs w:val="18"/>
          <w:i w:val="1"/>
          <w:iCs w:val="1"/>
          <w:color w:val="auto"/>
        </w:rPr>
        <w:t>Agency fee</w:t>
      </w:r>
      <w:r>
        <w:rPr>
          <w:rFonts w:ascii="Arial" w:cs="Arial" w:eastAsia="Arial" w:hAnsi="Arial"/>
          <w:sz w:val="18"/>
          <w:szCs w:val="18"/>
          <w:color w:val="auto"/>
        </w:rPr>
        <w:t>) and 11.3 (</w:t>
      </w:r>
      <w:r>
        <w:rPr>
          <w:rFonts w:ascii="Arial" w:cs="Arial" w:eastAsia="Arial" w:hAnsi="Arial"/>
          <w:sz w:val="18"/>
          <w:szCs w:val="18"/>
          <w:i w:val="1"/>
          <w:iCs w:val="1"/>
          <w:color w:val="auto"/>
        </w:rPr>
        <w:t>Drawdown fee</w:t>
      </w:r>
      <w:r>
        <w:rPr>
          <w:rFonts w:ascii="Arial" w:cs="Arial" w:eastAsia="Arial" w:hAnsi="Arial"/>
          <w:sz w:val="18"/>
          <w:szCs w:val="18"/>
          <w:color w:val="auto"/>
        </w:rPr>
        <w:t>) above from the proceeds of the Utilisation.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PAYMENT OBLIGATIONS</w:t>
      </w:r>
    </w:p>
    <w:p>
      <w:pPr>
        <w:spacing w:after="0" w:line="207"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TAX GROSS-UP AND INDEMNITIES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Tax definitions</w:t>
      </w:r>
    </w:p>
    <w:p>
      <w:pPr>
        <w:spacing w:after="0" w:line="229"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this Clause 12:</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225" w:lineRule="exact"/>
        <w:rPr>
          <w:rFonts w:ascii="Arial" w:cs="Arial" w:eastAsia="Arial" w:hAnsi="Arial"/>
          <w:sz w:val="18"/>
          <w:szCs w:val="18"/>
          <w:color w:val="auto"/>
        </w:rPr>
      </w:pPr>
    </w:p>
    <w:p>
      <w:pPr>
        <w:ind w:left="1300" w:right="4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161" w:lineRule="exact"/>
        <w:rPr>
          <w:rFonts w:ascii="Arial" w:cs="Arial" w:eastAsia="Arial" w:hAnsi="Arial"/>
          <w:sz w:val="18"/>
          <w:szCs w:val="18"/>
          <w:color w:val="auto"/>
        </w:rPr>
      </w:pPr>
    </w:p>
    <w:p>
      <w:pPr>
        <w:ind w:left="1300" w:right="1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00" w:right="280" w:hanging="644"/>
        <w:spacing w:after="0" w:line="282"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Tax gross-up</w:t>
      </w:r>
    </w:p>
    <w:p>
      <w:pPr>
        <w:spacing w:after="0" w:line="229" w:lineRule="exact"/>
        <w:rPr>
          <w:sz w:val="20"/>
          <w:szCs w:val="20"/>
          <w:color w:val="auto"/>
        </w:rPr>
      </w:pPr>
    </w:p>
    <w:p>
      <w:pPr>
        <w:ind w:left="1300" w:right="80" w:hanging="644"/>
        <w:spacing w:after="0" w:line="257" w:lineRule="auto"/>
        <w:tabs>
          <w:tab w:leader="none" w:pos="12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payments to be made by an Obligor to any Finance Party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88" w:lineRule="exact"/>
        <w:rPr>
          <w:rFonts w:ascii="Arial" w:cs="Arial" w:eastAsia="Arial" w:hAnsi="Arial"/>
          <w:sz w:val="18"/>
          <w:szCs w:val="18"/>
          <w:color w:val="auto"/>
        </w:rPr>
      </w:pPr>
    </w:p>
    <w:p>
      <w:pPr>
        <w:ind w:left="1300" w:right="40" w:hanging="644"/>
        <w:spacing w:after="0" w:line="312" w:lineRule="auto"/>
        <w:tabs>
          <w:tab w:leader="none" w:pos="130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46" w:lineRule="exact"/>
        <w:rPr>
          <w:rFonts w:ascii="Arial" w:cs="Arial" w:eastAsia="Arial" w:hAnsi="Arial"/>
          <w:sz w:val="16"/>
          <w:szCs w:val="16"/>
          <w:color w:val="auto"/>
        </w:rPr>
      </w:pPr>
    </w:p>
    <w:p>
      <w:pPr>
        <w:ind w:left="1300" w:right="360" w:hanging="644"/>
        <w:spacing w:after="0" w:line="277" w:lineRule="auto"/>
        <w:tabs>
          <w:tab w:leader="none" w:pos="13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70" w:lineRule="exact"/>
        <w:rPr>
          <w:rFonts w:ascii="Arial" w:cs="Arial" w:eastAsia="Arial" w:hAnsi="Arial"/>
          <w:sz w:val="18"/>
          <w:szCs w:val="18"/>
          <w:color w:val="auto"/>
        </w:rPr>
      </w:pPr>
    </w:p>
    <w:p>
      <w:pPr>
        <w:ind w:left="1300" w:hanging="644"/>
        <w:spacing w:after="0" w:line="286" w:lineRule="auto"/>
        <w:tabs>
          <w:tab w:leader="none" w:pos="130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Tax indemnity</w:t>
      </w:r>
    </w:p>
    <w:p>
      <w:pPr>
        <w:spacing w:after="0" w:line="229" w:lineRule="exact"/>
        <w:rPr>
          <w:sz w:val="20"/>
          <w:szCs w:val="20"/>
          <w:color w:val="auto"/>
        </w:rPr>
      </w:pPr>
    </w:p>
    <w:p>
      <w:pPr>
        <w:ind w:left="1300" w:right="100" w:hanging="644"/>
        <w:spacing w:after="0" w:line="293" w:lineRule="auto"/>
        <w:tabs>
          <w:tab w:leader="none" w:pos="129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Without prejudice to Clause 12.2 (</w:t>
      </w:r>
      <w:r>
        <w:rPr>
          <w:rFonts w:ascii="Arial" w:cs="Arial" w:eastAsia="Arial" w:hAnsi="Arial"/>
          <w:sz w:val="16"/>
          <w:szCs w:val="16"/>
          <w:i w:val="1"/>
          <w:iCs w:val="1"/>
          <w:color w:val="auto"/>
        </w:rPr>
        <w:t>Tax gross-up</w:t>
      </w:r>
      <w:r>
        <w:rPr>
          <w:rFonts w:ascii="Arial" w:cs="Arial" w:eastAsia="Arial" w:hAnsi="Arial"/>
          <w:sz w:val="16"/>
          <w:szCs w:val="16"/>
          <w:color w:val="auto"/>
        </w:rPr>
        <w:t xml:space="preserve">), if any Finance Party is required to make any payment of or on account of Tax on or in relation to any sum received or receivable under the Finance Documents (including any sum deemed for the purposes of Tax to be received or receivable by such Finance Party whether or not actually received or receivable) or if any liability in respect of any such payment is asserted, imposed, levied or assessed against any Finance Party, the Borrower shall, within three Business Days of demand of the Agent, promptly indemnify the Finance Party which suffers a loss or liability as a result against such payment or liability, together with any interest, penalties, costs and expenses payable or incurred in connection therewith,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this Clause 12.3 shall not apply to:</w:t>
      </w:r>
    </w:p>
    <w:p>
      <w:pPr>
        <w:spacing w:after="0" w:line="164" w:lineRule="exact"/>
        <w:rPr>
          <w:rFonts w:ascii="Arial" w:cs="Arial" w:eastAsia="Arial" w:hAnsi="Arial"/>
          <w:sz w:val="16"/>
          <w:szCs w:val="16"/>
          <w:color w:val="auto"/>
        </w:rPr>
      </w:pPr>
    </w:p>
    <w:p>
      <w:pPr>
        <w:jc w:val="both"/>
        <w:ind w:left="1960" w:right="140" w:hanging="655"/>
        <w:spacing w:after="0" w:line="286" w:lineRule="auto"/>
        <w:tabs>
          <w:tab w:leader="none" w:pos="198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Tax imposed on and calculated by reference to the net income actually received or receivable by such Finance Party (but, for the avoidance of doubt, not including any sum deemed for the purposes of Tax to be received or receivable by such Finance Party but not actually receivable) by the jurisdiction in which such Finance Party is incorporated;</w:t>
      </w:r>
    </w:p>
    <w:p>
      <w:pPr>
        <w:spacing w:after="0" w:line="165" w:lineRule="exact"/>
        <w:rPr>
          <w:rFonts w:ascii="Arial" w:cs="Arial" w:eastAsia="Arial" w:hAnsi="Arial"/>
          <w:sz w:val="17"/>
          <w:szCs w:val="17"/>
          <w:color w:val="auto"/>
        </w:rPr>
      </w:pPr>
    </w:p>
    <w:p>
      <w:pPr>
        <w:ind w:left="1960" w:right="40" w:hanging="655"/>
        <w:spacing w:after="0" w:line="342" w:lineRule="auto"/>
        <w:tabs>
          <w:tab w:leader="none" w:pos="199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Tax imposed on and calculated by reference to the net income of the Facility Office of such Finance Party actually received or receivable by such Finance Party (but, for the avoidance of doubt, not including any sum deemed for the purposes of Tax to be</w:t>
      </w:r>
    </w:p>
    <w:p>
      <w:pPr>
        <w:sectPr>
          <w:pgSz w:w="11900" w:h="16838" w:orient="portrait"/>
          <w:cols w:equalWidth="0" w:num="1">
            <w:col w:w="11420"/>
          </w:cols>
          <w:pgMar w:left="240" w:top="341" w:right="239" w:bottom="0" w:gutter="0" w:footer="0" w:header="0"/>
        </w:sectPr>
      </w:pPr>
    </w:p>
    <w:bookmarkStart w:id="24" w:name="page25"/>
    <w:bookmarkEnd w:id="24"/>
    <w:p>
      <w:pPr>
        <w:ind w:left="1960" w:right="80"/>
        <w:spacing w:after="0" w:line="277" w:lineRule="auto"/>
        <w:rPr>
          <w:sz w:val="20"/>
          <w:szCs w:val="20"/>
          <w:color w:val="auto"/>
        </w:rPr>
      </w:pPr>
      <w:r>
        <w:rPr>
          <w:rFonts w:ascii="Arial" w:cs="Arial" w:eastAsia="Arial" w:hAnsi="Arial"/>
          <w:sz w:val="18"/>
          <w:szCs w:val="18"/>
          <w:color w:val="auto"/>
        </w:rPr>
        <w:t>received or receivable by such Finance Party but not actually receivable) by the jurisdiction in which its Facility Office is located; or</w:t>
      </w:r>
    </w:p>
    <w:p>
      <w:pPr>
        <w:spacing w:after="0" w:line="170" w:lineRule="exact"/>
        <w:rPr>
          <w:sz w:val="20"/>
          <w:szCs w:val="20"/>
          <w:color w:val="auto"/>
        </w:rPr>
      </w:pPr>
    </w:p>
    <w:p>
      <w:pPr>
        <w:ind w:left="2000" w:hanging="695"/>
        <w:spacing w:after="0"/>
        <w:tabs>
          <w:tab w:leader="none" w:pos="2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FATCA Deduction required to be made by a Party.</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Finance Party intending to make a claim under paragraph (a) above shall notify the Agent of the event giving rise to the claim, whereupon the Agent shall notify the Borrower thereof.</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Finance Party shall, on receiving a payment from an Obligor under this Clause 12.3, notify the Agent.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25" w:lineRule="exact"/>
        <w:rPr>
          <w:sz w:val="20"/>
          <w:szCs w:val="20"/>
          <w:color w:val="auto"/>
        </w:rPr>
      </w:pPr>
    </w:p>
    <w:p>
      <w:pPr>
        <w:ind w:left="1300" w:right="280" w:hanging="644"/>
        <w:spacing w:after="0" w:line="277" w:lineRule="auto"/>
        <w:tabs>
          <w:tab w:leader="none" w:pos="12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2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b w:val="1"/>
          <w:bCs w:val="1"/>
          <w:color w:val="auto"/>
        </w:rPr>
        <w:t>Stamp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w:t>
      </w:r>
    </w:p>
    <w:p>
      <w:pPr>
        <w:spacing w:after="0" w:line="225"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 all stamp duty, registration and other similar Taxes payable in respect of any Finance Document; and</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within three Business Days of demand, indemnify each Finance Party against any cost, loss or liability that Finance Party incurs in relation to any stamp duty, registration or other similar Tax paid or payable in respect of any Finance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b w:val="1"/>
          <w:bCs w:val="1"/>
          <w:color w:val="auto"/>
        </w:rPr>
        <w:t>Indirect tax</w:t>
      </w:r>
    </w:p>
    <w:p>
      <w:pPr>
        <w:spacing w:after="0" w:line="229" w:lineRule="exact"/>
        <w:rPr>
          <w:sz w:val="20"/>
          <w:szCs w:val="20"/>
          <w:color w:val="auto"/>
        </w:rPr>
      </w:pPr>
    </w:p>
    <w:p>
      <w:pPr>
        <w:ind w:left="1300" w:right="20" w:hanging="644"/>
        <w:spacing w:after="0" w:line="259" w:lineRule="auto"/>
        <w:tabs>
          <w:tab w:leader="none" w:pos="129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86" w:lineRule="exact"/>
        <w:rPr>
          <w:rFonts w:ascii="Arial" w:cs="Arial" w:eastAsia="Arial" w:hAnsi="Arial"/>
          <w:sz w:val="18"/>
          <w:szCs w:val="18"/>
          <w:color w:val="auto"/>
        </w:rPr>
      </w:pPr>
    </w:p>
    <w:p>
      <w:pPr>
        <w:ind w:left="1300" w:hanging="644"/>
        <w:spacing w:after="0" w:line="312" w:lineRule="auto"/>
        <w:tabs>
          <w:tab w:leader="none" w:pos="13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10 Business Days of a reasonable request by another Party: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25" w:lineRule="exact"/>
        <w:rPr>
          <w:rFonts w:ascii="Arial" w:cs="Arial" w:eastAsia="Arial" w:hAnsi="Arial"/>
          <w:sz w:val="18"/>
          <w:szCs w:val="18"/>
          <w:color w:val="auto"/>
        </w:rPr>
      </w:pPr>
    </w:p>
    <w:p>
      <w:pPr>
        <w:ind w:left="1960" w:right="100" w:hanging="655"/>
        <w:spacing w:after="0" w:line="277" w:lineRule="auto"/>
        <w:tabs>
          <w:tab w:leader="none" w:pos="199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0" w:lineRule="exact"/>
        <w:rPr>
          <w:rFonts w:ascii="Arial" w:cs="Arial" w:eastAsia="Arial" w:hAnsi="Arial"/>
          <w:sz w:val="18"/>
          <w:szCs w:val="18"/>
          <w:color w:val="auto"/>
        </w:rPr>
      </w:pPr>
    </w:p>
    <w:p>
      <w:pPr>
        <w:ind w:left="1960" w:right="320" w:hanging="655"/>
        <w:spacing w:after="0" w:line="342" w:lineRule="auto"/>
        <w:tabs>
          <w:tab w:leader="none" w:pos="20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23" w:lineRule="exact"/>
        <w:rPr>
          <w:rFonts w:ascii="Arial" w:cs="Arial" w:eastAsia="Arial" w:hAnsi="Arial"/>
          <w:sz w:val="16"/>
          <w:szCs w:val="16"/>
          <w:color w:val="auto"/>
        </w:rPr>
      </w:pPr>
    </w:p>
    <w:p>
      <w:pPr>
        <w:ind w:left="1300" w:right="40" w:hanging="644"/>
        <w:spacing w:after="0" w:line="308" w:lineRule="auto"/>
        <w:tabs>
          <w:tab w:leader="none" w:pos="130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hanging="644"/>
        <w:spacing w:after="0" w:line="277" w:lineRule="auto"/>
        <w:tabs>
          <w:tab w:leader="none" w:pos="13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fiduciary duty; or</w:t>
      </w:r>
    </w:p>
    <w:p>
      <w:pPr>
        <w:sectPr>
          <w:pgSz w:w="11900" w:h="16838" w:orient="portrait"/>
          <w:cols w:equalWidth="0" w:num="1">
            <w:col w:w="11380"/>
          </w:cols>
          <w:pgMar w:left="240" w:top="125" w:right="279" w:bottom="0" w:gutter="0" w:footer="0" w:header="0"/>
        </w:sectPr>
      </w:pPr>
    </w:p>
    <w:bookmarkStart w:id="25" w:name="page26"/>
    <w:bookmarkEnd w:id="25"/>
    <w:p>
      <w:pPr>
        <w:ind w:left="2000" w:hanging="695"/>
        <w:spacing w:after="0"/>
        <w:tabs>
          <w:tab w:leader="none" w:pos="20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25" w:lineRule="exact"/>
        <w:rPr>
          <w:rFonts w:ascii="Arial" w:cs="Arial" w:eastAsia="Arial" w:hAnsi="Arial"/>
          <w:sz w:val="18"/>
          <w:szCs w:val="18"/>
          <w:color w:val="auto"/>
        </w:rPr>
      </w:pPr>
    </w:p>
    <w:p>
      <w:pPr>
        <w:ind w:left="1300" w:hanging="644"/>
        <w:spacing w:after="0" w:line="279" w:lineRule="auto"/>
        <w:tabs>
          <w:tab w:leader="none" w:pos="130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FATCA Deduction</w:t>
      </w:r>
    </w:p>
    <w:p>
      <w:pPr>
        <w:spacing w:after="0" w:line="229" w:lineRule="exact"/>
        <w:rPr>
          <w:sz w:val="20"/>
          <w:szCs w:val="20"/>
          <w:color w:val="auto"/>
        </w:rPr>
      </w:pPr>
    </w:p>
    <w:p>
      <w:pPr>
        <w:ind w:left="1300" w:right="160" w:hanging="644"/>
        <w:spacing w:after="0" w:line="264" w:lineRule="auto"/>
        <w:tabs>
          <w:tab w:leader="none" w:pos="129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0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Increased costs</w:t>
      </w:r>
    </w:p>
    <w:p>
      <w:pPr>
        <w:spacing w:after="0" w:line="229" w:lineRule="exact"/>
        <w:rPr>
          <w:sz w:val="20"/>
          <w:szCs w:val="20"/>
          <w:color w:val="auto"/>
        </w:rPr>
      </w:pPr>
    </w:p>
    <w:p>
      <w:pPr>
        <w:ind w:left="1300" w:right="380" w:hanging="644"/>
        <w:spacing w:after="0" w:line="308" w:lineRule="auto"/>
        <w:tabs>
          <w:tab w:leader="none" w:pos="129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Subject to Clause 13.3 (</w:t>
      </w:r>
      <w:r>
        <w:rPr>
          <w:rFonts w:ascii="Arial" w:cs="Arial" w:eastAsia="Arial" w:hAnsi="Arial"/>
          <w:sz w:val="17"/>
          <w:szCs w:val="17"/>
          <w:i w:val="1"/>
          <w:iCs w:val="1"/>
          <w:color w:val="auto"/>
        </w:rPr>
        <w:t>Exceptions</w:t>
      </w:r>
      <w:r>
        <w:rPr>
          <w:rFonts w:ascii="Arial" w:cs="Arial" w:eastAsia="Arial" w:hAnsi="Arial"/>
          <w:sz w:val="17"/>
          <w:szCs w:val="17"/>
          <w:color w:val="auto"/>
        </w:rPr>
        <w:t>) the Borrower shall, within three Business Days of a demand by the Agent, pay for the account of a Finance Party the amount of any Increased Costs incurred by that Finance Party or any of its Affiliates as a result of:</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225" w:lineRule="exact"/>
        <w:rPr>
          <w:rFonts w:ascii="Arial" w:cs="Arial" w:eastAsia="Arial" w:hAnsi="Arial"/>
          <w:sz w:val="18"/>
          <w:szCs w:val="18"/>
          <w:color w:val="auto"/>
        </w:rPr>
      </w:pPr>
    </w:p>
    <w:p>
      <w:pPr>
        <w:ind w:left="1960" w:right="220" w:hanging="655"/>
        <w:spacing w:after="0" w:line="264" w:lineRule="auto"/>
        <w:tabs>
          <w:tab w:leader="none" w:pos="20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CRD IV or Dodd-Frank Act or any other law or regulation which implements Basel III or CRD IV or Dodd-Frank Act (whether such implementation, application or compliance is by a government, regulatory, Finance Party or any of its Affiliates).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60"/>
        <w:spacing w:after="0" w:line="282" w:lineRule="auto"/>
        <w:rPr>
          <w:sz w:val="20"/>
          <w:szCs w:val="20"/>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law</w:t>
      </w:r>
      <w:r>
        <w:rPr>
          <w:rFonts w:ascii="Arial" w:cs="Arial" w:eastAsia="Arial" w:hAnsi="Arial"/>
          <w:sz w:val="18"/>
          <w:szCs w:val="18"/>
          <w:color w:val="auto"/>
        </w:rPr>
        <w:t>” and “</w:t>
      </w:r>
      <w:r>
        <w:rPr>
          <w:rFonts w:ascii="Arial" w:cs="Arial" w:eastAsia="Arial" w:hAnsi="Arial"/>
          <w:sz w:val="18"/>
          <w:szCs w:val="18"/>
          <w:b w:val="1"/>
          <w:bCs w:val="1"/>
          <w:color w:val="auto"/>
        </w:rPr>
        <w:t>regulation</w:t>
      </w:r>
      <w:r>
        <w:rPr>
          <w:rFonts w:ascii="Arial" w:cs="Arial" w:eastAsia="Arial" w:hAnsi="Arial"/>
          <w:sz w:val="18"/>
          <w:szCs w:val="18"/>
          <w:color w:val="auto"/>
        </w:rPr>
        <w:t>” in this paragraph (a) shall include any law or regulation concerning capital adequacy, prudential limits, liquidity, reserve assets or Tax.</w:t>
      </w:r>
    </w:p>
    <w:p>
      <w:pPr>
        <w:spacing w:after="0" w:line="166" w:lineRule="exact"/>
        <w:rPr>
          <w:sz w:val="20"/>
          <w:szCs w:val="20"/>
          <w:color w:val="auto"/>
        </w:rPr>
      </w:pPr>
    </w:p>
    <w:p>
      <w:pPr>
        <w:jc w:val="both"/>
        <w:ind w:left="1300" w:right="8720" w:hanging="644"/>
        <w:spacing w:after="0" w:line="563" w:lineRule="auto"/>
        <w:tabs>
          <w:tab w:leader="none" w:pos="13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this Agreement: “</w:t>
      </w:r>
      <w:r>
        <w:rPr>
          <w:rFonts w:ascii="Arial" w:cs="Arial" w:eastAsia="Arial" w:hAnsi="Arial"/>
          <w:sz w:val="16"/>
          <w:szCs w:val="16"/>
          <w:b w:val="1"/>
          <w:bCs w:val="1"/>
          <w:color w:val="auto"/>
        </w:rPr>
        <w:t>Basel III</w:t>
      </w:r>
      <w:r>
        <w:rPr>
          <w:rFonts w:ascii="Arial" w:cs="Arial" w:eastAsia="Arial" w:hAnsi="Arial"/>
          <w:sz w:val="16"/>
          <w:szCs w:val="16"/>
          <w:color w:val="auto"/>
        </w:rPr>
        <w:t>” means:</w:t>
      </w:r>
    </w:p>
    <w:p>
      <w:pPr>
        <w:spacing w:after="0" w:line="1" w:lineRule="exact"/>
        <w:rPr>
          <w:rFonts w:ascii="Arial" w:cs="Arial" w:eastAsia="Arial" w:hAnsi="Arial"/>
          <w:sz w:val="16"/>
          <w:szCs w:val="16"/>
          <w:color w:val="auto"/>
        </w:rPr>
      </w:pPr>
    </w:p>
    <w:p>
      <w:pPr>
        <w:ind w:left="1980" w:hanging="675"/>
        <w:spacing w:after="0"/>
        <w:tabs>
          <w:tab w:leader="none" w:pos="19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34" w:lineRule="exact"/>
        <w:rPr>
          <w:rFonts w:ascii="Arial" w:cs="Arial" w:eastAsia="Arial" w:hAnsi="Arial"/>
          <w:sz w:val="17"/>
          <w:szCs w:val="17"/>
          <w:color w:val="auto"/>
        </w:rPr>
      </w:pPr>
    </w:p>
    <w:p>
      <w:pPr>
        <w:ind w:left="1960" w:right="280"/>
        <w:spacing w:after="0" w:line="302" w:lineRule="auto"/>
        <w:rPr>
          <w:rFonts w:ascii="Arial" w:cs="Arial" w:eastAsia="Arial" w:hAnsi="Arial"/>
          <w:sz w:val="17"/>
          <w:szCs w:val="17"/>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55" w:lineRule="exact"/>
        <w:rPr>
          <w:rFonts w:ascii="Arial" w:cs="Arial" w:eastAsia="Arial" w:hAnsi="Arial"/>
          <w:sz w:val="17"/>
          <w:szCs w:val="17"/>
          <w:color w:val="auto"/>
        </w:rPr>
      </w:pPr>
    </w:p>
    <w:p>
      <w:pPr>
        <w:ind w:left="1960" w:hanging="655"/>
        <w:spacing w:after="0" w:line="264" w:lineRule="auto"/>
        <w:tabs>
          <w:tab w:leader="none" w:pos="19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21" w:lineRule="exact"/>
        <w:rPr>
          <w:sz w:val="20"/>
          <w:szCs w:val="20"/>
          <w:color w:val="auto"/>
        </w:rPr>
      </w:pPr>
    </w:p>
    <w:p>
      <w:pPr>
        <w:ind w:left="1300" w:right="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CRD IV</w:t>
      </w:r>
      <w:r>
        <w:rPr>
          <w:rFonts w:ascii="Arial" w:cs="Arial" w:eastAsia="Arial" w:hAnsi="Arial"/>
          <w:sz w:val="16"/>
          <w:szCs w:val="16"/>
          <w:color w:val="auto"/>
        </w:rPr>
        <w:t>” means (A) Regulation (EU) No 575/2013 of the European Parliament and of the Council of 26 June 2013 on prudential requirements for credit institutions and investment firms and amending Regulation (EU No 648/2012) and (B) Directive 2013/36/EU of the European Parliament and of the Council of 26 June 2013 on access the activity of credit institutions and the prudential supervision of credit institutions and investment firms, amending Directive 2002/87/EC and repealing Directives 2006/48/EC and 2006/49/EC.</w:t>
      </w:r>
    </w:p>
    <w:p>
      <w:pPr>
        <w:spacing w:after="0" w:line="151" w:lineRule="exact"/>
        <w:rPr>
          <w:sz w:val="20"/>
          <w:szCs w:val="20"/>
          <w:color w:val="auto"/>
        </w:rPr>
      </w:pPr>
    </w:p>
    <w:p>
      <w:pPr>
        <w:jc w:val="both"/>
        <w:ind w:left="1300" w:right="7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Dodd-Frank Act</w:t>
      </w:r>
      <w:r>
        <w:rPr>
          <w:rFonts w:ascii="Arial" w:cs="Arial" w:eastAsia="Arial" w:hAnsi="Arial"/>
          <w:sz w:val="18"/>
          <w:szCs w:val="18"/>
          <w:color w:val="auto"/>
        </w:rPr>
        <w:t>” means the Dodd-Frank Wall Street Reform and Consumer Protection Act and all requests, rules, guidelines or directives thereunder or issued in connection therewith or implemented thereof, regardless of the date enacted, adopted, issued or implemented.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229" w:lineRule="exact"/>
        <w:rPr>
          <w:sz w:val="20"/>
          <w:szCs w:val="20"/>
          <w:color w:val="auto"/>
        </w:rPr>
      </w:pPr>
    </w:p>
    <w:p>
      <w:pPr>
        <w:jc w:val="both"/>
        <w:ind w:left="1960" w:right="120" w:hanging="655"/>
        <w:spacing w:after="0" w:line="342" w:lineRule="auto"/>
        <w:tabs>
          <w:tab w:leader="none" w:pos="19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reduction in the rate of return from the Facility or on a Finance Party’s (or its Affiliate’s) overall capital (including as a result of any reduction in the rate of return on capital brought about by more capital being required to be allocated by such Finance Party);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ectPr>
          <w:pgSz w:w="11900" w:h="16838" w:orient="portrait"/>
          <w:cols w:equalWidth="0" w:num="1">
            <w:col w:w="11400"/>
          </w:cols>
          <w:pgMar w:left="240" w:top="125" w:right="259" w:bottom="0" w:gutter="0" w:footer="0" w:header="0"/>
        </w:sectPr>
      </w:pPr>
    </w:p>
    <w:bookmarkStart w:id="26" w:name="page27"/>
    <w:bookmarkEnd w:id="26"/>
    <w:p>
      <w:pPr>
        <w:ind w:left="1300" w:right="60"/>
        <w:spacing w:after="0" w:line="264"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the undertaking, funding or performance by such Finance Party of any of its obligations under any Finance Document or any participation of such Finance Party in any Loan or Unpaid Sum.</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229" w:lineRule="exact"/>
        <w:rPr>
          <w:sz w:val="20"/>
          <w:szCs w:val="20"/>
          <w:color w:val="auto"/>
        </w:rPr>
      </w:pPr>
    </w:p>
    <w:p>
      <w:pPr>
        <w:ind w:left="1300" w:right="280" w:hanging="644"/>
        <w:spacing w:after="0" w:line="277" w:lineRule="auto"/>
        <w:tabs>
          <w:tab w:leader="none" w:pos="129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Finance Party (other than the Agent)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Finance Party (other than the Agent) shall, as soon as practicable after a demand by the Agent, provide a certificate confirming the amount of its Increased Costs.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Exceptions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25" w:lineRule="exact"/>
        <w:rPr>
          <w:sz w:val="20"/>
          <w:szCs w:val="20"/>
          <w:color w:val="auto"/>
        </w:rPr>
      </w:pPr>
    </w:p>
    <w:p>
      <w:pPr>
        <w:ind w:left="1300" w:hanging="644"/>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25" w:lineRule="exact"/>
        <w:rPr>
          <w:rFonts w:ascii="Arial" w:cs="Arial" w:eastAsia="Arial" w:hAnsi="Arial"/>
          <w:sz w:val="18"/>
          <w:szCs w:val="18"/>
          <w:color w:val="auto"/>
        </w:rPr>
      </w:pPr>
    </w:p>
    <w:p>
      <w:pPr>
        <w:ind w:left="1300" w:right="240" w:hanging="644"/>
        <w:spacing w:after="0" w:line="308" w:lineRule="auto"/>
        <w:tabs>
          <w:tab w:leader="none" w:pos="131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compensated for by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would have been compensated for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but was not so compensated solely because any of the exclusions in paragraph (a) of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applied); or</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MITIGATION BY THE LENDERS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b w:val="1"/>
          <w:bCs w:val="1"/>
          <w:color w:val="auto"/>
        </w:rPr>
        <w:t>Mitigation</w:t>
      </w:r>
    </w:p>
    <w:p>
      <w:pPr>
        <w:spacing w:after="0" w:line="229" w:lineRule="exact"/>
        <w:rPr>
          <w:sz w:val="20"/>
          <w:szCs w:val="20"/>
          <w:color w:val="auto"/>
        </w:rPr>
      </w:pPr>
    </w:p>
    <w:p>
      <w:pPr>
        <w:jc w:val="both"/>
        <w:ind w:left="1300" w:right="120" w:hanging="644"/>
        <w:spacing w:after="0" w:line="264" w:lineRule="auto"/>
        <w:tabs>
          <w:tab w:leader="none" w:pos="129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w:t>
      </w:r>
    </w:p>
    <w:p>
      <w:pPr>
        <w:spacing w:after="0" w:line="181" w:lineRule="exact"/>
        <w:rPr>
          <w:rFonts w:ascii="Arial" w:cs="Arial" w:eastAsia="Arial" w:hAnsi="Arial"/>
          <w:sz w:val="18"/>
          <w:szCs w:val="18"/>
          <w:color w:val="auto"/>
        </w:rPr>
      </w:pPr>
    </w:p>
    <w:p>
      <w:pPr>
        <w:ind w:left="1960" w:hanging="655"/>
        <w:spacing w:after="0" w:line="264" w:lineRule="auto"/>
        <w:tabs>
          <w:tab w:leader="none" w:pos="19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providing such information as the Borrower may reasonably request in order to permit the Borrower to determine its entitlement to claim any exemption or other relief (whether pursuant to a double taxation treaty or otherwise) from any obligation to make a Tax Deduction; and</w:t>
      </w:r>
    </w:p>
    <w:p>
      <w:pPr>
        <w:spacing w:after="0" w:line="181" w:lineRule="exact"/>
        <w:rPr>
          <w:rFonts w:ascii="Arial" w:cs="Arial" w:eastAsia="Arial" w:hAnsi="Arial"/>
          <w:sz w:val="18"/>
          <w:szCs w:val="18"/>
          <w:color w:val="auto"/>
        </w:rPr>
      </w:pPr>
    </w:p>
    <w:p>
      <w:pPr>
        <w:ind w:left="1960" w:right="80" w:hanging="655"/>
        <w:spacing w:after="0" w:line="277" w:lineRule="auto"/>
        <w:tabs>
          <w:tab w:leader="none" w:pos="199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relation to any circumstances which arise following the date of this Agreement, transferring its rights and obligations under the Finance Documents to another Affiliate or Facility Office.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320" w:firstLine="656"/>
        <w:spacing w:after="0" w:line="501" w:lineRule="auto"/>
        <w:tabs>
          <w:tab w:leader="none" w:pos="13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Paragraph (a) above does not in any way limit the obligations of any Obligor under the Finance Documents. 14.2 </w:t>
      </w:r>
      <w:r>
        <w:rPr>
          <w:rFonts w:ascii="Arial" w:cs="Arial" w:eastAsia="Arial" w:hAnsi="Arial"/>
          <w:sz w:val="18"/>
          <w:szCs w:val="18"/>
          <w:b w:val="1"/>
          <w:bCs w:val="1"/>
          <w:color w:val="auto"/>
        </w:rPr>
        <w:t>Limitation of liability</w:t>
      </w:r>
    </w:p>
    <w:p>
      <w:pPr>
        <w:ind w:left="1300" w:right="100" w:hanging="644"/>
        <w:spacing w:after="0" w:line="277" w:lineRule="auto"/>
        <w:tabs>
          <w:tab w:leader="none" w:pos="12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66" w:lineRule="exact"/>
        <w:rPr>
          <w:sz w:val="20"/>
          <w:szCs w:val="20"/>
          <w:color w:val="auto"/>
        </w:rPr>
      </w:pPr>
    </w:p>
    <w:p>
      <w:pPr>
        <w:jc w:val="center"/>
        <w:ind w:right="7460"/>
        <w:spacing w:after="0"/>
        <w:tabs>
          <w:tab w:leader="none" w:pos="3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5"/>
          <w:szCs w:val="15"/>
          <w:b w:val="1"/>
          <w:bCs w:val="1"/>
          <w:color w:val="auto"/>
        </w:rPr>
        <w:t>Conduct of business by the Finance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Agreement will:</w:t>
      </w:r>
    </w:p>
    <w:p>
      <w:pPr>
        <w:spacing w:after="0" w:line="225"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233"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OTHER INDEMNITIES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Currency indemnity</w:t>
      </w:r>
    </w:p>
    <w:p>
      <w:pPr>
        <w:spacing w:after="0" w:line="225" w:lineRule="exact"/>
        <w:rPr>
          <w:sz w:val="20"/>
          <w:szCs w:val="20"/>
          <w:color w:val="auto"/>
        </w:rPr>
      </w:pPr>
    </w:p>
    <w:p>
      <w:pPr>
        <w:ind w:left="1300" w:right="240" w:hanging="644"/>
        <w:spacing w:after="0" w:line="266" w:lineRule="auto"/>
        <w:tabs>
          <w:tab w:leader="none" w:pos="12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180" w:lineRule="exact"/>
        <w:rPr>
          <w:rFonts w:ascii="Arial" w:cs="Arial" w:eastAsia="Arial" w:hAnsi="Arial"/>
          <w:sz w:val="18"/>
          <w:szCs w:val="18"/>
          <w:color w:val="auto"/>
        </w:rPr>
      </w:pPr>
    </w:p>
    <w:p>
      <w:pPr>
        <w:ind w:left="1980" w:hanging="675"/>
        <w:spacing w:after="0"/>
        <w:tabs>
          <w:tab w:leader="none" w:pos="19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ectPr>
          <w:pgSz w:w="11900" w:h="16838" w:orient="portrait"/>
          <w:cols w:equalWidth="0" w:num="1">
            <w:col w:w="11400"/>
          </w:cols>
          <w:pgMar w:left="240" w:top="125" w:right="259" w:bottom="0" w:gutter="0" w:footer="0" w:header="0"/>
        </w:sectPr>
      </w:pPr>
    </w:p>
    <w:bookmarkStart w:id="27" w:name="page28"/>
    <w:bookmarkEnd w:id="27"/>
    <w:p>
      <w:pPr>
        <w:ind w:left="1300" w:right="80"/>
        <w:spacing w:after="0" w:line="259"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7" w:lineRule="exact"/>
        <w:rPr>
          <w:sz w:val="20"/>
          <w:szCs w:val="20"/>
          <w:color w:val="auto"/>
        </w:rPr>
      </w:pPr>
    </w:p>
    <w:p>
      <w:pPr>
        <w:ind w:left="1300" w:right="220" w:hanging="644"/>
        <w:spacing w:after="0" w:line="277" w:lineRule="auto"/>
        <w:tabs>
          <w:tab w:leader="none" w:pos="13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Other indemnities</w:t>
      </w:r>
    </w:p>
    <w:p>
      <w:pPr>
        <w:spacing w:after="0" w:line="22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Borrower shall, within three Business Days of demand, indemnify each Finance Party against any cost, loss or liability incurred by that Finance Party as a result of:</w:t>
      </w:r>
    </w:p>
    <w:p>
      <w:pPr>
        <w:spacing w:after="0" w:line="170"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Memorandum or any other information produced or approved by any Obligor being or being alleged to be misleading and/or deceptive in any respect;</w:t>
      </w:r>
    </w:p>
    <w:p>
      <w:pPr>
        <w:spacing w:after="0" w:line="170" w:lineRule="exact"/>
        <w:rPr>
          <w:rFonts w:ascii="Arial" w:cs="Arial" w:eastAsia="Arial" w:hAnsi="Arial"/>
          <w:sz w:val="18"/>
          <w:szCs w:val="18"/>
          <w:color w:val="auto"/>
        </w:rPr>
      </w:pPr>
    </w:p>
    <w:p>
      <w:pPr>
        <w:ind w:left="1300" w:right="800" w:hanging="644"/>
        <w:spacing w:after="0" w:line="277" w:lineRule="auto"/>
        <w:tabs>
          <w:tab w:leader="none" w:pos="13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enquiry, investigation, subpoena (or similar order) or litigation with respect to any Obligor or with respect to the transactions contemplated or financed under this Agreement;</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or in the relevant currency, including any cost, loss or liability arising as a result of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64" w:lineRule="auto"/>
        <w:tabs>
          <w:tab w:leader="none" w:pos="13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but not made by reason of the operation of any one or more of the provisions of this Agreement (other than by reason of gross negligence or wilful misconduct by that Finance Party alone as finally judicially determined);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Loan (or part of the Loan) not being prepaid in accordance with a notice of prepayment given by the Borrower.</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the Agent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Borrower shall promptly indemnify the Agent against any cost, loss or liability incurred by the Agent (acting reasonably) as a result of:</w:t>
      </w:r>
    </w:p>
    <w:p>
      <w:pPr>
        <w:spacing w:after="0" w:line="225" w:lineRule="exact"/>
        <w:rPr>
          <w:sz w:val="20"/>
          <w:szCs w:val="20"/>
          <w:color w:val="auto"/>
        </w:rPr>
      </w:pPr>
    </w:p>
    <w:p>
      <w:pPr>
        <w:ind w:left="1300" w:hanging="644"/>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instructing lawyers, accountants, tax advisers, surveyors or other professional advisers or experts as permitted under this Agreement.</w:t>
      </w:r>
    </w:p>
    <w:p>
      <w:pPr>
        <w:spacing w:after="0" w:line="232" w:lineRule="exact"/>
        <w:rPr>
          <w:rFonts w:ascii="Arial" w:cs="Arial" w:eastAsia="Arial" w:hAnsi="Arial"/>
          <w:sz w:val="17"/>
          <w:szCs w:val="17"/>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Transaction expenses</w:t>
      </w:r>
    </w:p>
    <w:p>
      <w:pPr>
        <w:spacing w:after="0" w:line="229"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The Borrower shall, within three Business Days of demand, pay the Administrative Parties the amount of all costs and expenses (including legal fees) reasonably incurred by any of them in connection with the negotiation, preparation, printing, execution and syndication of:</w:t>
      </w:r>
    </w:p>
    <w:p>
      <w:pPr>
        <w:spacing w:after="0" w:line="124"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25" w:lineRule="exact"/>
        <w:rPr>
          <w:rFonts w:ascii="Arial" w:cs="Arial" w:eastAsia="Arial" w:hAnsi="Arial"/>
          <w:sz w:val="18"/>
          <w:szCs w:val="18"/>
          <w:color w:val="auto"/>
        </w:rPr>
      </w:pPr>
    </w:p>
    <w:p>
      <w:pPr>
        <w:ind w:left="5620" w:right="4880" w:hanging="4964"/>
        <w:spacing w:after="0" w:line="624" w:lineRule="auto"/>
        <w:tabs>
          <w:tab w:leader="none" w:pos="130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other Finance Documents executed after the date of this Agreement.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Agent or the Lenders (as applicable) may deduct the legal fees and other costs and expenses referred to in this Clause 16.1 from the proceeds of Utilisation.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Amendment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amendment is required pursuant to Clause 28.9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225" w:lineRule="exact"/>
        <w:rPr>
          <w:sz w:val="20"/>
          <w:szCs w:val="20"/>
          <w:color w:val="auto"/>
        </w:rPr>
      </w:pPr>
    </w:p>
    <w:p>
      <w:pPr>
        <w:ind w:left="660" w:right="480"/>
        <w:spacing w:after="0" w:line="308" w:lineRule="auto"/>
        <w:rPr>
          <w:sz w:val="20"/>
          <w:szCs w:val="20"/>
          <w:color w:val="auto"/>
        </w:rPr>
      </w:pPr>
      <w:r>
        <w:rPr>
          <w:rFonts w:ascii="Arial" w:cs="Arial" w:eastAsia="Arial" w:hAnsi="Arial"/>
          <w:sz w:val="17"/>
          <w:szCs w:val="17"/>
          <w:color w:val="auto"/>
        </w:rPr>
        <w:t>the Borrower shall, within three Business Days of demand, reimburse the Agent for the amount of all costs and expenses (including legal fees) reasonably incurred by the Agent in responding to, evaluating, negotiating or complying with that request or requirement.</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Enforcement costs</w:t>
      </w:r>
    </w:p>
    <w:p>
      <w:pPr>
        <w:sectPr>
          <w:pgSz w:w="11900" w:h="16838" w:orient="portrait"/>
          <w:cols w:equalWidth="0" w:num="1">
            <w:col w:w="11400"/>
          </w:cols>
          <w:pgMar w:left="240" w:top="341" w:right="259" w:bottom="0" w:gutter="0" w:footer="0" w:header="0"/>
        </w:sectPr>
      </w:pPr>
    </w:p>
    <w:bookmarkStart w:id="28" w:name="page29"/>
    <w:bookmarkEnd w:id="28"/>
    <w:p>
      <w:pPr>
        <w:spacing w:after="0" w:line="137"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color w:val="auto"/>
        </w:rPr>
        <w:t>The Borrower shall, within three Business Days of demand, pay to each Finance Party the amount of all costs and expenses (including legal fees) incurred by that Finance Party in connection with the enforcement of, or the preservation of any rights under, any Finance Document.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0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GUARANTEE AND INDEMNITY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Guarantee and indemnity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Guarantor irrevocably and unconditionally:</w:t>
      </w:r>
    </w:p>
    <w:p>
      <w:pPr>
        <w:spacing w:after="0" w:line="225"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guarantees to each Finance Party punctual performance by the Borrower of all the Borrower’s obligations under the Finance Documents;</w:t>
      </w:r>
    </w:p>
    <w:p>
      <w:pPr>
        <w:spacing w:after="0" w:line="248" w:lineRule="exact"/>
        <w:rPr>
          <w:rFonts w:ascii="Arial" w:cs="Arial" w:eastAsia="Arial" w:hAnsi="Arial"/>
          <w:sz w:val="16"/>
          <w:szCs w:val="16"/>
          <w:color w:val="auto"/>
        </w:rPr>
      </w:pPr>
    </w:p>
    <w:p>
      <w:pPr>
        <w:ind w:left="1300" w:right="560" w:hanging="644"/>
        <w:spacing w:after="0" w:line="308" w:lineRule="auto"/>
        <w:tabs>
          <w:tab w:leader="none" w:pos="130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undertakes with each Finance Party that whenever the Borrower does not pay any amount when due under or in connection with any Finance Document, it shall immediately on demand pay that amount as if it was the principal obligor; and</w:t>
      </w:r>
    </w:p>
    <w:p>
      <w:pPr>
        <w:spacing w:after="0" w:line="146" w:lineRule="exact"/>
        <w:rPr>
          <w:rFonts w:ascii="Arial" w:cs="Arial" w:eastAsia="Arial" w:hAnsi="Arial"/>
          <w:sz w:val="17"/>
          <w:szCs w:val="17"/>
          <w:color w:val="auto"/>
        </w:rPr>
      </w:pPr>
    </w:p>
    <w:p>
      <w:pPr>
        <w:ind w:left="1300" w:hanging="644"/>
        <w:spacing w:after="0" w:line="297" w:lineRule="auto"/>
        <w:tabs>
          <w:tab w:leader="none" w:pos="13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Guarantor under this indemnity will not exceed the amount it would have had to pay under this Clause 17 if the amount claimed had been recoverable on the basis of a guarantee.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Continuing guarantee</w:t>
      </w:r>
    </w:p>
    <w:p>
      <w:pPr>
        <w:spacing w:after="0" w:line="22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the Borrower under the Finance Documents, regardless of any intermediate payment or discharge in whole or in part.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Reinstatement</w:t>
      </w:r>
    </w:p>
    <w:p>
      <w:pPr>
        <w:spacing w:after="0" w:line="229"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Guarantor under this Clause 17 will continue or be reinstated as if the discharge, release or arrangement had not occurred.</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Waiver of defences</w:t>
      </w:r>
    </w:p>
    <w:p>
      <w:pPr>
        <w:spacing w:after="0" w:line="229"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obligations of the Guarantor under this Clause 17 will not be affected by an act, omission, matter or thing which, but for this Clause 17, would reduce, release or prejudice any of its obligations under this Clause 17 (without limitation and whether or not known to it or any Finance Party) including:</w:t>
      </w:r>
    </w:p>
    <w:p>
      <w:pPr>
        <w:spacing w:after="0" w:line="181" w:lineRule="exact"/>
        <w:rPr>
          <w:sz w:val="20"/>
          <w:szCs w:val="20"/>
          <w:color w:val="auto"/>
        </w:rPr>
      </w:pPr>
    </w:p>
    <w:p>
      <w:pPr>
        <w:ind w:left="5620" w:right="3680" w:hanging="4964"/>
        <w:spacing w:after="0" w:line="528" w:lineRule="auto"/>
        <w:tabs>
          <w:tab w:leader="none" w:pos="129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 45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release of the Borrower or any other person under the terms of any composition or arrangement with any creditor of any member of the Group;</w:t>
      </w:r>
    </w:p>
    <w:p>
      <w:pPr>
        <w:spacing w:after="0" w:line="170" w:lineRule="exact"/>
        <w:rPr>
          <w:rFonts w:ascii="Arial" w:cs="Arial" w:eastAsia="Arial" w:hAnsi="Arial"/>
          <w:sz w:val="18"/>
          <w:szCs w:val="18"/>
          <w:color w:val="auto"/>
        </w:rPr>
      </w:pPr>
    </w:p>
    <w:p>
      <w:pPr>
        <w:ind w:left="1300" w:right="220" w:hanging="644"/>
        <w:spacing w:after="0" w:line="286" w:lineRule="auto"/>
        <w:tabs>
          <w:tab w:leader="none" w:pos="13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execute, take up or enforce, any rights against, or security over assets of, the Borrower or other person or any non-presentation or non-observance of any formality or other requirement in respect of any instrument or any failure to realise the full value of any security;</w:t>
      </w:r>
    </w:p>
    <w:p>
      <w:pPr>
        <w:spacing w:after="0" w:line="165" w:lineRule="exact"/>
        <w:rPr>
          <w:rFonts w:ascii="Arial" w:cs="Arial" w:eastAsia="Arial" w:hAnsi="Arial"/>
          <w:sz w:val="17"/>
          <w:szCs w:val="17"/>
          <w:color w:val="auto"/>
        </w:rPr>
      </w:pPr>
    </w:p>
    <w:p>
      <w:pPr>
        <w:ind w:left="1300" w:right="200" w:hanging="644"/>
        <w:spacing w:after="0" w:line="277" w:lineRule="auto"/>
        <w:tabs>
          <w:tab w:leader="none" w:pos="1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the Borrower or any other person;</w:t>
      </w:r>
    </w:p>
    <w:p>
      <w:pPr>
        <w:spacing w:after="0" w:line="170" w:lineRule="exact"/>
        <w:rPr>
          <w:rFonts w:ascii="Arial" w:cs="Arial" w:eastAsia="Arial" w:hAnsi="Arial"/>
          <w:sz w:val="18"/>
          <w:szCs w:val="18"/>
          <w:color w:val="auto"/>
        </w:rPr>
      </w:pPr>
    </w:p>
    <w:p>
      <w:pPr>
        <w:ind w:left="1300" w:right="140" w:hanging="644"/>
        <w:spacing w:after="0" w:line="286" w:lineRule="auto"/>
        <w:tabs>
          <w:tab w:leader="none" w:pos="13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amendment, novation, supplement, extension, restatement (however fundamental and whether or not more onerous) or replacement of any Finance Document or any other document or security including any change in the purpose of, any extension of or any increase in any facility or the addition of any new facility under any Finance Document or other document or security;</w:t>
      </w:r>
    </w:p>
    <w:p>
      <w:pPr>
        <w:spacing w:after="0" w:line="165" w:lineRule="exact"/>
        <w:rPr>
          <w:rFonts w:ascii="Arial" w:cs="Arial" w:eastAsia="Arial" w:hAnsi="Arial"/>
          <w:sz w:val="17"/>
          <w:szCs w:val="17"/>
          <w:color w:val="auto"/>
        </w:rPr>
      </w:pPr>
    </w:p>
    <w:p>
      <w:pPr>
        <w:ind w:left="1300" w:right="640" w:hanging="644"/>
        <w:spacing w:after="0" w:line="277" w:lineRule="auto"/>
        <w:tabs>
          <w:tab w:leader="none" w:pos="13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insolvency or similar proceedings;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or any other Finance Document not being executed by or binding upon any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-3116580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Immediate recourse</w:t>
      </w:r>
    </w:p>
    <w:p>
      <w:pPr>
        <w:spacing w:after="0" w:line="229"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The Guarantor waives any right it may have of first requiring any Finance Party (or any trustee or agent on its behalf) to proceed against or enforce any other rights or security or claim payment from any person before claiming from the Guarantor under this Clause 17. This waiver applies</w:t>
      </w:r>
    </w:p>
    <w:p>
      <w:pPr>
        <w:sectPr>
          <w:pgSz w:w="11900" w:h="16975" w:orient="portrait"/>
          <w:cols w:equalWidth="0" w:num="1">
            <w:col w:w="11420"/>
          </w:cols>
          <w:pgMar w:left="240" w:top="125" w:right="239" w:bottom="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irrespective of any law or any provision of a Finance Document to the contrary.</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Appropriations</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Until all amounts which may be or become payable by the Borrower under or in connection with the Finance Documents have been irrevocably paid in full, each Finance Party (or any trustee or agent on its behalf) may:</w:t>
      </w:r>
    </w:p>
    <w:p>
      <w:pPr>
        <w:spacing w:after="0" w:line="170" w:lineRule="exact"/>
        <w:rPr>
          <w:sz w:val="20"/>
          <w:szCs w:val="20"/>
          <w:color w:val="auto"/>
        </w:rPr>
      </w:pPr>
    </w:p>
    <w:p>
      <w:pPr>
        <w:jc w:val="both"/>
        <w:ind w:left="1300" w:right="60" w:hanging="644"/>
        <w:spacing w:after="0" w:line="264" w:lineRule="auto"/>
        <w:tabs>
          <w:tab w:leader="none" w:pos="12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the Guarantor or on account of the Guarantor’s liability under this Clause 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b w:val="1"/>
          <w:bCs w:val="1"/>
          <w:color w:val="auto"/>
        </w:rPr>
        <w:t>Deferral of Guarantor’s rights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Until all amounts which may be or become payable by the Borrower under or in connection with the Finance Documents have been irrevocably paid in full and unless the Agent otherwise directs, the Guarantor will not exercise or otherwise enjoy the benefit of any right which it may have by reason of performance by it of its obligations under the Finance Documents or by reason of any amount being payable, or liability arising, under this Clause 17:</w:t>
      </w:r>
    </w:p>
    <w:p>
      <w:pPr>
        <w:spacing w:after="0" w:line="187"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be indemnified by the Borrower;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claim any contribution from any other guarantor of or provider of security for the Borrower’s obligations under the Finance Documents;</w:t>
      </w:r>
    </w:p>
    <w:p>
      <w:pPr>
        <w:spacing w:after="0" w:line="248" w:lineRule="exact"/>
        <w:rPr>
          <w:rFonts w:ascii="Arial" w:cs="Arial" w:eastAsia="Arial" w:hAnsi="Arial"/>
          <w:sz w:val="16"/>
          <w:szCs w:val="16"/>
          <w:color w:val="auto"/>
        </w:rPr>
      </w:pPr>
    </w:p>
    <w:p>
      <w:pPr>
        <w:ind w:left="1300" w:right="180" w:hanging="644"/>
        <w:spacing w:after="0" w:line="264" w:lineRule="auto"/>
        <w:tabs>
          <w:tab w:leader="none" w:pos="13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1" w:lineRule="exact"/>
        <w:rPr>
          <w:rFonts w:ascii="Arial" w:cs="Arial" w:eastAsia="Arial" w:hAnsi="Arial"/>
          <w:sz w:val="18"/>
          <w:szCs w:val="18"/>
          <w:color w:val="auto"/>
        </w:rPr>
      </w:pPr>
    </w:p>
    <w:p>
      <w:pPr>
        <w:ind w:left="1300" w:right="20" w:hanging="644"/>
        <w:spacing w:after="0" w:line="308" w:lineRule="auto"/>
        <w:tabs>
          <w:tab w:leader="none" w:pos="130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the Borrower to make any payment, or perform any obligation, in respect of which the Guarantor has given a guarantee, undertaking or indemnity under Clause 17.1 (</w:t>
      </w:r>
      <w:r>
        <w:rPr>
          <w:rFonts w:ascii="Arial" w:cs="Arial" w:eastAsia="Arial" w:hAnsi="Arial"/>
          <w:sz w:val="17"/>
          <w:szCs w:val="17"/>
          <w:i w:val="1"/>
          <w:iCs w:val="1"/>
          <w:color w:val="auto"/>
        </w:rPr>
        <w:t>Guarantee and indemnity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exercise any right of set-off against the Borrower; and/or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claim or prove as a creditor of the Borrower in competition with any Finance Party.</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If the Guarantor shall receive any benefit, payment or distribution in relation to any such right it shall hold that benefit, payment or distribution (or so much of it as may be necessary to enable all amounts which may be or become payable to the Finance Parties by the Obligors under or in connection with the Finance Documents to be paid in full) on trust for the Finance Parties, and shall promptly pay or transfer the same to the Agent or as the Agent may direct for application in accordance with Clause 28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b w:val="1"/>
          <w:bCs w:val="1"/>
          <w:color w:val="auto"/>
        </w:rPr>
        <w:t>Additional security</w:t>
      </w: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This guarantee is in addition to and is not in any way prejudiced by any other guarantee or security now or subsequently held by any Finance Party.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UNDERTAKINGS AND EVENTS OF DEFAULT</w:t>
      </w:r>
    </w:p>
    <w:p>
      <w:pPr>
        <w:spacing w:after="0" w:line="207"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makes the representations and warranties set out in this Clause 18 to each Finance Party on the date of this Agreement.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Status</w:t>
      </w:r>
    </w:p>
    <w:p>
      <w:pPr>
        <w:spacing w:after="0" w:line="229"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jurisdiction of incorporation.</w:t>
      </w:r>
    </w:p>
    <w:p>
      <w:pPr>
        <w:spacing w:after="0" w:line="225" w:lineRule="exact"/>
        <w:rPr>
          <w:rFonts w:ascii="Arial" w:cs="Arial" w:eastAsia="Arial" w:hAnsi="Arial"/>
          <w:sz w:val="18"/>
          <w:szCs w:val="18"/>
          <w:color w:val="auto"/>
        </w:rPr>
      </w:pPr>
    </w:p>
    <w:p>
      <w:pPr>
        <w:ind w:right="1660" w:firstLine="656"/>
        <w:spacing w:after="0" w:line="501" w:lineRule="auto"/>
        <w:tabs>
          <w:tab w:leader="none" w:pos="130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It and each of member of the Group has the power to own its assets and carry on its business as it is being conducted. 18.2 </w:t>
      </w:r>
      <w:r>
        <w:rPr>
          <w:rFonts w:ascii="Arial" w:cs="Arial" w:eastAsia="Arial" w:hAnsi="Arial"/>
          <w:sz w:val="18"/>
          <w:szCs w:val="18"/>
          <w:b w:val="1"/>
          <w:bCs w:val="1"/>
          <w:color w:val="auto"/>
        </w:rPr>
        <w:t>Binding obligations</w:t>
      </w:r>
    </w:p>
    <w:p>
      <w:pPr>
        <w:ind w:left="660" w:right="140"/>
        <w:spacing w:after="0" w:line="264" w:lineRule="auto"/>
        <w:rPr>
          <w:sz w:val="20"/>
          <w:szCs w:val="20"/>
          <w:color w:val="auto"/>
        </w:rPr>
      </w:pPr>
      <w:r>
        <w:rPr>
          <w:rFonts w:ascii="Arial" w:cs="Arial" w:eastAsia="Arial" w:hAnsi="Arial"/>
          <w:sz w:val="18"/>
          <w:szCs w:val="18"/>
          <w:color w:val="auto"/>
        </w:rPr>
        <w:t>The obligations expressed to be assumed by it in each Finance Document are, subject to any general principles of law limiting its obligations which are specifically referred to in any legal opinion delivered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legal, valid, binding and enforceable obligations.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Non-conflict with other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entry into and performance by it of, and the transactions contemplated by, the Finance Documents do not and will not conflict with:</w:t>
      </w:r>
    </w:p>
    <w:p>
      <w:pPr>
        <w:sectPr>
          <w:pgSz w:w="11900" w:h="16838" w:orient="portrait"/>
          <w:cols w:equalWidth="0" w:num="1">
            <w:col w:w="11420"/>
          </w:cols>
          <w:pgMar w:left="240" w:top="125" w:right="239" w:bottom="0" w:gutter="0" w:footer="0" w:header="0"/>
        </w:sectPr>
      </w:pPr>
    </w:p>
    <w:bookmarkStart w:id="30" w:name="page31"/>
    <w:bookmarkEnd w:id="30"/>
    <w:p>
      <w:pPr>
        <w:spacing w:after="0" w:line="137"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or any member of the Group’s constitutional documents;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Subsidiaries or any of its or any of its Subsidiaries’ assets.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b w:val="1"/>
          <w:bCs w:val="1"/>
          <w:color w:val="auto"/>
        </w:rPr>
        <w:t>Power and authority</w:t>
      </w:r>
    </w:p>
    <w:p>
      <w:pPr>
        <w:spacing w:after="0" w:line="229"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Authorisations required or desirable:</w:t>
      </w:r>
    </w:p>
    <w:p>
      <w:pPr>
        <w:spacing w:after="0" w:line="225"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enable it lawfully to enter into, exercise its rights and comply with its obligations in the Finance Documents to which it is a party;</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jurisdiction of incorporation;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it and any member of the Group to carry on their business, and which are material,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b w:val="1"/>
          <w:bCs w:val="1"/>
          <w:color w:val="auto"/>
        </w:rPr>
        <w:t>Governing law and enforcement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any general principles of law limiting its obligations which are specifically referred to in any legal opinion delivered in accordance with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11" w:lineRule="exact"/>
        <w:rPr>
          <w:sz w:val="20"/>
          <w:szCs w:val="20"/>
          <w:color w:val="auto"/>
        </w:rPr>
      </w:pPr>
    </w:p>
    <w:p>
      <w:pPr>
        <w:ind w:left="1300" w:right="40" w:hanging="644"/>
        <w:spacing w:after="0" w:line="277" w:lineRule="auto"/>
        <w:tabs>
          <w:tab w:leader="none" w:pos="129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choice of English law as the governing law of the Finance Documents (other than any Subordination Agreement) will be recognised and enforced in its jurisdiction of incorporation;</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judgment obtained in England in relation to a Finance Document (other than any Subordination Agreement) will be recognised and enforced in its jurisdiction of incorporation;</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1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choice of Hong Kong law as the governing law of the Subordination Agreement will be recognised and enforced in its jurisdiction of incorporation; and</w:t>
      </w:r>
    </w:p>
    <w:p>
      <w:pPr>
        <w:spacing w:after="0" w:line="170" w:lineRule="exact"/>
        <w:rPr>
          <w:rFonts w:ascii="Arial" w:cs="Arial" w:eastAsia="Arial" w:hAnsi="Arial"/>
          <w:sz w:val="18"/>
          <w:szCs w:val="18"/>
          <w:color w:val="auto"/>
        </w:rPr>
      </w:pPr>
    </w:p>
    <w:p>
      <w:pPr>
        <w:ind w:left="1300" w:right="580" w:hanging="644"/>
        <w:spacing w:after="0" w:line="277" w:lineRule="auto"/>
        <w:tabs>
          <w:tab w:leader="none" w:pos="1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judgment obtained in Hong Kong in relation to a Subordination Agreement will be recognised and enforced in its jurisdiction of incorporation.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b w:val="1"/>
          <w:bCs w:val="1"/>
          <w:color w:val="auto"/>
        </w:rPr>
        <w:t>No insolvency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t>
      </w:r>
    </w:p>
    <w:p>
      <w:pPr>
        <w:spacing w:after="0" w:line="225"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corporate action, legal proceeding or other procedure or step described in paragraph 23.8(a) of Clause 23.8 (</w:t>
      </w:r>
      <w:r>
        <w:rPr>
          <w:rFonts w:ascii="Arial" w:cs="Arial" w:eastAsia="Arial" w:hAnsi="Arial"/>
          <w:sz w:val="16"/>
          <w:szCs w:val="16"/>
          <w:i w:val="1"/>
          <w:iCs w:val="1"/>
          <w:color w:val="auto"/>
        </w:rPr>
        <w:t>Insolvency proceedings</w:t>
      </w:r>
      <w:r>
        <w:rPr>
          <w:rFonts w:ascii="Arial" w:cs="Arial" w:eastAsia="Arial" w:hAnsi="Arial"/>
          <w:sz w:val="16"/>
          <w:szCs w:val="16"/>
          <w:color w:val="auto"/>
        </w:rPr>
        <w:t>); or</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creditors’ process described in Clause 23.9 (</w:t>
      </w:r>
      <w:r>
        <w:rPr>
          <w:rFonts w:ascii="Arial" w:cs="Arial" w:eastAsia="Arial" w:hAnsi="Arial"/>
          <w:sz w:val="18"/>
          <w:szCs w:val="18"/>
          <w:i w:val="1"/>
          <w:iCs w:val="1"/>
          <w:color w:val="auto"/>
        </w:rPr>
        <w:t>Creditors’ process</w:t>
      </w:r>
      <w:r>
        <w:rPr>
          <w:rFonts w:ascii="Arial" w:cs="Arial" w:eastAsia="Arial" w:hAnsi="Arial"/>
          <w:sz w:val="18"/>
          <w:szCs w:val="18"/>
          <w:color w:val="auto"/>
        </w:rPr>
        <w:t>),</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has been taken or, to the knowledge of the Borrower, threatened in relation to a member of the Group; and none of the circumstances described in Clause 23.7 (</w:t>
      </w:r>
      <w:r>
        <w:rPr>
          <w:rFonts w:ascii="Arial" w:cs="Arial" w:eastAsia="Arial" w:hAnsi="Arial"/>
          <w:sz w:val="18"/>
          <w:szCs w:val="18"/>
          <w:i w:val="1"/>
          <w:iCs w:val="1"/>
          <w:color w:val="auto"/>
        </w:rPr>
        <w:t>Insolvency</w:t>
      </w:r>
      <w:r>
        <w:rPr>
          <w:rFonts w:ascii="Arial" w:cs="Arial" w:eastAsia="Arial" w:hAnsi="Arial"/>
          <w:sz w:val="18"/>
          <w:szCs w:val="18"/>
          <w:color w:val="auto"/>
        </w:rPr>
        <w:t>) applies to a member of the Group.</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b w:val="1"/>
          <w:bCs w:val="1"/>
          <w:color w:val="auto"/>
        </w:rPr>
        <w:t>Deduction of Tax</w:t>
      </w:r>
    </w:p>
    <w:p>
      <w:pPr>
        <w:spacing w:after="0" w:line="229"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It is not required under the law applicable where it is incorporated or resident or at the address specified in this Agreement to make any Tax Deduction from any payment it may make under any Finance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b w:val="1"/>
          <w:bCs w:val="1"/>
          <w:color w:val="auto"/>
        </w:rPr>
        <w:t>No filing or stamp taxes</w:t>
      </w:r>
    </w:p>
    <w:p>
      <w:pPr>
        <w:spacing w:after="0" w:line="229"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Save as specified in any legal opinion delivered in accordance with Clause 4 (Conditions of Utilisation), 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b w:val="1"/>
          <w:bCs w:val="1"/>
          <w:color w:val="auto"/>
        </w:rPr>
        <w:t>No default</w:t>
      </w:r>
    </w:p>
    <w:p>
      <w:pPr>
        <w:spacing w:after="0" w:line="229"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225" w:lineRule="exact"/>
        <w:rPr>
          <w:rFonts w:ascii="Arial" w:cs="Arial" w:eastAsia="Arial" w:hAnsi="Arial"/>
          <w:sz w:val="18"/>
          <w:szCs w:val="18"/>
          <w:color w:val="auto"/>
        </w:rPr>
      </w:pPr>
    </w:p>
    <w:p>
      <w:pPr>
        <w:ind w:left="1300" w:right="40" w:hanging="644"/>
        <w:spacing w:after="0" w:line="342" w:lineRule="auto"/>
        <w:tabs>
          <w:tab w:leader="none" w:pos="130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 other event or circumstance is outstanding which constitutes a default under any other agreement or instrument which is binding on it or any member of the Group or to which its or any member of the Group’s assets are subject which might reasonably be expected to have a</w:t>
      </w:r>
    </w:p>
    <w:p>
      <w:pPr>
        <w:sectPr>
          <w:pgSz w:w="11900" w:h="16975" w:orient="portrait"/>
          <w:cols w:equalWidth="0" w:num="1">
            <w:col w:w="11420"/>
          </w:cols>
          <w:pgMar w:left="240" w:top="125" w:right="239" w:bottom="0" w:gutter="0" w:footer="0" w:header="0"/>
        </w:sectPr>
      </w:pPr>
    </w:p>
    <w:bookmarkStart w:id="31" w:name="page32"/>
    <w:bookmarkEnd w:id="31"/>
    <w:p>
      <w:pPr>
        <w:ind w:left="1300"/>
        <w:spacing w:after="0"/>
        <w:rPr>
          <w:sz w:val="20"/>
          <w:szCs w:val="20"/>
          <w:color w:val="auto"/>
        </w:rPr>
      </w:pPr>
      <w:r>
        <w:rPr>
          <w:rFonts w:ascii="Arial" w:cs="Arial" w:eastAsia="Arial" w:hAnsi="Arial"/>
          <w:sz w:val="18"/>
          <w:szCs w:val="18"/>
          <w:color w:val="auto"/>
        </w:rPr>
        <w:t>Material Adverse Effect.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b w:val="1"/>
          <w:bCs w:val="1"/>
          <w:color w:val="auto"/>
        </w:rPr>
        <w:t>No misleading information</w:t>
      </w:r>
    </w:p>
    <w:p>
      <w:pPr>
        <w:spacing w:after="0" w:line="229" w:lineRule="exact"/>
        <w:rPr>
          <w:sz w:val="20"/>
          <w:szCs w:val="20"/>
          <w:color w:val="auto"/>
        </w:rPr>
      </w:pPr>
    </w:p>
    <w:p>
      <w:pPr>
        <w:ind w:left="1300" w:right="160" w:hanging="644"/>
        <w:spacing w:after="0" w:line="308" w:lineRule="auto"/>
        <w:tabs>
          <w:tab w:leader="none" w:pos="129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factual information contained in or provided by any member of the Group for the purposes of the Information Memorandum was true and accurate in all material respects as at the date it was provided or as at the date (if any) at which it is stated.</w:t>
      </w:r>
    </w:p>
    <w:p>
      <w:pPr>
        <w:spacing w:after="0" w:line="146" w:lineRule="exact"/>
        <w:rPr>
          <w:rFonts w:ascii="Arial" w:cs="Arial" w:eastAsia="Arial" w:hAnsi="Arial"/>
          <w:sz w:val="17"/>
          <w:szCs w:val="17"/>
          <w:color w:val="auto"/>
        </w:rPr>
      </w:pPr>
    </w:p>
    <w:p>
      <w:pPr>
        <w:ind w:left="1300" w:right="180" w:hanging="644"/>
        <w:spacing w:after="0" w:line="277" w:lineRule="auto"/>
        <w:tabs>
          <w:tab w:leader="none" w:pos="1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financial projections contained in the Information Memorandum have been prepared on the basis of recent historical information and on the basis of reasonable assumptions.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Nothing has occurred or been omitted from the Information Memorandum and no information has been given or withheld that results in the information contained in the Information Memorandum being untrue or misleading in any material respect.</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information (other than the Information Memorandum) supplied by any member of the Group was true, complete and accurate in all material respects as at the date it was given and was not misleading in any material respect.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1300" w:right="200" w:hanging="644"/>
        <w:spacing w:after="0" w:line="342" w:lineRule="auto"/>
        <w:tabs>
          <w:tab w:leader="none" w:pos="129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financial statements most recently supplied to the Agent (which, at the date of this Agreement, are the Original Financial Statements) were prepared in accordance with GAAP consistently applied save to the extent expressly disclosed in such financial statements.</w:t>
      </w:r>
    </w:p>
    <w:p>
      <w:pPr>
        <w:spacing w:after="0" w:line="123" w:lineRule="exact"/>
        <w:rPr>
          <w:rFonts w:ascii="Arial" w:cs="Arial" w:eastAsia="Arial" w:hAnsi="Arial"/>
          <w:sz w:val="16"/>
          <w:szCs w:val="16"/>
          <w:color w:val="auto"/>
        </w:rPr>
      </w:pPr>
    </w:p>
    <w:p>
      <w:pPr>
        <w:ind w:left="1300" w:right="240" w:hanging="644"/>
        <w:spacing w:after="0" w:line="264" w:lineRule="auto"/>
        <w:tabs>
          <w:tab w:leader="none" w:pos="130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financial statements most recently supplied to the Agent (which, at the date of this Agreement, are its Original Financial Statements) give a true and fair view of the Group’s consolidated financial condition and operations for the period to which they relate, save to the extent expressly disclosed in such financial statements.</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1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has been no material adverse change in the consolidated business or financial condition of the Borrower since the date of the Original Financial Statements.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b w:val="1"/>
          <w:bCs w:val="1"/>
          <w:color w:val="auto"/>
        </w:rPr>
        <w:t>Pari passu ranking</w:t>
      </w:r>
    </w:p>
    <w:p>
      <w:pPr>
        <w:spacing w:after="0" w:line="229"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 xml:space="preserve">Its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of its other unsecured and unsubordinated creditors, except for obligations mandatorily preferred by law applying to companies generally.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5"/>
          <w:szCs w:val="15"/>
          <w:b w:val="1"/>
          <w:bCs w:val="1"/>
          <w:color w:val="auto"/>
        </w:rPr>
        <w:t>No proceedings pending or threatened</w:t>
      </w:r>
    </w:p>
    <w:p>
      <w:pPr>
        <w:spacing w:after="0" w:line="229"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any member of the Group.</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b w:val="1"/>
          <w:bCs w:val="1"/>
          <w:color w:val="auto"/>
        </w:rPr>
        <w:t>No breach of laws</w:t>
      </w:r>
    </w:p>
    <w:p>
      <w:pPr>
        <w:spacing w:after="0" w:line="229" w:lineRule="exact"/>
        <w:rPr>
          <w:sz w:val="20"/>
          <w:szCs w:val="20"/>
          <w:color w:val="auto"/>
        </w:rPr>
      </w:pPr>
    </w:p>
    <w:p>
      <w:pPr>
        <w:ind w:left="1300" w:right="240" w:hanging="644"/>
        <w:spacing w:after="0" w:line="277" w:lineRule="auto"/>
        <w:tabs>
          <w:tab w:leader="none" w:pos="129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has not and none of the Group members has breached any law or regulation which breach has or is reasonably likely to have a Material Adverse Effect.</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labour disputes are current or, to the best of its knowledge and belief (having made due and careful enquiry), threatened against any Material Subsidiary which have or are reasonably likely to have a Material Adverse Effect.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18.16</w:t>
      </w:r>
      <w:r>
        <w:rPr>
          <w:sz w:val="20"/>
          <w:szCs w:val="20"/>
          <w:color w:val="auto"/>
        </w:rPr>
        <w:tab/>
      </w:r>
      <w:r>
        <w:rPr>
          <w:rFonts w:ascii="Arial" w:cs="Arial" w:eastAsia="Arial" w:hAnsi="Arial"/>
          <w:sz w:val="16"/>
          <w:szCs w:val="16"/>
          <w:b w:val="1"/>
          <w:bCs w:val="1"/>
          <w:color w:val="auto"/>
        </w:rPr>
        <w:t>Authorised signatures</w:t>
      </w:r>
    </w:p>
    <w:p>
      <w:pPr>
        <w:spacing w:after="0" w:line="229"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Any person specified as its authorised signatory under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or paragraph (a)(v) of Clause 19.4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miscellaneous</w:t>
      </w:r>
      <w:r>
        <w:rPr>
          <w:rFonts w:ascii="Arial" w:cs="Arial" w:eastAsia="Arial" w:hAnsi="Arial"/>
          <w:sz w:val="18"/>
          <w:szCs w:val="18"/>
          <w:color w:val="auto"/>
        </w:rPr>
        <w:t>) (in each case, to the extent not replaced as notified by the Borrower pursuant to Clause 19.4(a)(v)) is authorised to sign the Utilisation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(in the case of the Borrower only) and other notices on its behalf.</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18.17</w:t>
      </w:r>
      <w:r>
        <w:rPr>
          <w:sz w:val="20"/>
          <w:szCs w:val="20"/>
          <w:color w:val="auto"/>
        </w:rPr>
        <w:tab/>
      </w:r>
      <w:r>
        <w:rPr>
          <w:rFonts w:ascii="Arial" w:cs="Arial" w:eastAsia="Arial" w:hAnsi="Arial"/>
          <w:sz w:val="15"/>
          <w:szCs w:val="15"/>
          <w:b w:val="1"/>
          <w:bCs w:val="1"/>
          <w:color w:val="auto"/>
        </w:rPr>
        <w:t>Good title to assets</w:t>
      </w:r>
    </w:p>
    <w:p>
      <w:pPr>
        <w:spacing w:after="0" w:line="22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It and each of the Group members has a good, valid and marketable title to, or valid leases or licenses of, and all appropriate Authorisations to use, the assets necessary to carry on its business as presently conducted.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18.18</w:t>
      </w:r>
      <w:r>
        <w:rPr>
          <w:sz w:val="20"/>
          <w:szCs w:val="20"/>
          <w:color w:val="auto"/>
        </w:rPr>
        <w:tab/>
      </w:r>
      <w:r>
        <w:rPr>
          <w:rFonts w:ascii="Arial" w:cs="Arial" w:eastAsia="Arial" w:hAnsi="Arial"/>
          <w:sz w:val="16"/>
          <w:szCs w:val="16"/>
          <w:b w:val="1"/>
          <w:bCs w:val="1"/>
          <w:color w:val="auto"/>
        </w:rPr>
        <w:t>Holding company</w:t>
      </w:r>
    </w:p>
    <w:p>
      <w:pPr>
        <w:spacing w:after="0" w:line="229"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At the date of this Agreement, neither the Borrower nor the Guarantor has traded or incurred any liabilities or commitments (actual or contingent, present or future) other than as permitted by Clause 21.16 (</w:t>
      </w:r>
      <w:r>
        <w:rPr>
          <w:rFonts w:ascii="Arial" w:cs="Arial" w:eastAsia="Arial" w:hAnsi="Arial"/>
          <w:sz w:val="18"/>
          <w:szCs w:val="18"/>
          <w:i w:val="1"/>
          <w:iCs w:val="1"/>
          <w:color w:val="auto"/>
        </w:rPr>
        <w:t>Holding company undertakings</w:t>
      </w:r>
      <w:r>
        <w:rPr>
          <w:rFonts w:ascii="Arial" w:cs="Arial" w:eastAsia="Arial" w:hAnsi="Arial"/>
          <w:sz w:val="18"/>
          <w:szCs w:val="18"/>
          <w:color w:val="auto"/>
        </w:rPr>
        <w:t>) of this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18.19</w:t>
      </w:r>
      <w:r>
        <w:rPr>
          <w:sz w:val="20"/>
          <w:szCs w:val="20"/>
          <w:color w:val="auto"/>
        </w:rPr>
        <w:tab/>
      </w:r>
      <w:r>
        <w:rPr>
          <w:rFonts w:ascii="Arial" w:cs="Arial" w:eastAsia="Arial" w:hAnsi="Arial"/>
          <w:sz w:val="16"/>
          <w:szCs w:val="16"/>
          <w:b w:val="1"/>
          <w:bCs w:val="1"/>
          <w:color w:val="auto"/>
        </w:rPr>
        <w:t>Anti-money laundering</w:t>
      </w:r>
    </w:p>
    <w:p>
      <w:pPr>
        <w:spacing w:after="0" w:line="229" w:lineRule="exact"/>
        <w:rPr>
          <w:sz w:val="20"/>
          <w:szCs w:val="20"/>
          <w:color w:val="auto"/>
        </w:rPr>
      </w:pPr>
    </w:p>
    <w:p>
      <w:pPr>
        <w:ind w:left="1300" w:right="140" w:hanging="644"/>
        <w:spacing w:after="0" w:line="257" w:lineRule="auto"/>
        <w:tabs>
          <w:tab w:leader="none" w:pos="129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operations of each member of the Group are, and have been, conducted at all times in compliance with applicable financial record keeping and reporting requirements and money laundering statutes in each of the jurisdictions in which it is incorporated or domiciled (as the case may be) and of all jurisdictions in which each member of the Group conducts business, the rules and regulations thereunder and any related or similar rules, regulations or guidelines, issued, administered or enforced by any governmental agency (collectively,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Laundering Laws</w:t>
      </w:r>
      <w:r>
        <w:rPr>
          <w:rFonts w:ascii="Arial" w:cs="Arial" w:eastAsia="Arial" w:hAnsi="Arial"/>
          <w:sz w:val="18"/>
          <w:szCs w:val="18"/>
          <w:color w:val="auto"/>
        </w:rPr>
        <w:t>”); and</w:t>
      </w:r>
    </w:p>
    <w:p>
      <w:pPr>
        <w:sectPr>
          <w:pgSz w:w="11900" w:h="16838" w:orient="portrait"/>
          <w:cols w:equalWidth="0" w:num="1">
            <w:col w:w="11420"/>
          </w:cols>
          <w:pgMar w:left="240" w:top="125" w:right="239" w:bottom="63" w:gutter="0" w:footer="0" w:header="0"/>
        </w:sectPr>
      </w:pPr>
    </w:p>
    <w:bookmarkStart w:id="32" w:name="page33"/>
    <w:bookmarkEnd w:id="32"/>
    <w:p>
      <w:pPr>
        <w:spacing w:after="0" w:line="137" w:lineRule="exact"/>
        <w:rPr>
          <w:sz w:val="20"/>
          <w:szCs w:val="20"/>
          <w:color w:val="auto"/>
        </w:rPr>
      </w:pPr>
    </w:p>
    <w:p>
      <w:pPr>
        <w:jc w:val="both"/>
        <w:ind w:left="1300" w:right="180" w:hanging="644"/>
        <w:spacing w:after="0" w:line="286" w:lineRule="auto"/>
        <w:tabs>
          <w:tab w:leader="none" w:pos="130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any member of the Group with respect to Money Laundering Laws is pending and, to the best of the knowledge and belief of each member of the Group having made all reasonable enquiries, no such actions, suits or proceedings are threatened or contemplated.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18.20</w:t>
      </w:r>
      <w:r>
        <w:rPr>
          <w:sz w:val="20"/>
          <w:szCs w:val="20"/>
          <w:color w:val="auto"/>
        </w:rPr>
        <w:tab/>
      </w:r>
      <w:r>
        <w:rPr>
          <w:rFonts w:ascii="Arial" w:cs="Arial" w:eastAsia="Arial" w:hAnsi="Arial"/>
          <w:sz w:val="16"/>
          <w:szCs w:val="16"/>
          <w:b w:val="1"/>
          <w:bCs w:val="1"/>
          <w:color w:val="auto"/>
        </w:rPr>
        <w:t>Anti-corruption law</w:t>
      </w:r>
    </w:p>
    <w:p>
      <w:pPr>
        <w:spacing w:after="0" w:line="229" w:lineRule="exact"/>
        <w:rPr>
          <w:sz w:val="20"/>
          <w:szCs w:val="20"/>
          <w:color w:val="auto"/>
        </w:rPr>
      </w:pPr>
    </w:p>
    <w:p>
      <w:pPr>
        <w:ind w:left="1300" w:right="300" w:hanging="644"/>
        <w:spacing w:after="0" w:line="277" w:lineRule="auto"/>
        <w:tabs>
          <w:tab w:leader="none" w:pos="12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member of the Group and each of their officers, directors, employees and agents is in compliance with applicable Anti-Corruption Laws; and</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member of the Group has instituted and maintained policies and procedures designed to promote and achieve compliance with Anti-Corruption Laws.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6"/>
          <w:szCs w:val="16"/>
          <w:b w:val="1"/>
          <w:bCs w:val="1"/>
          <w:color w:val="auto"/>
        </w:rPr>
        <w:t>No dividend restriction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contractual restriction or contractual limitation on any Group member incorporated in PRC to:</w:t>
      </w:r>
    </w:p>
    <w:p>
      <w:pPr>
        <w:spacing w:after="0" w:line="225" w:lineRule="exact"/>
        <w:rPr>
          <w:sz w:val="20"/>
          <w:szCs w:val="20"/>
          <w:color w:val="auto"/>
        </w:rPr>
      </w:pPr>
    </w:p>
    <w:p>
      <w:pPr>
        <w:ind w:left="1300" w:right="240" w:hanging="644"/>
        <w:spacing w:after="0" w:line="277" w:lineRule="auto"/>
        <w:tabs>
          <w:tab w:leader="none" w:pos="12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pay or allow it to pay any management, advisory or other fee to or to the order of any of its shareholders;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redeem, repurchase, defease, retire or repay any of its share capital or resolve to do so,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each case, including but not limited to the repatriation of such dividend or other distribution to any shareholder incorporated outside of PRC.</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16"/>
          <w:szCs w:val="16"/>
          <w:b w:val="1"/>
          <w:bCs w:val="1"/>
          <w:color w:val="auto"/>
        </w:rPr>
        <w:t>No Financial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member of the Group has any Financial Indebtedness outstanding other than Permitted Financial Indebtedness.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16"/>
          <w:szCs w:val="16"/>
          <w:b w:val="1"/>
          <w:bCs w:val="1"/>
          <w:color w:val="auto"/>
        </w:rPr>
        <w:t>No Security or Quasi-Security</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 Security or Quasi-Security exists over all or any of the present or future assets of any member of the Group other than Permitted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18.24</w:t>
      </w:r>
      <w:r>
        <w:rPr>
          <w:sz w:val="20"/>
          <w:szCs w:val="20"/>
          <w:color w:val="auto"/>
        </w:rPr>
        <w:tab/>
      </w:r>
      <w:r>
        <w:rPr>
          <w:rFonts w:ascii="Arial" w:cs="Arial" w:eastAsia="Arial" w:hAnsi="Arial"/>
          <w:sz w:val="16"/>
          <w:szCs w:val="16"/>
          <w:b w:val="1"/>
          <w:bCs w:val="1"/>
          <w:color w:val="auto"/>
        </w:rPr>
        <w:t>Repetition</w:t>
      </w:r>
    </w:p>
    <w:p>
      <w:pPr>
        <w:spacing w:after="0" w:line="22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Repeating Representations are deemed to be made by each Obligor by reference to the facts and circumstances then existing on the date of the Utilisation Request and the first day of each Interest Period.</w:t>
      </w:r>
    </w:p>
    <w:p>
      <w:pPr>
        <w:spacing w:after="0" w:line="166"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229"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undertakings in this Clause 19 remain in force from the date of this Agreement for so long as any amount is outstanding under the Finance Documents or any Commitment is in force.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in sufficient copies for all the Lenders:</w:t>
      </w:r>
    </w:p>
    <w:p>
      <w:pPr>
        <w:spacing w:after="0" w:line="225" w:lineRule="exact"/>
        <w:rPr>
          <w:sz w:val="20"/>
          <w:szCs w:val="20"/>
          <w:color w:val="auto"/>
        </w:rPr>
      </w:pPr>
    </w:p>
    <w:p>
      <w:pPr>
        <w:ind w:left="1300" w:right="160" w:hanging="644"/>
        <w:spacing w:after="0" w:line="277" w:lineRule="auto"/>
        <w:tabs>
          <w:tab w:leader="none" w:pos="129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w:t>
      </w:r>
    </w:p>
    <w:p>
      <w:pPr>
        <w:spacing w:after="0" w:line="170" w:lineRule="exact"/>
        <w:rPr>
          <w:rFonts w:ascii="Arial" w:cs="Arial" w:eastAsia="Arial" w:hAnsi="Arial"/>
          <w:sz w:val="18"/>
          <w:szCs w:val="18"/>
          <w:color w:val="auto"/>
        </w:rPr>
      </w:pPr>
    </w:p>
    <w:p>
      <w:pPr>
        <w:ind w:left="1300" w:right="600" w:hanging="644"/>
        <w:spacing w:after="0" w:line="277" w:lineRule="auto"/>
        <w:tabs>
          <w:tab w:leader="none" w:pos="13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60 days after the end of each quarter of each of its financial years, its unaudited consolidated financial results for that financial quarter.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b w:val="1"/>
          <w:bCs w:val="1"/>
          <w:color w:val="auto"/>
        </w:rPr>
        <w:t>Compliance Certificate</w:t>
      </w:r>
    </w:p>
    <w:p>
      <w:pPr>
        <w:spacing w:after="0" w:line="229"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Borrower shall supply to the Agent, with each set of its financial statements delivered pursuant to paragraph (a) or (b) of Clause 19.1</w:t>
      </w:r>
    </w:p>
    <w:p>
      <w:pPr>
        <w:spacing w:after="0" w:line="46"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a Compliance Certificate setting out (in reasonable detail) computations as to compliance with Clause 20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 as at the date as at which those financial statements were drawn up.</w:t>
      </w:r>
    </w:p>
    <w:p>
      <w:pPr>
        <w:spacing w:after="0" w:line="183" w:lineRule="exact"/>
        <w:rPr>
          <w:rFonts w:ascii="Arial" w:cs="Arial" w:eastAsia="Arial" w:hAnsi="Arial"/>
          <w:sz w:val="16"/>
          <w:szCs w:val="16"/>
          <w:color w:val="auto"/>
        </w:rPr>
      </w:pPr>
    </w:p>
    <w:p>
      <w:pPr>
        <w:ind w:left="1300" w:hanging="644"/>
        <w:spacing w:after="0" w:line="277" w:lineRule="auto"/>
        <w:tabs>
          <w:tab w:leader="none" w:pos="130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Compliance Certificate delivered pursuant to paragraph (a) above shall be signed by two directors of the Borrower or one director and the chief financial officer of the Borrower.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Requirements as to financial statements</w:t>
      </w:r>
    </w:p>
    <w:p>
      <w:pPr>
        <w:spacing w:after="0" w:line="229" w:lineRule="exact"/>
        <w:rPr>
          <w:sz w:val="20"/>
          <w:szCs w:val="20"/>
          <w:color w:val="auto"/>
        </w:rPr>
      </w:pPr>
    </w:p>
    <w:p>
      <w:pPr>
        <w:jc w:val="both"/>
        <w:ind w:left="1300" w:right="60" w:hanging="644"/>
        <w:spacing w:after="0" w:line="342" w:lineRule="auto"/>
        <w:tabs>
          <w:tab w:leader="none" w:pos="129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Each set of financial statements delivered by the Borrower pursuant to Clause 19.1 (</w:t>
      </w:r>
      <w:r>
        <w:rPr>
          <w:rFonts w:ascii="Arial" w:cs="Arial" w:eastAsia="Arial" w:hAnsi="Arial"/>
          <w:sz w:val="16"/>
          <w:szCs w:val="16"/>
          <w:i w:val="1"/>
          <w:iCs w:val="1"/>
          <w:color w:val="auto"/>
        </w:rPr>
        <w:t>Financial statements</w:t>
      </w:r>
      <w:r>
        <w:rPr>
          <w:rFonts w:ascii="Arial" w:cs="Arial" w:eastAsia="Arial" w:hAnsi="Arial"/>
          <w:sz w:val="16"/>
          <w:szCs w:val="16"/>
          <w:color w:val="auto"/>
        </w:rPr>
        <w:t>) shall be certified by a director of the Borrower as giving a true and fair view of (in the case of any such financial statements which are audited) or fairly representing (in the</w:t>
      </w:r>
    </w:p>
    <w:p>
      <w:pPr>
        <w:sectPr>
          <w:pgSz w:w="11900" w:h="16975" w:orient="portrait"/>
          <w:cols w:equalWidth="0" w:num="1">
            <w:col w:w="11380"/>
          </w:cols>
          <w:pgMar w:left="240" w:top="125" w:right="279" w:bottom="0" w:gutter="0" w:footer="0" w:header="0"/>
        </w:sectPr>
      </w:pPr>
    </w:p>
    <w:bookmarkStart w:id="33" w:name="page34"/>
    <w:bookmarkEnd w:id="33"/>
    <w:p>
      <w:pPr>
        <w:ind w:left="1300" w:right="140"/>
        <w:spacing w:after="0" w:line="277" w:lineRule="auto"/>
        <w:rPr>
          <w:sz w:val="20"/>
          <w:szCs w:val="20"/>
          <w:color w:val="auto"/>
        </w:rPr>
      </w:pPr>
      <w:r>
        <w:rPr>
          <w:rFonts w:ascii="Arial" w:cs="Arial" w:eastAsia="Arial" w:hAnsi="Arial"/>
          <w:sz w:val="18"/>
          <w:szCs w:val="18"/>
          <w:color w:val="auto"/>
        </w:rPr>
        <w:t>case of any such financial statements which are unaudited) its financial condition as at the date as at which those financial statements were drawn up.</w:t>
      </w:r>
    </w:p>
    <w:p>
      <w:pPr>
        <w:spacing w:after="0" w:line="170" w:lineRule="exact"/>
        <w:rPr>
          <w:sz w:val="20"/>
          <w:szCs w:val="20"/>
          <w:color w:val="auto"/>
        </w:rPr>
      </w:pPr>
    </w:p>
    <w:p>
      <w:pPr>
        <w:ind w:left="1300" w:right="100" w:hanging="644"/>
        <w:spacing w:after="0" w:line="277" w:lineRule="auto"/>
        <w:tabs>
          <w:tab w:leader="none" w:pos="13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is prepared using GAAP.</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31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is prepared using GAAP, accounting practices and financial reference periods consistent with those applied in the preparation of the Original Financial Statements unless, in relation to any set of financial statements, it notifies the Agent that there has been a change in GAAP, the accounting practices or reference periods and its auditors deliver to the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540" w:hanging="655"/>
        <w:spacing w:after="0" w:line="277" w:lineRule="auto"/>
        <w:tabs>
          <w:tab w:leader="none" w:pos="195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accounting practices and reference periods upon which the Borrower’s Original Financial Statements were prepared; and</w:t>
      </w:r>
    </w:p>
    <w:p>
      <w:pPr>
        <w:spacing w:after="0" w:line="170" w:lineRule="exact"/>
        <w:rPr>
          <w:rFonts w:ascii="Arial" w:cs="Arial" w:eastAsia="Arial" w:hAnsi="Arial"/>
          <w:sz w:val="18"/>
          <w:szCs w:val="18"/>
          <w:color w:val="auto"/>
        </w:rPr>
      </w:pPr>
    </w:p>
    <w:p>
      <w:pPr>
        <w:ind w:left="1960" w:right="20" w:hanging="655"/>
        <w:spacing w:after="0" w:line="264" w:lineRule="auto"/>
        <w:tabs>
          <w:tab w:leader="none" w:pos="19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make an accurate comparison between the financial position indicated in those financial statements and the Original Financial Statements.</w:t>
      </w:r>
    </w:p>
    <w:p>
      <w:pPr>
        <w:spacing w:after="0" w:line="181"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b w:val="1"/>
          <w:bCs w:val="1"/>
          <w:color w:val="auto"/>
        </w:rPr>
        <w:t>Information: miscellaneous</w:t>
      </w:r>
    </w:p>
    <w:p>
      <w:pPr>
        <w:spacing w:after="0" w:line="229"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shall supply to the Agent (in sufficient copies for all the Finance Parties, if the Agent so requests):</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5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despatched;</w:t>
      </w:r>
    </w:p>
    <w:p>
      <w:pPr>
        <w:spacing w:after="0" w:line="170" w:lineRule="exact"/>
        <w:rPr>
          <w:rFonts w:ascii="Arial" w:cs="Arial" w:eastAsia="Arial" w:hAnsi="Arial"/>
          <w:sz w:val="18"/>
          <w:szCs w:val="18"/>
          <w:color w:val="auto"/>
        </w:rPr>
      </w:pPr>
    </w:p>
    <w:p>
      <w:pPr>
        <w:ind w:left="1960" w:right="280" w:hanging="655"/>
        <w:spacing w:after="0" w:line="286" w:lineRule="auto"/>
        <w:tabs>
          <w:tab w:leader="none" w:pos="196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promptly, any announcement, notice or other document relating specifically to the Borrower posted onto any electronic website maintained by any stock exchange on which shares in or other securities of the Borrower are listed or any electronic website required by any such stock exchange to be maintained by or on behalf of the Borrower;</w:t>
      </w:r>
    </w:p>
    <w:p>
      <w:pPr>
        <w:spacing w:after="0" w:line="165" w:lineRule="exact"/>
        <w:rPr>
          <w:rFonts w:ascii="Arial" w:cs="Arial" w:eastAsia="Arial" w:hAnsi="Arial"/>
          <w:sz w:val="17"/>
          <w:szCs w:val="17"/>
          <w:color w:val="auto"/>
        </w:rPr>
      </w:pPr>
    </w:p>
    <w:p>
      <w:pPr>
        <w:ind w:left="1960" w:right="160" w:hanging="655"/>
        <w:spacing w:after="0" w:line="264" w:lineRule="auto"/>
        <w:tabs>
          <w:tab w:leader="none" w:pos="197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any member of the Group, and which might, if adversely determined, have a Material Adverse Effect;</w:t>
      </w:r>
    </w:p>
    <w:p>
      <w:pPr>
        <w:spacing w:after="0" w:line="181" w:lineRule="exact"/>
        <w:rPr>
          <w:rFonts w:ascii="Arial" w:cs="Arial" w:eastAsia="Arial" w:hAnsi="Arial"/>
          <w:sz w:val="18"/>
          <w:szCs w:val="18"/>
          <w:color w:val="auto"/>
        </w:rPr>
      </w:pPr>
    </w:p>
    <w:p>
      <w:pPr>
        <w:ind w:left="1960" w:right="180" w:hanging="655"/>
        <w:spacing w:after="0" w:line="277" w:lineRule="auto"/>
        <w:tabs>
          <w:tab w:leader="none" w:pos="195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business and operations of any member of the Group as any Finance Party (through the Agent) may reasonably request; and</w:t>
      </w:r>
    </w:p>
    <w:p>
      <w:pPr>
        <w:spacing w:after="0" w:line="170" w:lineRule="exact"/>
        <w:rPr>
          <w:rFonts w:ascii="Arial" w:cs="Arial" w:eastAsia="Arial" w:hAnsi="Arial"/>
          <w:sz w:val="18"/>
          <w:szCs w:val="18"/>
          <w:color w:val="auto"/>
        </w:rPr>
      </w:pPr>
    </w:p>
    <w:p>
      <w:pPr>
        <w:ind w:left="1960" w:right="100" w:hanging="655"/>
        <w:spacing w:after="0" w:line="277" w:lineRule="auto"/>
        <w:tabs>
          <w:tab w:leader="none" w:pos="19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promptly, notice of any change in authorised signatories of any Obligor signed by a director or company secretary of such Obligor accompanied by specimen signatures of any new authorised signatories.</w:t>
      </w:r>
    </w:p>
    <w:p>
      <w:pPr>
        <w:spacing w:after="0" w:line="170" w:lineRule="exact"/>
        <w:rPr>
          <w:rFonts w:ascii="Arial" w:cs="Arial" w:eastAsia="Arial" w:hAnsi="Arial"/>
          <w:sz w:val="18"/>
          <w:szCs w:val="18"/>
          <w:color w:val="auto"/>
        </w:rPr>
      </w:pPr>
    </w:p>
    <w:p>
      <w:pPr>
        <w:ind w:left="1300" w:right="40" w:hanging="644"/>
        <w:spacing w:after="0" w:line="302" w:lineRule="auto"/>
        <w:tabs>
          <w:tab w:leader="none" w:pos="130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Guarantor shall promptly supply to the Agent (in sufficient copies for all the Finance Parties, if the Agent so requests), but in any event within 60 days after the end of each quarter of each of its financial years, an abstract of financial information accurately reflecting the Guarantor’s cash balance and the amount of its Financial Indebtedness (including any intra-Group Financial Indebtedness and including each Financial Indebtedness in sufficient detail) and in form and substance satisfactory to the Agent (acting reasonably).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Notification of default</w:t>
      </w:r>
    </w:p>
    <w:p>
      <w:pPr>
        <w:spacing w:after="0" w:line="229" w:lineRule="exact"/>
        <w:rPr>
          <w:sz w:val="20"/>
          <w:szCs w:val="20"/>
          <w:color w:val="auto"/>
        </w:rPr>
      </w:pPr>
    </w:p>
    <w:p>
      <w:pPr>
        <w:ind w:left="1300" w:right="280" w:hanging="644"/>
        <w:spacing w:after="0" w:line="277" w:lineRule="auto"/>
        <w:tabs>
          <w:tab w:leader="none" w:pos="129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shall notify the Agent of any material violation, alleged material violation or potential material violation by any member of the Group of any law, regulation, stock exchange rules or listing rules promptly upon becoming aware of them.</w:t>
      </w:r>
    </w:p>
    <w:p>
      <w:pPr>
        <w:spacing w:after="0" w:line="170" w:lineRule="exact"/>
        <w:rPr>
          <w:rFonts w:ascii="Arial" w:cs="Arial" w:eastAsia="Arial" w:hAnsi="Arial"/>
          <w:sz w:val="18"/>
          <w:szCs w:val="18"/>
          <w:color w:val="auto"/>
        </w:rPr>
      </w:pPr>
    </w:p>
    <w:p>
      <w:pPr>
        <w:ind w:left="1300" w:hanging="644"/>
        <w:spacing w:after="0" w:line="264" w:lineRule="auto"/>
        <w:tabs>
          <w:tab w:leader="none" w:pos="13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5"/>
          <w:szCs w:val="15"/>
          <w:b w:val="1"/>
          <w:bCs w:val="1"/>
          <w:color w:val="auto"/>
        </w:rPr>
        <w:t>Use of websites</w:t>
      </w:r>
    </w:p>
    <w:p>
      <w:pPr>
        <w:spacing w:after="0" w:line="225" w:lineRule="exact"/>
        <w:rPr>
          <w:sz w:val="20"/>
          <w:szCs w:val="20"/>
          <w:color w:val="auto"/>
        </w:rPr>
      </w:pPr>
    </w:p>
    <w:p>
      <w:pPr>
        <w:ind w:left="1300" w:right="260" w:hanging="644"/>
        <w:spacing w:after="0" w:line="266" w:lineRule="auto"/>
        <w:tabs>
          <w:tab w:leader="none" w:pos="129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Borrower may satisfy its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80" w:lineRule="exact"/>
        <w:rPr>
          <w:rFonts w:ascii="Arial" w:cs="Arial" w:eastAsia="Arial" w:hAnsi="Arial"/>
          <w:sz w:val="18"/>
          <w:szCs w:val="18"/>
          <w:color w:val="auto"/>
        </w:rPr>
      </w:pPr>
    </w:p>
    <w:p>
      <w:pPr>
        <w:ind w:left="1960" w:right="260" w:hanging="655"/>
        <w:spacing w:after="0" w:line="277" w:lineRule="auto"/>
        <w:tabs>
          <w:tab w:leader="none" w:pos="1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ectPr>
          <w:pgSz w:w="11900" w:h="16838" w:orient="portrait"/>
          <w:cols w:equalWidth="0" w:num="1">
            <w:col w:w="11420"/>
          </w:cols>
          <w:pgMar w:left="240" w:top="125" w:right="239" w:bottom="0" w:gutter="0" w:footer="0" w:header="0"/>
        </w:sectPr>
      </w:pPr>
    </w:p>
    <w:bookmarkStart w:id="34" w:name="page35"/>
    <w:bookmarkEnd w:id="34"/>
    <w:p>
      <w:pPr>
        <w:ind w:left="1960" w:right="20" w:hanging="655"/>
        <w:spacing w:after="0" w:line="277" w:lineRule="auto"/>
        <w:tabs>
          <w:tab w:leader="none" w:pos="1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both the Borrower and the Agent are aware of the address of and any relevant password specifications for the Designated Website;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 and the Agent.</w:t>
      </w:r>
    </w:p>
    <w:p>
      <w:pPr>
        <w:spacing w:after="0" w:line="221" w:lineRule="exact"/>
        <w:rPr>
          <w:sz w:val="20"/>
          <w:szCs w:val="20"/>
          <w:color w:val="auto"/>
        </w:rPr>
      </w:pPr>
    </w:p>
    <w:p>
      <w:pPr>
        <w:ind w:left="1300" w:right="380"/>
        <w:spacing w:after="0" w:line="261" w:lineRule="auto"/>
        <w:rPr>
          <w:sz w:val="20"/>
          <w:szCs w:val="20"/>
          <w:color w:val="auto"/>
        </w:rPr>
      </w:pPr>
      <w:r>
        <w:rPr>
          <w:rFonts w:ascii="Arial" w:cs="Arial" w:eastAsia="Arial" w:hAnsi="Arial"/>
          <w:sz w:val="18"/>
          <w:szCs w:val="18"/>
          <w:color w:val="auto"/>
        </w:rPr>
        <w:t>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copy in paper form of any information required to be provided by it.</w:t>
      </w:r>
    </w:p>
    <w:p>
      <w:pPr>
        <w:spacing w:after="0" w:line="184" w:lineRule="exact"/>
        <w:rPr>
          <w:sz w:val="20"/>
          <w:szCs w:val="20"/>
          <w:color w:val="auto"/>
        </w:rPr>
      </w:pPr>
    </w:p>
    <w:p>
      <w:pPr>
        <w:ind w:left="1300" w:right="420" w:hanging="644"/>
        <w:spacing w:after="0" w:line="277" w:lineRule="auto"/>
        <w:tabs>
          <w:tab w:leader="none" w:pos="130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 and the Agent.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shall promptly upon becoming aware of its occurrence notify the Agent if:</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48" w:lineRule="exact"/>
        <w:rPr>
          <w:rFonts w:ascii="Arial" w:cs="Arial" w:eastAsia="Arial" w:hAnsi="Arial"/>
          <w:sz w:val="16"/>
          <w:szCs w:val="16"/>
          <w:color w:val="auto"/>
        </w:rPr>
      </w:pPr>
    </w:p>
    <w:p>
      <w:pPr>
        <w:ind w:left="1960" w:right="220" w:hanging="655"/>
        <w:spacing w:after="0" w:line="277" w:lineRule="auto"/>
        <w:tabs>
          <w:tab w:leader="none" w:pos="19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Borrower becomes aware that the Designated Website or any information posted onto the Designated Website is or has been infected by any electronic virus or similar software.</w:t>
      </w:r>
    </w:p>
    <w:p>
      <w:pPr>
        <w:spacing w:after="0" w:line="170" w:lineRule="exact"/>
        <w:rPr>
          <w:sz w:val="20"/>
          <w:szCs w:val="20"/>
          <w:color w:val="auto"/>
        </w:rPr>
      </w:pPr>
    </w:p>
    <w:p>
      <w:pPr>
        <w:jc w:val="both"/>
        <w:ind w:left="1300" w:right="100"/>
        <w:spacing w:after="0" w:line="264" w:lineRule="auto"/>
        <w:rPr>
          <w:sz w:val="20"/>
          <w:szCs w:val="20"/>
          <w:color w:val="auto"/>
        </w:rPr>
      </w:pPr>
      <w:r>
        <w:rPr>
          <w:rFonts w:ascii="Arial" w:cs="Arial" w:eastAsia="Arial" w:hAnsi="Arial"/>
          <w:sz w:val="18"/>
          <w:szCs w:val="18"/>
          <w:color w:val="auto"/>
        </w:rPr>
        <w:t>If the Borrower notifies the Agent under paragraph (c)(i) or paragraph (c)(v)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181" w:lineRule="exact"/>
        <w:rPr>
          <w:sz w:val="20"/>
          <w:szCs w:val="20"/>
          <w:color w:val="auto"/>
        </w:rPr>
      </w:pPr>
    </w:p>
    <w:p>
      <w:pPr>
        <w:ind w:left="1300" w:right="320" w:hanging="644"/>
        <w:spacing w:after="0" w:line="342" w:lineRule="auto"/>
        <w:tabs>
          <w:tab w:leader="none" w:pos="130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Borrower shall comply with any such request within 10 Business Days.</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b w:val="1"/>
          <w:bCs w:val="1"/>
          <w:color w:val="auto"/>
        </w:rPr>
        <w:t>“Know your customer” checks</w:t>
      </w:r>
    </w:p>
    <w:p>
      <w:pPr>
        <w:spacing w:after="0" w:line="229" w:lineRule="exact"/>
        <w:rPr>
          <w:sz w:val="20"/>
          <w:szCs w:val="20"/>
          <w:color w:val="auto"/>
        </w:rPr>
      </w:pPr>
    </w:p>
    <w:p>
      <w:pPr>
        <w:ind w:left="1300" w:right="200" w:hanging="644"/>
        <w:spacing w:after="0" w:line="259" w:lineRule="auto"/>
        <w:tabs>
          <w:tab w:leader="none" w:pos="129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Obligor shall promptly upon the request of the Agent supply, or procure the supply of, such documentation and other evidence as is reasonably requested by the Agent (for itself or on behalf of any Lender (including for any Lender on behalf of any prospective new Lender)) in order for the Agent, such Lender or any prospective new Lender to conduct any “know your customer” or other similar procedures under applicable laws and regulations.</w:t>
      </w:r>
    </w:p>
    <w:p>
      <w:pPr>
        <w:spacing w:after="0" w:line="186" w:lineRule="exact"/>
        <w:rPr>
          <w:rFonts w:ascii="Arial" w:cs="Arial" w:eastAsia="Arial" w:hAnsi="Arial"/>
          <w:sz w:val="18"/>
          <w:szCs w:val="18"/>
          <w:color w:val="auto"/>
        </w:rPr>
      </w:pPr>
    </w:p>
    <w:p>
      <w:pPr>
        <w:ind w:left="1300" w:right="240" w:hanging="644"/>
        <w:spacing w:after="0" w:line="264" w:lineRule="auto"/>
        <w:tabs>
          <w:tab w:leader="none" w:pos="130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conduct any “know your customer” or other similar procedures under applicable laws and regulations.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FINANCIAL COVENANTS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Financial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21" w:lineRule="exact"/>
        <w:rPr>
          <w:sz w:val="20"/>
          <w:szCs w:val="20"/>
          <w:color w:val="auto"/>
        </w:rPr>
      </w:pPr>
    </w:p>
    <w:p>
      <w:pPr>
        <w:ind w:left="66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Borrowings</w:t>
      </w:r>
      <w:r>
        <w:rPr>
          <w:rFonts w:ascii="Arial" w:cs="Arial" w:eastAsia="Arial" w:hAnsi="Arial"/>
          <w:sz w:val="18"/>
          <w:szCs w:val="18"/>
          <w:color w:val="auto"/>
        </w:rPr>
        <w:t>” means, at any time, the aggregate outstanding principal, capital or nominal amount (and any fixed or minimum premium payable on prepayment or redemption) of any indebtedness of members of the Group for or in respect of Financial Indebtedness (except any Financial Indebtedness falling within paragraph (g) of the definition of “Financial Indebtedness”).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means, at any time, the aggregate amount of cash and cash equivalents shown in the latest consolidated financial statements or consolidated financial results (as applicable) of the Borrower, provided that:</w:t>
      </w:r>
    </w:p>
    <w:p>
      <w:pPr>
        <w:spacing w:after="0" w:line="166" w:lineRule="exact"/>
        <w:rPr>
          <w:sz w:val="20"/>
          <w:szCs w:val="20"/>
          <w:color w:val="auto"/>
        </w:rPr>
      </w:pPr>
    </w:p>
    <w:p>
      <w:pPr>
        <w:ind w:left="1300" w:right="40" w:hanging="644"/>
        <w:spacing w:after="0" w:line="264" w:lineRule="auto"/>
        <w:tabs>
          <w:tab w:leader="none" w:pos="129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repayment of that cash and cash equivalents is not contingent on the prior discharge of any other indebtedness of any member of the Group or of any other person whatsoever or on the satisfaction of any other condition except the expiry of any deposit period and request for repayment; and</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is no Security over that cash and cash equivalents except for any Permitted Security constituted by a netting or set-off arrangement entered into by members of the Group in the ordinary course of their banking arrangements.</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any Relevant Period, the consolidated income before income tax and share of net losses or gains of equity investees of the Group before taxation (including the results from any discontinued operations:</w:t>
      </w:r>
    </w:p>
    <w:p>
      <w:pPr>
        <w:sectPr>
          <w:pgSz w:w="11900" w:h="16838" w:orient="portrait"/>
          <w:cols w:equalWidth="0" w:num="1">
            <w:col w:w="11360"/>
          </w:cols>
          <w:pgMar w:left="240" w:top="125" w:right="299" w:bottom="0" w:gutter="0" w:footer="0" w:header="0"/>
        </w:sectPr>
      </w:pPr>
    </w:p>
    <w:bookmarkStart w:id="35" w:name="page36"/>
    <w:bookmarkEnd w:id="35"/>
    <w:p>
      <w:pPr>
        <w:spacing w:after="0" w:line="32" w:lineRule="exact"/>
        <w:rPr>
          <w:sz w:val="20"/>
          <w:szCs w:val="20"/>
          <w:color w:val="auto"/>
        </w:rPr>
      </w:pPr>
    </w:p>
    <w:p>
      <w:pPr>
        <w:ind w:left="1300" w:right="360" w:hanging="644"/>
        <w:spacing w:after="0" w:line="342" w:lineRule="auto"/>
        <w:tabs>
          <w:tab w:leader="none" w:pos="129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before deducting any interest, commission, fees, discounts, prepayment fees, premiums or charges and other finance payments whether paid, payable or capitalized by any member of the Group (calculated on a consolidated basis) in respect of that Relevant Period;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 including any accrued interest owing to any member of the Group;</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 including share of net losses or gains of equity investees of the Group;</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before taking into account any Exceptional Items;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before taking into account any unrealised gains or losses on any derivative instrument or similar financial instrument (excluding any derivative instrument which is accounted for on a hedge accounting basis);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before taking into account the charge to profit represented by expensing of stock based compensation;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after adding back any amount attributable to the amortisation, depreciation or impairment of assets of the members of the Group,</w:t>
      </w:r>
    </w:p>
    <w:p>
      <w:pPr>
        <w:spacing w:after="0" w:line="23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in each case, to the extent added, deducted or taken into account, as the case may be, for the purposes of determining income before income tax and share of net losses or gains of equity investees of the Group before taxation.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Exceptional Items</w:t>
      </w:r>
      <w:r>
        <w:rPr>
          <w:rFonts w:ascii="Arial" w:cs="Arial" w:eastAsia="Arial" w:hAnsi="Arial"/>
          <w:sz w:val="18"/>
          <w:szCs w:val="18"/>
          <w:color w:val="auto"/>
        </w:rPr>
        <w:t>” means any exceptional, one off, non-recurring or extraordinary items.</w:t>
      </w:r>
    </w:p>
    <w:p>
      <w:pPr>
        <w:spacing w:after="0" w:line="225"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w:t>
      </w:r>
      <w:r>
        <w:rPr>
          <w:rFonts w:ascii="Arial" w:cs="Arial" w:eastAsia="Arial" w:hAnsi="Arial"/>
          <w:sz w:val="18"/>
          <w:szCs w:val="18"/>
          <w:color w:val="auto"/>
        </w:rPr>
        <w:t>” means any lease or hire purchase contract, a liability under which would, in accordance with GAAP, be treated as a balance sheet liability other than a lease or hire purchase contract which would, in accordance with GAAP as at the date of this Agreement, have been treated as an operating lease.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the period commencing on the day after one Quarter Date and ending on the next Quarter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the annual accounting period of the Group ending on or about 31 December in each year.</w:t>
      </w:r>
    </w:p>
    <w:p>
      <w:pPr>
        <w:spacing w:after="0" w:line="225"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Held to Maturity Securities</w:t>
      </w:r>
      <w:r>
        <w:rPr>
          <w:rFonts w:ascii="Arial" w:cs="Arial" w:eastAsia="Arial" w:hAnsi="Arial"/>
          <w:sz w:val="18"/>
          <w:szCs w:val="18"/>
          <w:color w:val="auto"/>
        </w:rPr>
        <w:t xml:space="preserve">” means, at any time, the aggregate amount of any held-to-maturity securities as shown in the latest consolidated financial statements or consolidated financial results (as applicable) of the Borrower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they are not issued or guaranteed by any member of the Group or subject to Security.</w:t>
      </w:r>
    </w:p>
    <w:p>
      <w:pPr>
        <w:spacing w:after="0" w:line="176" w:lineRule="exact"/>
        <w:rPr>
          <w:sz w:val="20"/>
          <w:szCs w:val="20"/>
          <w:color w:val="auto"/>
        </w:rPr>
      </w:pPr>
    </w:p>
    <w:p>
      <w:pPr>
        <w:ind w:left="66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Relevant Period, the aggregate amount of the accrued interest, commission, fees, discounts or charges and other finance payments in the nature of interest in respect of Borrowings whether paid, payable or capitalised by the Group Members (calculated on a consolidated basis) in respect of that Relevant Period:</w:t>
      </w:r>
    </w:p>
    <w:p>
      <w:pPr>
        <w:spacing w:after="0" w:line="180"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excluding any upfront fees or costs;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including the interest (but not the capital) element of payments in respect of Finance Leases;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1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including any commission, fees, discounts and other finance payments payable by (and deducting any such amounts payable to) any member of the Group under any interest rate hedging arrangement; and</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taking no account of any unrealised gains or losses on any derivative instruments or similar financial instruments other than any derivative instruments which are accounted for on a hedge accounting basis.</w:t>
      </w:r>
    </w:p>
    <w:p>
      <w:pPr>
        <w:spacing w:after="0" w:line="166" w:lineRule="exact"/>
        <w:rPr>
          <w:sz w:val="20"/>
          <w:szCs w:val="20"/>
          <w:color w:val="auto"/>
        </w:rPr>
      </w:pPr>
    </w:p>
    <w:p>
      <w:pPr>
        <w:ind w:left="660"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Expense</w:t>
      </w:r>
      <w:r>
        <w:rPr>
          <w:rFonts w:ascii="Arial" w:cs="Arial" w:eastAsia="Arial" w:hAnsi="Arial"/>
          <w:sz w:val="18"/>
          <w:szCs w:val="18"/>
          <w:color w:val="auto"/>
        </w:rPr>
        <w:t>” means, for any Relevant Period, the Interest Expense for that Relevant Period after deducting any interest payable in that Relevant Period to any member of the Group (other than by any member of the Group) on any Cash and Cash Equivalents or Held to Maturity Securities.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225" w:lineRule="exact"/>
        <w:rPr>
          <w:sz w:val="20"/>
          <w:szCs w:val="20"/>
          <w:color w:val="auto"/>
        </w:rPr>
      </w:pPr>
    </w:p>
    <w:p>
      <w:pPr>
        <w:ind w:left="660" w:right="3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Period</w:t>
      </w:r>
      <w:r>
        <w:rPr>
          <w:rFonts w:ascii="Arial" w:cs="Arial" w:eastAsia="Arial" w:hAnsi="Arial"/>
          <w:sz w:val="17"/>
          <w:szCs w:val="17"/>
          <w:color w:val="auto"/>
        </w:rPr>
        <w:t>” means each period of twelve months, ending on or about the last day of the Financial Year and each period of twelve months ending on or about the last day of each Financial Quarter commencing with the twelve month period ending 31 March 2017.</w:t>
      </w:r>
    </w:p>
    <w:p>
      <w:pPr>
        <w:spacing w:after="0" w:line="138"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Debt</w:t>
      </w:r>
      <w:r>
        <w:rPr>
          <w:rFonts w:ascii="Arial" w:cs="Arial" w:eastAsia="Arial" w:hAnsi="Arial"/>
          <w:sz w:val="18"/>
          <w:szCs w:val="18"/>
          <w:color w:val="auto"/>
        </w:rPr>
        <w:t>” means, at any time, the aggregate amount of all obligations of the members of the Group for or in respect of all Borrowings at that time but:</w:t>
      </w:r>
    </w:p>
    <w:p>
      <w:pPr>
        <w:spacing w:after="0" w:line="166"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excluding any such obligations to any other member of the Group;</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including, in the case of Finance Leases only, their capitalised value;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deducting the aggregate amount of 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so that no amount shall be included or excluded more than once.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Financial condition</w:t>
      </w:r>
    </w:p>
    <w:p>
      <w:pPr>
        <w:sectPr>
          <w:pgSz w:w="11900" w:h="16870" w:orient="portrait"/>
          <w:cols w:equalWidth="0" w:num="1">
            <w:col w:w="11400"/>
          </w:cols>
          <w:pgMar w:left="240" w:top="125" w:right="259" w:bottom="0" w:gutter="0" w:footer="0" w:header="0"/>
          <w:type w:val="continuous"/>
        </w:sectPr>
      </w:pPr>
    </w:p>
    <w:bookmarkStart w:id="36" w:name="page37"/>
    <w:bookmarkEnd w:id="36"/>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ensure that at all times:</w:t>
      </w:r>
    </w:p>
    <w:p>
      <w:pPr>
        <w:spacing w:after="0" w:line="225"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Net leverage</w:t>
      </w:r>
      <w:r>
        <w:rPr>
          <w:rFonts w:ascii="Arial" w:cs="Arial" w:eastAsia="Arial" w:hAnsi="Arial"/>
          <w:sz w:val="16"/>
          <w:szCs w:val="16"/>
          <w:color w:val="auto"/>
        </w:rPr>
        <w:t>: in respect of any Relevant Period, the ratio of Total Net Debt to EBITDA in respect of that Relevant Period shall not exceed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2:1; and</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Net interest cover</w:t>
      </w:r>
      <w:r>
        <w:rPr>
          <w:rFonts w:ascii="Arial" w:cs="Arial" w:eastAsia="Arial" w:hAnsi="Arial"/>
          <w:sz w:val="18"/>
          <w:szCs w:val="18"/>
          <w:color w:val="auto"/>
        </w:rPr>
        <w:t>: the ratio of EBITDA to Net Interest Expense in respect of any Relevant Period shall not be less than 10:1.</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Financial testing</w:t>
      </w:r>
    </w:p>
    <w:p>
      <w:pPr>
        <w:spacing w:after="0" w:line="229"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GAAP and tested by reference to each of the financial statements or financial results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and/or each Compliance Certificate delivered pursuant to Clause 19.2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229"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The undertakings in this Clause 21 remain in force from the date of this Agreement for so long as any amount is outstanding under the Finance Documents or any Commitment is in force.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shall promptly:</w:t>
      </w:r>
    </w:p>
    <w:p>
      <w:pPr>
        <w:spacing w:after="0" w:line="225"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any Authorisation required to enable it to perform its obligations under the Finance Documents and to ensure the legality, validity, enforceability or admissibility in evidence in its jurisdiction of incorporation of any Finance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Compliance with laws</w:t>
      </w:r>
    </w:p>
    <w:p>
      <w:pPr>
        <w:spacing w:after="0" w:line="229"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Each Obligor shall comply in all respects with all laws to which it may be subject, if failure so to comply would materially impair its ability to perform its obligations under the Finance Documents.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left="1300" w:right="180" w:hanging="644"/>
        <w:spacing w:after="0" w:line="277" w:lineRule="auto"/>
        <w:tabs>
          <w:tab w:leader="none" w:pos="129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Obligor shall (and the Borrower shall ensure that each member of the Group will) pay and discharge all Taxes imposed upon it or its assets within the time period allowed without incurring penalties unless and only to the extent that: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80" w:hanging="655"/>
        <w:spacing w:after="0" w:line="308" w:lineRule="auto"/>
        <w:tabs>
          <w:tab w:leader="none" w:pos="199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adequate reserves are being maintained for those Taxes and the costs required to contest them which have been taken into account in its latest financial statements delivered to the Agent under Clause 19.1 (</w:t>
      </w:r>
      <w:r>
        <w:rPr>
          <w:rFonts w:ascii="Arial" w:cs="Arial" w:eastAsia="Arial" w:hAnsi="Arial"/>
          <w:sz w:val="17"/>
          <w:szCs w:val="17"/>
          <w:i w:val="1"/>
          <w:iCs w:val="1"/>
          <w:color w:val="auto"/>
        </w:rPr>
        <w:t>Financial statements</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member of the Group may change its residence for Tax purposes.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Pari passu ranking</w:t>
      </w:r>
    </w:p>
    <w:p>
      <w:pPr>
        <w:spacing w:after="0" w:line="229"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 xml:space="preserve">Each Obligor shall ensure that its payment obligations under the Finance Documents rank and continue to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claims of all of its other unsecured and unsubordinated creditors, except for obligations mandatorily preferred by law applying to companies generally.</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b w:val="1"/>
          <w:bCs w:val="1"/>
          <w:color w:val="auto"/>
        </w:rPr>
        <w:t>Negative pledge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21.5, “</w:t>
      </w:r>
      <w:r>
        <w:rPr>
          <w:rFonts w:ascii="Arial" w:cs="Arial" w:eastAsia="Arial" w:hAnsi="Arial"/>
          <w:sz w:val="18"/>
          <w:szCs w:val="18"/>
          <w:b w:val="1"/>
          <w:bCs w:val="1"/>
          <w:color w:val="auto"/>
        </w:rPr>
        <w:t>Quasi-Security</w:t>
      </w:r>
      <w:r>
        <w:rPr>
          <w:rFonts w:ascii="Arial" w:cs="Arial" w:eastAsia="Arial" w:hAnsi="Arial"/>
          <w:sz w:val="18"/>
          <w:szCs w:val="18"/>
          <w:color w:val="auto"/>
        </w:rPr>
        <w:t>” means an arrangement or transaction described in paragraph (b) below.</w:t>
      </w:r>
    </w:p>
    <w:p>
      <w:pPr>
        <w:spacing w:after="0" w:line="229" w:lineRule="exact"/>
        <w:rPr>
          <w:sz w:val="20"/>
          <w:szCs w:val="20"/>
          <w:color w:val="auto"/>
        </w:rPr>
      </w:pPr>
    </w:p>
    <w:p>
      <w:pPr>
        <w:ind w:left="1300" w:right="180" w:hanging="644"/>
        <w:spacing w:after="0" w:line="277" w:lineRule="auto"/>
        <w:tabs>
          <w:tab w:leader="none" w:pos="12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 create or permit to subsist any Security over any of its assets.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195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an Obligor or any other member of the Group;</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enter into or permit to subsist any title retention arrangement;</w:t>
      </w:r>
    </w:p>
    <w:p>
      <w:pPr>
        <w:spacing w:after="0" w:line="225" w:lineRule="exact"/>
        <w:rPr>
          <w:rFonts w:ascii="Arial" w:cs="Arial" w:eastAsia="Arial" w:hAnsi="Arial"/>
          <w:sz w:val="18"/>
          <w:szCs w:val="18"/>
          <w:color w:val="auto"/>
        </w:rPr>
      </w:pPr>
    </w:p>
    <w:p>
      <w:pPr>
        <w:ind w:left="1960" w:hanging="655"/>
        <w:spacing w:after="0" w:line="277" w:lineRule="auto"/>
        <w:tabs>
          <w:tab w:leader="none" w:pos="195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enter into or permit to subsist any arrangement under which money or the benefit of a bank or other account may be applied, set-off or made subject to a combination of accounts; or</w:t>
      </w:r>
    </w:p>
    <w:p>
      <w:pPr>
        <w:sectPr>
          <w:pgSz w:w="11900" w:h="16861" w:orient="portrait"/>
          <w:cols w:equalWidth="0" w:num="1">
            <w:col w:w="11420"/>
          </w:cols>
          <w:pgMar w:left="240" w:top="341" w:right="239" w:bottom="0" w:gutter="0" w:footer="0" w:header="0"/>
        </w:sectPr>
      </w:pPr>
    </w:p>
    <w:bookmarkStart w:id="37" w:name="page38"/>
    <w:bookmarkEnd w:id="37"/>
    <w:p>
      <w:pPr>
        <w:ind w:left="1940" w:hanging="635"/>
        <w:spacing w:after="0"/>
        <w:tabs>
          <w:tab w:leader="none" w:pos="19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enter into or permit to subsist any other preferential arrangement having a similar effect,</w:t>
      </w:r>
    </w:p>
    <w:p>
      <w:pPr>
        <w:spacing w:after="0" w:line="225" w:lineRule="exact"/>
        <w:rPr>
          <w:sz w:val="20"/>
          <w:szCs w:val="20"/>
          <w:color w:val="auto"/>
        </w:rPr>
      </w:pPr>
    </w:p>
    <w:p>
      <w:pPr>
        <w:ind w:left="1300" w:right="66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140" w:firstLine="656"/>
        <w:spacing w:after="0" w:line="501" w:lineRule="auto"/>
        <w:tabs>
          <w:tab w:leader="none" w:pos="130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Paragraphs (a) and (b) above do not apply to any Permitted Security. 21.6 </w:t>
      </w:r>
      <w:r>
        <w:rPr>
          <w:rFonts w:ascii="Arial" w:cs="Arial" w:eastAsia="Arial" w:hAnsi="Arial"/>
          <w:sz w:val="18"/>
          <w:szCs w:val="18"/>
          <w:b w:val="1"/>
          <w:bCs w:val="1"/>
          <w:color w:val="auto"/>
        </w:rPr>
        <w:t>VIE Documents</w:t>
      </w:r>
    </w:p>
    <w:p>
      <w:pPr>
        <w:ind w:left="660" w:right="400"/>
        <w:spacing w:after="0" w:line="277" w:lineRule="auto"/>
        <w:rPr>
          <w:sz w:val="20"/>
          <w:szCs w:val="20"/>
          <w:color w:val="auto"/>
        </w:rPr>
      </w:pPr>
      <w:r>
        <w:rPr>
          <w:rFonts w:ascii="Arial" w:cs="Arial" w:eastAsia="Arial" w:hAnsi="Arial"/>
          <w:sz w:val="18"/>
          <w:szCs w:val="18"/>
          <w:color w:val="auto"/>
        </w:rPr>
        <w:t>No Obligor shall (and the Borrower shall ensure that no other member of the Group will) amend, vary, novate, supplement, supersede, waive or terminate any term of the VIE Documents in a way which is:</w:t>
      </w:r>
    </w:p>
    <w:p>
      <w:pPr>
        <w:spacing w:after="0" w:line="170"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material; or</w:t>
      </w:r>
    </w:p>
    <w:p>
      <w:pPr>
        <w:spacing w:after="0" w:line="225" w:lineRule="exact"/>
        <w:rPr>
          <w:rFonts w:ascii="Arial" w:cs="Arial" w:eastAsia="Arial" w:hAnsi="Arial"/>
          <w:sz w:val="18"/>
          <w:szCs w:val="18"/>
          <w:color w:val="auto"/>
        </w:rPr>
      </w:pPr>
    </w:p>
    <w:p>
      <w:pPr>
        <w:ind w:right="5440" w:firstLine="656"/>
        <w:spacing w:after="0" w:line="501" w:lineRule="auto"/>
        <w:tabs>
          <w:tab w:leader="none" w:pos="13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reasonably likely to adversely affect the interests of the Lenders. 21.7 </w:t>
      </w:r>
      <w:r>
        <w:rPr>
          <w:rFonts w:ascii="Arial" w:cs="Arial" w:eastAsia="Arial" w:hAnsi="Arial"/>
          <w:sz w:val="18"/>
          <w:szCs w:val="18"/>
          <w:b w:val="1"/>
          <w:bCs w:val="1"/>
          <w:color w:val="auto"/>
        </w:rPr>
        <w:t>Disposals</w:t>
      </w:r>
    </w:p>
    <w:p>
      <w:pPr>
        <w:ind w:left="1300" w:right="500" w:hanging="644"/>
        <w:spacing w:after="0" w:line="342" w:lineRule="auto"/>
        <w:tabs>
          <w:tab w:leader="none" w:pos="129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 Obligor shall (and the Borrower shall ensure that no other member of the Group will), enter into a single transaction or a series of transactions (whether related or not) and whether voluntary or involuntary to sell, lease, transfer or otherwise dispose of any asset.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Paragraph (a) above does not apply to any Permitted Disposal.</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7"/>
          <w:szCs w:val="17"/>
          <w:b w:val="1"/>
          <w:bCs w:val="1"/>
          <w:color w:val="auto"/>
        </w:rPr>
        <w:t>Merger</w:t>
      </w:r>
    </w:p>
    <w:p>
      <w:pPr>
        <w:spacing w:after="0" w:line="229" w:lineRule="exact"/>
        <w:rPr>
          <w:sz w:val="20"/>
          <w:szCs w:val="20"/>
          <w:color w:val="auto"/>
        </w:rPr>
      </w:pPr>
    </w:p>
    <w:p>
      <w:pPr>
        <w:ind w:left="1300" w:right="40" w:hanging="644"/>
        <w:spacing w:after="0" w:line="277" w:lineRule="auto"/>
        <w:tabs>
          <w:tab w:leader="none" w:pos="129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 enter into any amalgamation, demerger, merger or corporate reconstruction.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Paragraph (a) above does not apply to any sale, lease, transfer or other disposal permitted pursuant to Clause 21.7 (</w:t>
      </w:r>
      <w:r>
        <w:rPr>
          <w:rFonts w:ascii="Arial" w:cs="Arial" w:eastAsia="Arial" w:hAnsi="Arial"/>
          <w:sz w:val="17"/>
          <w:szCs w:val="17"/>
          <w:i w:val="1"/>
          <w:iCs w:val="1"/>
          <w:color w:val="auto"/>
        </w:rPr>
        <w:t>Disposals</w:t>
      </w:r>
      <w:r>
        <w:rPr>
          <w:rFonts w:ascii="Arial" w:cs="Arial" w:eastAsia="Arial" w:hAnsi="Arial"/>
          <w:sz w:val="17"/>
          <w:szCs w:val="17"/>
          <w:color w:val="auto"/>
        </w:rPr>
        <w: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b w:val="1"/>
          <w:bCs w:val="1"/>
          <w:color w:val="auto"/>
        </w:rPr>
        <w:t>Change of business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Borrower shall procure that no substantial change is made to the general nature of the business of the Obligors or the Group from that carried on at the date of this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b w:val="1"/>
          <w:bCs w:val="1"/>
          <w:color w:val="auto"/>
        </w:rPr>
        <w:t>Environmental and Social Matters</w:t>
      </w:r>
    </w:p>
    <w:p>
      <w:pPr>
        <w:spacing w:after="0" w:line="229" w:lineRule="exact"/>
        <w:rPr>
          <w:sz w:val="20"/>
          <w:szCs w:val="20"/>
          <w:color w:val="auto"/>
        </w:rPr>
      </w:pPr>
    </w:p>
    <w:p>
      <w:pPr>
        <w:ind w:left="1300" w:hanging="644"/>
        <w:spacing w:after="0" w:line="308" w:lineRule="auto"/>
        <w:tabs>
          <w:tab w:leader="none" w:pos="129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of the Obligors must and the Borrower must ensure that it and each member of the Group is and continues to be in compliance with all Environmental or Social Laws and Environmental or Social Approvals applicable to it, where failure to do so</w:t>
      </w:r>
    </w:p>
    <w:p>
      <w:pPr>
        <w:spacing w:after="0" w:line="146" w:lineRule="exact"/>
        <w:rPr>
          <w:rFonts w:ascii="Arial" w:cs="Arial" w:eastAsia="Arial" w:hAnsi="Arial"/>
          <w:sz w:val="17"/>
          <w:szCs w:val="17"/>
          <w:color w:val="auto"/>
        </w:rPr>
      </w:pPr>
    </w:p>
    <w:p>
      <w:pPr>
        <w:ind w:left="1920" w:hanging="615"/>
        <w:spacing w:after="0"/>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has or is reasonably likely to have a Material Adverse Effect; or</w:t>
      </w:r>
    </w:p>
    <w:p>
      <w:pPr>
        <w:spacing w:after="0" w:line="225" w:lineRule="exact"/>
        <w:rPr>
          <w:rFonts w:ascii="Arial" w:cs="Arial" w:eastAsia="Arial" w:hAnsi="Arial"/>
          <w:sz w:val="18"/>
          <w:szCs w:val="18"/>
          <w:color w:val="auto"/>
        </w:rPr>
      </w:pPr>
    </w:p>
    <w:p>
      <w:pPr>
        <w:ind w:left="1960" w:right="40" w:hanging="655"/>
        <w:spacing w:after="0" w:line="264" w:lineRule="auto"/>
        <w:tabs>
          <w:tab w:leader="none" w:pos="193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would or is reasonably likely to result in any impact on the reputation of any Finance Party arising out of or in connection with any negative publicity or anticipated negative publicity (as determined by that Finance Party in its sole discretion) regarding that Finance Party or any liability for any Finance Party.</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Obligor must, promptly upon becoming aware, notify the Agent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Environmental or Social Claim current, or to its knowledge, pending or threatened;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circumstances reasonably likely to result in an Environmental or Social Claim,</w:t>
      </w:r>
    </w:p>
    <w:p>
      <w:pPr>
        <w:spacing w:after="0" w:line="225" w:lineRule="exact"/>
        <w:rPr>
          <w:sz w:val="20"/>
          <w:szCs w:val="20"/>
          <w:color w:val="auto"/>
        </w:rPr>
      </w:pPr>
    </w:p>
    <w:p>
      <w:pPr>
        <w:ind w:left="1300" w:right="280"/>
        <w:spacing w:after="0" w:line="259" w:lineRule="auto"/>
        <w:rPr>
          <w:sz w:val="20"/>
          <w:szCs w:val="20"/>
          <w:color w:val="auto"/>
        </w:rPr>
      </w:pPr>
      <w:r>
        <w:rPr>
          <w:rFonts w:ascii="Arial" w:cs="Arial" w:eastAsia="Arial" w:hAnsi="Arial"/>
          <w:sz w:val="18"/>
          <w:szCs w:val="18"/>
          <w:color w:val="auto"/>
        </w:rPr>
        <w:t>which (x) has or, if substantiated, is reasonably likely to have a Material Adverse Effect; or (y) would or, if substantiated, is reasonably likely to result in any impact on the reputation of any Finance Party arising out of or in connection with any negative publicity or anticipated negative publicity (as determined by that Finance Party in its sole discretion) regarding that Finance Party or any liability for any Finance Party.</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5"/>
          <w:szCs w:val="15"/>
          <w:b w:val="1"/>
          <w:bCs w:val="1"/>
          <w:color w:val="auto"/>
        </w:rPr>
        <w:t>Acquisitions and Joint Ventures</w:t>
      </w:r>
    </w:p>
    <w:p>
      <w:pPr>
        <w:spacing w:after="0" w:line="229"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acquire any company, business, assets or undertaking or make any investment;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enter into, invest in or acquire (or agree to acquire) any shares, stocks, securities or other interest in any Joint Venture.</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Paragraph (a) above does not apply to any Permitted Acquisitions.</w:t>
      </w:r>
    </w:p>
    <w:p>
      <w:pPr>
        <w:sectPr>
          <w:pgSz w:w="11900" w:h="16838" w:orient="portrait"/>
          <w:cols w:equalWidth="0" w:num="1">
            <w:col w:w="11400"/>
          </w:cols>
          <w:pgMar w:left="240" w:top="341" w:right="259" w:bottom="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b w:val="1"/>
          <w:bCs w:val="1"/>
          <w:color w:val="auto"/>
        </w:rPr>
        <w:t>Loans and guarantees</w:t>
      </w:r>
    </w:p>
    <w:p>
      <w:pPr>
        <w:spacing w:after="0" w:line="229" w:lineRule="exact"/>
        <w:rPr>
          <w:sz w:val="20"/>
          <w:szCs w:val="20"/>
          <w:color w:val="auto"/>
        </w:rPr>
      </w:pPr>
    </w:p>
    <w:p>
      <w:pPr>
        <w:ind w:left="1300" w:hanging="644"/>
        <w:spacing w:after="0" w:line="259" w:lineRule="auto"/>
        <w:tabs>
          <w:tab w:leader="none" w:pos="129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 make or allow to subsist any loans, grant any credit (save in the ordinary course of business) or give or allow to remain outstanding any guarantee or indemnity (except as required under any of the Finance Documents) to or for the benefit of any person or otherwise voluntarily assume any liability, whether actual or contingent, in respect of any obligation of any person.</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Paragraph (a) above does not apply to any Permitted Loans and Guarantees.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b w:val="1"/>
          <w:bCs w:val="1"/>
          <w:color w:val="auto"/>
        </w:rPr>
        <w:t>Financial Indebtedness</w:t>
      </w:r>
    </w:p>
    <w:p>
      <w:pPr>
        <w:spacing w:after="0" w:line="229" w:lineRule="exact"/>
        <w:rPr>
          <w:sz w:val="20"/>
          <w:szCs w:val="20"/>
          <w:color w:val="auto"/>
        </w:rPr>
      </w:pPr>
    </w:p>
    <w:p>
      <w:pPr>
        <w:ind w:left="1300" w:right="600" w:hanging="644"/>
        <w:spacing w:after="0" w:line="277" w:lineRule="auto"/>
        <w:tabs>
          <w:tab w:leader="none" w:pos="129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Group will) incur or permit to remain outstanding any Financial Indebtedness.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Paragraph (a) above does not apply to any Permitted Financial Indebtedness.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b w:val="1"/>
          <w:bCs w:val="1"/>
          <w:color w:val="auto"/>
        </w:rPr>
        <w:t>Subordination</w:t>
      </w:r>
    </w:p>
    <w:p>
      <w:pPr>
        <w:spacing w:after="0" w:line="229"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The Borrower shall ensure that, prior to the Utilisation Date (or, in the case of any Financial Indebtedness owing by an Obligor to a non-Obligor Group member which is created on or after the Utilisation Date, prior to the date the relevant Financial Indebtedness is created), any Financial Indebtedness owing by an Obligor to a non-Obligor Group member shall be subordinated to the Facility pursuant to a Subordination Agreement (the “</w:t>
      </w:r>
      <w:r>
        <w:rPr>
          <w:rFonts w:ascii="Arial" w:cs="Arial" w:eastAsia="Arial" w:hAnsi="Arial"/>
          <w:sz w:val="16"/>
          <w:szCs w:val="16"/>
          <w:b w:val="1"/>
          <w:bCs w:val="1"/>
          <w:color w:val="auto"/>
        </w:rPr>
        <w:t>Subordinated Financial Indebtedness</w:t>
      </w:r>
      <w:r>
        <w:rPr>
          <w:rFonts w:ascii="Arial" w:cs="Arial" w:eastAsia="Arial" w:hAnsi="Arial"/>
          <w:sz w:val="16"/>
          <w:szCs w:val="16"/>
          <w:color w:val="auto"/>
        </w:rPr>
        <w:t>”) except for an aggregate amount of up to US$80,000,000 of such Financial Indebtedness.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b w:val="1"/>
          <w:bCs w:val="1"/>
          <w:color w:val="auto"/>
        </w:rPr>
        <w:t>Change of corporate structure</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Borrower shall ensure that there is no change of corporate structure for the Group from the structure set out in the Group Structure Chart which is material or is likely to be prejudicial to the interests of any Finance Party.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21.16</w:t>
      </w:r>
      <w:r>
        <w:rPr>
          <w:sz w:val="20"/>
          <w:szCs w:val="20"/>
          <w:color w:val="auto"/>
        </w:rPr>
        <w:tab/>
      </w:r>
      <w:r>
        <w:rPr>
          <w:rFonts w:ascii="Arial" w:cs="Arial" w:eastAsia="Arial" w:hAnsi="Arial"/>
          <w:sz w:val="16"/>
          <w:szCs w:val="16"/>
          <w:b w:val="1"/>
          <w:bCs w:val="1"/>
          <w:color w:val="auto"/>
        </w:rPr>
        <w:t>Holding company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Borrower nor the Guarantor shall trade, carry on any business, own any assets or incur any liabilities except for:</w:t>
      </w:r>
    </w:p>
    <w:p>
      <w:pPr>
        <w:spacing w:after="0" w:line="225" w:lineRule="exact"/>
        <w:rPr>
          <w:sz w:val="20"/>
          <w:szCs w:val="20"/>
          <w:color w:val="auto"/>
        </w:rPr>
      </w:pPr>
    </w:p>
    <w:p>
      <w:pPr>
        <w:ind w:left="1300" w:right="220" w:hanging="644"/>
        <w:spacing w:after="0" w:line="277" w:lineRule="auto"/>
        <w:tabs>
          <w:tab w:leader="none" w:pos="12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provision of administrative services (excluding treasury services) to other members of the Group of a type customarily provided by a holding company to its Subsidiaries and incurring liabilities in that regard;</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ownership of shares in its Subsidiaries, intra-Group debit balances, intra-Group credit balances and other credit balances in bank accounts, Cash and Cash Equivalents;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connection with the Borrower’s listing on NYSE;</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liabilities under the Finance Documents to which it is a party and professional fees and administration costs in the ordinary course of business as a holding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but in the case of the Guarantor, except in connection with its e-commerce business as it is currently conducted at the date of this Agreement.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21.17</w:t>
      </w:r>
      <w:r>
        <w:rPr>
          <w:sz w:val="20"/>
          <w:szCs w:val="20"/>
          <w:color w:val="auto"/>
        </w:rPr>
        <w:tab/>
      </w:r>
      <w:r>
        <w:rPr>
          <w:rFonts w:ascii="Arial" w:cs="Arial" w:eastAsia="Arial" w:hAnsi="Arial"/>
          <w:sz w:val="16"/>
          <w:szCs w:val="16"/>
          <w:b w:val="1"/>
          <w:bCs w:val="1"/>
          <w:color w:val="auto"/>
        </w:rPr>
        <w:t>Treasury transactions</w:t>
      </w:r>
    </w:p>
    <w:p>
      <w:pPr>
        <w:spacing w:after="0" w:line="229" w:lineRule="exact"/>
        <w:rPr>
          <w:sz w:val="20"/>
          <w:szCs w:val="20"/>
          <w:color w:val="auto"/>
        </w:rPr>
      </w:pPr>
    </w:p>
    <w:p>
      <w:pPr>
        <w:jc w:val="both"/>
        <w:ind w:left="660" w:right="540"/>
        <w:spacing w:after="0" w:line="264" w:lineRule="auto"/>
        <w:rPr>
          <w:sz w:val="20"/>
          <w:szCs w:val="20"/>
          <w:color w:val="auto"/>
        </w:rPr>
      </w:pPr>
      <w:r>
        <w:rPr>
          <w:rFonts w:ascii="Arial" w:cs="Arial" w:eastAsia="Arial" w:hAnsi="Arial"/>
          <w:sz w:val="18"/>
          <w:szCs w:val="18"/>
          <w:color w:val="auto"/>
        </w:rPr>
        <w:t>No Obligor shall (and the Borrower will procure that no other member of the Group will) enter into any Treasury Transaction, other than any Treasury Transaction entered into for the hedging of actual or projected real exposures arising in the ordinary course of trading activities of a member of the Group and not for speculative purposes.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21.18</w:t>
      </w:r>
      <w:r>
        <w:rPr>
          <w:sz w:val="20"/>
          <w:szCs w:val="20"/>
          <w:color w:val="auto"/>
        </w:rPr>
        <w:tab/>
      </w:r>
      <w:r>
        <w:rPr>
          <w:rFonts w:ascii="Arial" w:cs="Arial" w:eastAsia="Arial" w:hAnsi="Arial"/>
          <w:sz w:val="16"/>
          <w:szCs w:val="16"/>
          <w:b w:val="1"/>
          <w:bCs w:val="1"/>
          <w:color w:val="auto"/>
        </w:rPr>
        <w:t>Dividend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shall procure that there is no contractual restriction or contractual limitation on any Group member incorporated in PRC to:</w:t>
      </w:r>
    </w:p>
    <w:p>
      <w:pPr>
        <w:spacing w:after="0" w:line="237" w:lineRule="exact"/>
        <w:rPr>
          <w:sz w:val="20"/>
          <w:szCs w:val="20"/>
          <w:color w:val="auto"/>
        </w:rPr>
      </w:pPr>
    </w:p>
    <w:p>
      <w:pPr>
        <w:ind w:left="1300" w:right="220" w:hanging="644"/>
        <w:spacing w:after="0" w:line="277" w:lineRule="auto"/>
        <w:tabs>
          <w:tab w:leader="none" w:pos="12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pay or allow it to pay any management, advisory or other fee to or to the order of any of its shareholders;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redeem, repurchase, defease, retire or repay any of its share capital or resolve to do so,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each case, including but not limited to the repatriation of such dividend or other distribution to any shareholder incorporated outside of PRC.</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21.19</w:t>
      </w:r>
      <w:r>
        <w:rPr>
          <w:sz w:val="20"/>
          <w:szCs w:val="20"/>
          <w:color w:val="auto"/>
        </w:rPr>
        <w:tab/>
      </w:r>
      <w:r>
        <w:rPr>
          <w:rFonts w:ascii="Arial" w:cs="Arial" w:eastAsia="Arial" w:hAnsi="Arial"/>
          <w:sz w:val="15"/>
          <w:szCs w:val="15"/>
          <w:b w:val="1"/>
          <w:bCs w:val="1"/>
          <w:color w:val="auto"/>
        </w:rPr>
        <w:t>Cash management</w:t>
      </w:r>
    </w:p>
    <w:p>
      <w:pPr>
        <w:sectPr>
          <w:pgSz w:w="11900" w:h="16838" w:orient="portrait"/>
          <w:cols w:equalWidth="0" w:num="1">
            <w:col w:w="11360"/>
          </w:cols>
          <w:pgMar w:left="240" w:top="121" w:right="299" w:bottom="0" w:gutter="0" w:footer="0" w:header="0"/>
        </w:sectPr>
      </w:pPr>
    </w:p>
    <w:bookmarkStart w:id="39" w:name="page40"/>
    <w:bookmarkEnd w:id="39"/>
    <w:p>
      <w:pPr>
        <w:ind w:left="660" w:right="680"/>
        <w:spacing w:after="0" w:line="308" w:lineRule="auto"/>
        <w:rPr>
          <w:sz w:val="20"/>
          <w:szCs w:val="20"/>
          <w:color w:val="auto"/>
        </w:rPr>
      </w:pPr>
      <w:r>
        <w:rPr>
          <w:rFonts w:ascii="Arial" w:cs="Arial" w:eastAsia="Arial" w:hAnsi="Arial"/>
          <w:sz w:val="17"/>
          <w:szCs w:val="17"/>
          <w:color w:val="auto"/>
        </w:rPr>
        <w:t>The Borrower shall procure that at the last Business Day of each month no more than US$20,000,000 in aggregate Offshore Cash and Cash Equivalents are held in the name of or owned by (legally or beneficially), a Group member other than an Obligor.</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21.20</w:t>
      </w:r>
      <w:r>
        <w:rPr>
          <w:sz w:val="20"/>
          <w:szCs w:val="20"/>
          <w:color w:val="auto"/>
        </w:rPr>
        <w:tab/>
      </w:r>
      <w:r>
        <w:rPr>
          <w:rFonts w:ascii="Arial" w:cs="Arial" w:eastAsia="Arial" w:hAnsi="Arial"/>
          <w:sz w:val="16"/>
          <w:szCs w:val="16"/>
          <w:b w:val="1"/>
          <w:bCs w:val="1"/>
          <w:color w:val="auto"/>
        </w:rPr>
        <w:t>Arm’s length basis</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No Obligor shall (and the Borrower shall ensure that no other member of the Group will) enter into any transaction with any person except on arm’s length terms.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5"/>
          <w:szCs w:val="15"/>
          <w:b w:val="1"/>
          <w:bCs w:val="1"/>
          <w:color w:val="auto"/>
        </w:rPr>
        <w:t>Preservation of assets</w:t>
      </w:r>
    </w:p>
    <w:p>
      <w:pPr>
        <w:spacing w:after="0" w:line="229"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Each Obligor shall (and the Borrower shall ensure that each other member of the Group will) maintain in good working order and condition (ordinary wear and tear excepted) all of its assets necessary or desirable in the conduct of its business.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6"/>
          <w:szCs w:val="16"/>
          <w:b w:val="1"/>
          <w:bCs w:val="1"/>
          <w:color w:val="auto"/>
        </w:rPr>
        <w:t>Anti-money laundering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shall (and the Borrower shall ensure that each other member of the Group will):</w:t>
      </w:r>
    </w:p>
    <w:p>
      <w:pPr>
        <w:spacing w:after="0" w:line="225" w:lineRule="exact"/>
        <w:rPr>
          <w:sz w:val="20"/>
          <w:szCs w:val="20"/>
          <w:color w:val="auto"/>
        </w:rPr>
      </w:pPr>
    </w:p>
    <w:p>
      <w:pPr>
        <w:ind w:left="1300" w:right="780" w:hanging="644"/>
        <w:spacing w:after="0" w:line="277" w:lineRule="auto"/>
        <w:tabs>
          <w:tab w:leader="none" w:pos="129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comply with, and ensure that each of its or their officers, directors, employees and agents will comply with, all applicable Money Laundering Laws;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all applicable Money Laundering Laws.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b w:val="1"/>
          <w:bCs w:val="1"/>
          <w:color w:val="auto"/>
        </w:rPr>
        <w:t>Anti-corruption law</w:t>
      </w:r>
    </w:p>
    <w:p>
      <w:pPr>
        <w:spacing w:after="0" w:line="229" w:lineRule="exact"/>
        <w:rPr>
          <w:sz w:val="20"/>
          <w:szCs w:val="20"/>
          <w:color w:val="auto"/>
        </w:rPr>
      </w:pPr>
    </w:p>
    <w:p>
      <w:pPr>
        <w:ind w:left="1300" w:right="380" w:hanging="644"/>
        <w:spacing w:after="0" w:line="277" w:lineRule="auto"/>
        <w:tabs>
          <w:tab w:leader="none" w:pos="12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Obligors shall (and the Borrower shall ensure that no other member of the Group will) directly or indirectly use the proceeds of the Facility for any purpose which would breach any applicable Anti-Corruption Laws.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Obligor shall (and the Borrower shall ensure that each other member of the Group will):</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8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comply with, and ensure that each of its or their officers, directors, employees and agents will comply with, all applicable Anti-Corruption Laws; and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maintain policies and procedures designed to promote and achieve compliance with all applicable Anti-Corruption Laws.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21.24</w:t>
      </w:r>
      <w:r>
        <w:rPr>
          <w:sz w:val="20"/>
          <w:szCs w:val="20"/>
          <w:color w:val="auto"/>
        </w:rPr>
        <w:tab/>
      </w:r>
      <w:r>
        <w:rPr>
          <w:rFonts w:ascii="Arial" w:cs="Arial" w:eastAsia="Arial" w:hAnsi="Arial"/>
          <w:sz w:val="15"/>
          <w:szCs w:val="15"/>
          <w:b w:val="1"/>
          <w:bCs w:val="1"/>
          <w:color w:val="auto"/>
        </w:rPr>
        <w:t>Sanctions</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The Borrower shall not use any of the funds advanced under this agreement directly or indirectly for business activities relating to (i) Cuba, Sudan, Iran, Myanmar (Burma), Syria, North Korea or Crimea; or (ii) any other countries that are subject to economic and/or trade sanctions as notified in writing by Agent (acting on behalf of any Lender) to the Borrower from time to time. The Borrower also undertakes not to use any of the funds advanced under this agreement directly or indirectly for business activities that are subject to sanctions, restrictions or embargoes imposed by the United Nations (“</w:t>
      </w:r>
      <w:r>
        <w:rPr>
          <w:rFonts w:ascii="Arial" w:cs="Arial" w:eastAsia="Arial" w:hAnsi="Arial"/>
          <w:sz w:val="16"/>
          <w:szCs w:val="16"/>
          <w:b w:val="1"/>
          <w:bCs w:val="1"/>
          <w:color w:val="auto"/>
        </w:rPr>
        <w:t>UN</w:t>
      </w:r>
      <w:r>
        <w:rPr>
          <w:rFonts w:ascii="Arial" w:cs="Arial" w:eastAsia="Arial" w:hAnsi="Arial"/>
          <w:sz w:val="16"/>
          <w:szCs w:val="16"/>
          <w:color w:val="auto"/>
        </w:rPr>
        <w:t>”), the European Union (“</w:t>
      </w:r>
      <w:r>
        <w:rPr>
          <w:rFonts w:ascii="Arial" w:cs="Arial" w:eastAsia="Arial" w:hAnsi="Arial"/>
          <w:sz w:val="16"/>
          <w:szCs w:val="16"/>
          <w:b w:val="1"/>
          <w:bCs w:val="1"/>
          <w:color w:val="auto"/>
        </w:rPr>
        <w:t>EU</w:t>
      </w:r>
      <w:r>
        <w:rPr>
          <w:rFonts w:ascii="Arial" w:cs="Arial" w:eastAsia="Arial" w:hAnsi="Arial"/>
          <w:sz w:val="16"/>
          <w:szCs w:val="16"/>
          <w:color w:val="auto"/>
        </w:rPr>
        <w:t>”),, the State of Secretariat for Economic Affairs (“</w:t>
      </w:r>
      <w:r>
        <w:rPr>
          <w:rFonts w:ascii="Arial" w:cs="Arial" w:eastAsia="Arial" w:hAnsi="Arial"/>
          <w:sz w:val="16"/>
          <w:szCs w:val="16"/>
          <w:b w:val="1"/>
          <w:bCs w:val="1"/>
          <w:color w:val="auto"/>
        </w:rPr>
        <w:t>SECO</w:t>
      </w:r>
      <w:r>
        <w:rPr>
          <w:rFonts w:ascii="Arial" w:cs="Arial" w:eastAsia="Arial" w:hAnsi="Arial"/>
          <w:sz w:val="16"/>
          <w:szCs w:val="16"/>
          <w:color w:val="auto"/>
        </w:rPr>
        <w:t>”) of Switzerland or the Swiss Directorate of Public International Law, the United States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HM Treasury of the United Kingdom, the Hong Kong Monetary Authority (“</w:t>
      </w:r>
      <w:r>
        <w:rPr>
          <w:rFonts w:ascii="Arial" w:cs="Arial" w:eastAsia="Arial" w:hAnsi="Arial"/>
          <w:sz w:val="16"/>
          <w:szCs w:val="16"/>
          <w:b w:val="1"/>
          <w:bCs w:val="1"/>
          <w:color w:val="auto"/>
        </w:rPr>
        <w:t>HKMA</w:t>
      </w:r>
      <w:r>
        <w:rPr>
          <w:rFonts w:ascii="Arial" w:cs="Arial" w:eastAsia="Arial" w:hAnsi="Arial"/>
          <w:sz w:val="16"/>
          <w:szCs w:val="16"/>
          <w:color w:val="auto"/>
        </w:rPr>
        <w:t>”), the Monetary Authority of Singapore (“</w:t>
      </w:r>
      <w:r>
        <w:rPr>
          <w:rFonts w:ascii="Arial" w:cs="Arial" w:eastAsia="Arial" w:hAnsi="Arial"/>
          <w:sz w:val="16"/>
          <w:szCs w:val="16"/>
          <w:b w:val="1"/>
          <w:bCs w:val="1"/>
          <w:color w:val="auto"/>
        </w:rPr>
        <w:t>MAS</w:t>
      </w:r>
      <w:r>
        <w:rPr>
          <w:rFonts w:ascii="Arial" w:cs="Arial" w:eastAsia="Arial" w:hAnsi="Arial"/>
          <w:sz w:val="16"/>
          <w:szCs w:val="16"/>
          <w:color w:val="auto"/>
        </w:rPr>
        <w:t>”) and/or any other body notified in writing by the Agent (acting on behalf of any Lender) to the Borrower from time to time. This includes, in particular (but without limitation) business activities involving persons or entities subject to any such sanctions or named on any sanctions lists issued by any of the aforementioned bodies and entities owned or controlled by such listed persons or entities (each such person or entity being a “</w:t>
      </w:r>
      <w:r>
        <w:rPr>
          <w:rFonts w:ascii="Arial" w:cs="Arial" w:eastAsia="Arial" w:hAnsi="Arial"/>
          <w:sz w:val="16"/>
          <w:szCs w:val="16"/>
          <w:b w:val="1"/>
          <w:bCs w:val="1"/>
          <w:color w:val="auto"/>
        </w:rPr>
        <w:t>Restricted Party</w:t>
      </w:r>
      <w:r>
        <w:rPr>
          <w:rFonts w:ascii="Arial" w:cs="Arial" w:eastAsia="Arial" w:hAnsi="Arial"/>
          <w:sz w:val="16"/>
          <w:szCs w:val="16"/>
          <w:color w:val="auto"/>
        </w:rPr>
        <w:t>”).</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21.25</w:t>
      </w:r>
      <w:r>
        <w:rPr>
          <w:sz w:val="20"/>
          <w:szCs w:val="20"/>
          <w:color w:val="auto"/>
        </w:rPr>
        <w:tab/>
      </w:r>
      <w:r>
        <w:rPr>
          <w:rFonts w:ascii="Arial" w:cs="Arial" w:eastAsia="Arial" w:hAnsi="Arial"/>
          <w:sz w:val="15"/>
          <w:szCs w:val="15"/>
          <w:b w:val="1"/>
          <w:bCs w:val="1"/>
          <w:color w:val="auto"/>
        </w:rPr>
        <w:t>Conditions subsequent</w:t>
      </w:r>
    </w:p>
    <w:p>
      <w:pPr>
        <w:spacing w:after="0" w:line="229"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The Borrower shall use all reasonable endeavours to complete the filing with NDRC for the Take-out Debt Offering and provide evidence satisfactory to the Agent on or before 7 April 2017.</w:t>
      </w:r>
    </w:p>
    <w:p>
      <w:pPr>
        <w:spacing w:after="0" w:line="166"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SECURITIES DEMAND AND TAKE-OUT DEBT OFFERING</w:t>
      </w:r>
    </w:p>
    <w:p>
      <w:pPr>
        <w:spacing w:after="0" w:line="229" w:lineRule="exact"/>
        <w:rPr>
          <w:rFonts w:ascii="Arial" w:cs="Arial" w:eastAsia="Arial" w:hAnsi="Arial"/>
          <w:sz w:val="18"/>
          <w:szCs w:val="18"/>
          <w:color w:val="auto"/>
        </w:rPr>
      </w:pPr>
    </w:p>
    <w:p>
      <w:pPr>
        <w:ind w:left="1300" w:right="40" w:hanging="644"/>
        <w:spacing w:after="0" w:line="277" w:lineRule="auto"/>
        <w:tabs>
          <w:tab w:leader="none" w:pos="129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Borrower shall comply with the provisions of Schedule 6 (</w:t>
      </w:r>
      <w:r>
        <w:rPr>
          <w:rFonts w:ascii="Arial" w:cs="Arial" w:eastAsia="Arial" w:hAnsi="Arial"/>
          <w:sz w:val="18"/>
          <w:szCs w:val="18"/>
          <w:i w:val="1"/>
          <w:iCs w:val="1"/>
          <w:color w:val="auto"/>
        </w:rPr>
        <w:t>Securities Demand</w:t>
      </w:r>
      <w:r>
        <w:rPr>
          <w:rFonts w:ascii="Arial" w:cs="Arial" w:eastAsia="Arial" w:hAnsi="Arial"/>
          <w:sz w:val="18"/>
          <w:szCs w:val="18"/>
          <w:color w:val="auto"/>
        </w:rPr>
        <w:t xml:space="preserve">) in full as if the provisions therein are set out in the main body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For so long as any amounts remain outstanding under the Facility, the Borrower shall:</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comply in all material respects with its obligations under the terms of the Take-out Engagement Letter; and</w:t>
      </w:r>
    </w:p>
    <w:p>
      <w:pPr>
        <w:spacing w:after="0" w:line="225" w:lineRule="exact"/>
        <w:rPr>
          <w:rFonts w:ascii="Arial" w:cs="Arial" w:eastAsia="Arial" w:hAnsi="Arial"/>
          <w:sz w:val="18"/>
          <w:szCs w:val="18"/>
          <w:color w:val="auto"/>
        </w:rPr>
      </w:pPr>
    </w:p>
    <w:p>
      <w:pPr>
        <w:ind w:left="1960" w:right="280" w:hanging="655"/>
        <w:spacing w:after="0" w:line="342" w:lineRule="auto"/>
        <w:tabs>
          <w:tab w:leader="none" w:pos="1991" w:val="left"/>
        </w:tabs>
        <w:numPr>
          <w:ilvl w:val="2"/>
          <w:numId w:val="196"/>
        </w:numPr>
        <w:rPr>
          <w:rFonts w:ascii="Arial" w:cs="Arial" w:eastAsia="Arial" w:hAnsi="Arial"/>
          <w:sz w:val="16"/>
          <w:szCs w:val="16"/>
          <w:color w:val="auto"/>
        </w:rPr>
      </w:pPr>
      <w:r>
        <w:rPr>
          <w:rFonts w:ascii="Arial" w:cs="Arial" w:eastAsia="Arial" w:hAnsi="Arial"/>
          <w:sz w:val="16"/>
          <w:szCs w:val="16"/>
          <w:color w:val="auto"/>
        </w:rPr>
        <w:t>reasonably cooperate with the Take-out Investment Banks to complete the Take-out Debt Offering and to exercise its commercially reasonable best efforts to issue Take-out Debt the proceeds of which will be used to refinance the Facility in full.</w:t>
      </w:r>
    </w:p>
    <w:p>
      <w:pPr>
        <w:spacing w:after="0" w:line="119" w:lineRule="exact"/>
        <w:rPr>
          <w:rFonts w:ascii="Arial" w:cs="Arial" w:eastAsia="Arial" w:hAnsi="Arial"/>
          <w:sz w:val="16"/>
          <w:szCs w:val="16"/>
          <w:color w:val="auto"/>
        </w:rPr>
      </w:pPr>
    </w:p>
    <w:p>
      <w:pPr>
        <w:ind w:left="660" w:hanging="652"/>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29" w:lineRule="exact"/>
        <w:rPr>
          <w:rFonts w:ascii="Arial" w:cs="Arial" w:eastAsia="Arial" w:hAnsi="Arial"/>
          <w:sz w:val="18"/>
          <w:szCs w:val="18"/>
          <w:color w:val="auto"/>
        </w:rPr>
      </w:pPr>
    </w:p>
    <w:p>
      <w:pPr>
        <w:ind w:left="660" w:right="300"/>
        <w:spacing w:after="0" w:line="277" w:lineRule="auto"/>
        <w:rPr>
          <w:rFonts w:ascii="Arial" w:cs="Arial" w:eastAsia="Arial" w:hAnsi="Arial"/>
          <w:sz w:val="18"/>
          <w:szCs w:val="18"/>
          <w:color w:val="auto"/>
        </w:rPr>
      </w:pPr>
      <w:r>
        <w:rPr>
          <w:rFonts w:ascii="Arial" w:cs="Arial" w:eastAsia="Arial" w:hAnsi="Arial"/>
          <w:sz w:val="18"/>
          <w:szCs w:val="18"/>
          <w:color w:val="auto"/>
        </w:rPr>
        <w:t>Each of the events or circumstances set out in the following sub-clauses of this Clause 23 (other than Clause 23.19 (</w:t>
      </w:r>
      <w:r>
        <w:rPr>
          <w:rFonts w:ascii="Arial" w:cs="Arial" w:eastAsia="Arial" w:hAnsi="Arial"/>
          <w:sz w:val="18"/>
          <w:szCs w:val="18"/>
          <w:i w:val="1"/>
          <w:iCs w:val="1"/>
          <w:color w:val="auto"/>
        </w:rPr>
        <w:t>Acceleration</w:t>
      </w:r>
      <w:r>
        <w:rPr>
          <w:rFonts w:ascii="Arial" w:cs="Arial" w:eastAsia="Arial" w:hAnsi="Arial"/>
          <w:sz w:val="18"/>
          <w:szCs w:val="18"/>
          <w:color w:val="auto"/>
        </w:rPr>
        <w:t>)) is an Event of Default.</w:t>
      </w:r>
    </w:p>
    <w:p>
      <w:pPr>
        <w:sectPr>
          <w:pgSz w:w="11900" w:h="16838" w:orient="portrait"/>
          <w:cols w:equalWidth="0" w:num="1">
            <w:col w:w="11380"/>
          </w:cols>
          <w:pgMar w:left="240" w:top="125" w:right="279" w:bottom="123"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23" w:gutter="0" w:footer="0" w:header="0"/>
          <w:type w:val="continuous"/>
        </w:sectPr>
      </w:pPr>
    </w:p>
    <w:bookmarkStart w:id="40" w:name="page41"/>
    <w:bookmarkEnd w:id="40"/>
    <w:p>
      <w:pPr>
        <w:spacing w:after="0"/>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Non-payment</w:t>
      </w:r>
    </w:p>
    <w:p>
      <w:pPr>
        <w:spacing w:after="0" w:line="229"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unless:</w:t>
      </w:r>
    </w:p>
    <w:p>
      <w:pPr>
        <w:spacing w:after="0" w:line="170"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payment is made within two Business Days of its due date.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color w:val="auto"/>
        </w:rPr>
        <w:t>Financial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requirement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or 20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b w:val="1"/>
          <w:bCs w:val="1"/>
          <w:color w:val="auto"/>
        </w:rPr>
        <w:t>Securities demand covenant</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Borrower fails to comply with any requirement of 22 (</w:t>
      </w:r>
      <w:r>
        <w:rPr>
          <w:rFonts w:ascii="Arial" w:cs="Arial" w:eastAsia="Arial" w:hAnsi="Arial"/>
          <w:sz w:val="17"/>
          <w:szCs w:val="17"/>
          <w:i w:val="1"/>
          <w:iCs w:val="1"/>
          <w:color w:val="auto"/>
        </w:rPr>
        <w:t>Securities Demand And Take-Out Debt Offering</w:t>
      </w:r>
      <w:r>
        <w:rPr>
          <w:rFonts w:ascii="Arial" w:cs="Arial" w:eastAsia="Arial" w:hAnsi="Arial"/>
          <w:sz w:val="17"/>
          <w:szCs w:val="17"/>
          <w:color w:val="auto"/>
        </w:rPr>
        <w:t>) or any provision of Clause 22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Demand And Take-Out Debt Offering</w:t>
      </w:r>
      <w:r>
        <w:rPr>
          <w:rFonts w:ascii="Arial" w:cs="Arial" w:eastAsia="Arial" w:hAnsi="Arial"/>
          <w:sz w:val="17"/>
          <w:szCs w:val="17"/>
          <w:color w:val="auto"/>
        </w:rPr>
        <w:t>) or Schedule 6 (</w:t>
      </w:r>
      <w:r>
        <w:rPr>
          <w:rFonts w:ascii="Arial" w:cs="Arial" w:eastAsia="Arial" w:hAnsi="Arial"/>
          <w:sz w:val="17"/>
          <w:szCs w:val="17"/>
          <w:i w:val="1"/>
          <w:iCs w:val="1"/>
          <w:color w:val="auto"/>
        </w:rPr>
        <w:t>Securities Demand</w:t>
      </w:r>
      <w:r>
        <w:rPr>
          <w:rFonts w:ascii="Arial" w:cs="Arial" w:eastAsia="Arial" w:hAnsi="Arial"/>
          <w:sz w:val="17"/>
          <w:szCs w:val="17"/>
          <w:color w:val="auto"/>
        </w:rPr>
        <w:t>) becomes or is likely to become unenforceable.</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b w:val="1"/>
          <w:bCs w:val="1"/>
          <w:color w:val="auto"/>
        </w:rPr>
        <w:t>Other obligations</w:t>
      </w:r>
    </w:p>
    <w:p>
      <w:pPr>
        <w:spacing w:after="0" w:line="229" w:lineRule="exact"/>
        <w:rPr>
          <w:sz w:val="20"/>
          <w:szCs w:val="20"/>
          <w:color w:val="auto"/>
        </w:rPr>
      </w:pPr>
    </w:p>
    <w:p>
      <w:pPr>
        <w:ind w:left="1300" w:right="340" w:hanging="644"/>
        <w:spacing w:after="0" w:line="342" w:lineRule="auto"/>
        <w:tabs>
          <w:tab w:leader="none" w:pos="129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 Obligor does not comply with any provision of the Finance Documents (other than those referred to in Clause 23.1 (</w:t>
      </w:r>
      <w:r>
        <w:rPr>
          <w:rFonts w:ascii="Arial" w:cs="Arial" w:eastAsia="Arial" w:hAnsi="Arial"/>
          <w:sz w:val="16"/>
          <w:szCs w:val="16"/>
          <w:i w:val="1"/>
          <w:iCs w:val="1"/>
          <w:color w:val="auto"/>
        </w:rPr>
        <w:t>Non-payment</w:t>
      </w:r>
      <w:r>
        <w:rPr>
          <w:rFonts w:ascii="Arial" w:cs="Arial" w:eastAsia="Arial" w:hAnsi="Arial"/>
          <w:sz w:val="16"/>
          <w:szCs w:val="16"/>
          <w:color w:val="auto"/>
        </w:rPr>
        <w:t>), Clause 19.1 (</w:t>
      </w:r>
      <w:r>
        <w:rPr>
          <w:rFonts w:ascii="Arial" w:cs="Arial" w:eastAsia="Arial" w:hAnsi="Arial"/>
          <w:sz w:val="16"/>
          <w:szCs w:val="16"/>
          <w:i w:val="1"/>
          <w:iCs w:val="1"/>
          <w:color w:val="auto"/>
        </w:rPr>
        <w:t>Financial statements</w:t>
      </w:r>
      <w:r>
        <w:rPr>
          <w:rFonts w:ascii="Arial" w:cs="Arial" w:eastAsia="Arial" w:hAnsi="Arial"/>
          <w:sz w:val="16"/>
          <w:szCs w:val="16"/>
          <w:color w:val="auto"/>
        </w:rPr>
        <w:t>), Clause 23.2 (</w:t>
      </w:r>
      <w:r>
        <w:rPr>
          <w:rFonts w:ascii="Arial" w:cs="Arial" w:eastAsia="Arial" w:hAnsi="Arial"/>
          <w:sz w:val="16"/>
          <w:szCs w:val="16"/>
          <w:i w:val="1"/>
          <w:iCs w:val="1"/>
          <w:color w:val="auto"/>
        </w:rPr>
        <w:t>Financial covenants</w:t>
      </w:r>
      <w:r>
        <w:rPr>
          <w:rFonts w:ascii="Arial" w:cs="Arial" w:eastAsia="Arial" w:hAnsi="Arial"/>
          <w:sz w:val="16"/>
          <w:szCs w:val="16"/>
          <w:color w:val="auto"/>
        </w:rPr>
        <w:t>) or Clause 22 (</w:t>
      </w:r>
      <w:r>
        <w:rPr>
          <w:rFonts w:ascii="Arial" w:cs="Arial" w:eastAsia="Arial" w:hAnsi="Arial"/>
          <w:sz w:val="16"/>
          <w:szCs w:val="16"/>
          <w:i w:val="1"/>
          <w:iCs w:val="1"/>
          <w:color w:val="auto"/>
        </w:rPr>
        <w:t>Securities Demand And Take-Out Debt Offering</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300" w:right="100" w:hanging="644"/>
        <w:spacing w:after="0" w:line="342" w:lineRule="auto"/>
        <w:tabs>
          <w:tab w:leader="none" w:pos="130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Event of Default under paragraph (a) above will occur if the failure to comply is capable of remedy and is remedied within 15 Business Days of the earlier of (A) the Agent giving notice to the Borrower and (B) any Obligor becoming aware of the failure to comply.</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color w:val="auto"/>
        </w:rPr>
        <w:t>Misrepresentation</w:t>
      </w:r>
    </w:p>
    <w:p>
      <w:pPr>
        <w:spacing w:after="0" w:line="22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Cross default</w:t>
      </w:r>
    </w:p>
    <w:p>
      <w:pPr>
        <w:spacing w:after="0" w:line="229" w:lineRule="exact"/>
        <w:rPr>
          <w:sz w:val="20"/>
          <w:szCs w:val="20"/>
          <w:color w:val="auto"/>
        </w:rPr>
      </w:pPr>
    </w:p>
    <w:p>
      <w:pPr>
        <w:jc w:val="center"/>
        <w:ind w:left="5620" w:right="860" w:hanging="4964"/>
        <w:spacing w:after="0" w:line="528" w:lineRule="auto"/>
        <w:tabs>
          <w:tab w:leader="none" w:pos="129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Financial Indebtedness of any member of the Group is not paid when due nor within any originally applicable grace period. 66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00" w:right="460" w:hanging="644"/>
        <w:spacing w:after="0" w:line="277" w:lineRule="auto"/>
        <w:tabs>
          <w:tab w:leader="none" w:pos="13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Financial Indebtedness of any member of the Group is declared to be or otherwise becomes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1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member of the Group is cancelled or suspended by a creditor of any member of the Group as a result of an event of default (however described).</w:t>
      </w:r>
    </w:p>
    <w:p>
      <w:pPr>
        <w:spacing w:after="0" w:line="170" w:lineRule="exact"/>
        <w:rPr>
          <w:rFonts w:ascii="Arial" w:cs="Arial" w:eastAsia="Arial" w:hAnsi="Arial"/>
          <w:sz w:val="18"/>
          <w:szCs w:val="18"/>
          <w:color w:val="auto"/>
        </w:rPr>
      </w:pPr>
    </w:p>
    <w:p>
      <w:pPr>
        <w:ind w:left="1300" w:right="380" w:hanging="644"/>
        <w:spacing w:after="0" w:line="277" w:lineRule="auto"/>
        <w:tabs>
          <w:tab w:leader="none" w:pos="13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creditor of any member of the Group becomes entitled to declare any Financial Indebtedness of any member of the Group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1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 Event of Default will occur under this Clause 23.6 if the aggregate amount of Financial Indebtedness or commitment for Financial Indebtedness falling within paragraphs (a) to (d) above is less than US$50,000,000 (or its equivalent in any other currency or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-1946275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b w:val="1"/>
          <w:bCs w:val="1"/>
          <w:color w:val="auto"/>
        </w:rPr>
        <w:t>Insolvency</w:t>
      </w:r>
    </w:p>
    <w:p>
      <w:pPr>
        <w:spacing w:after="0" w:line="229" w:lineRule="exact"/>
        <w:rPr>
          <w:sz w:val="20"/>
          <w:szCs w:val="20"/>
          <w:color w:val="auto"/>
        </w:rPr>
      </w:pPr>
    </w:p>
    <w:p>
      <w:pPr>
        <w:ind w:left="1300" w:right="340" w:hanging="644"/>
        <w:spacing w:after="0" w:line="286" w:lineRule="auto"/>
        <w:tabs>
          <w:tab w:leader="none" w:pos="129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member of the Group is or is presumed or deemed to be unable or admits inability to pay its debts as they fall due, suspends making payments on any of its debts or, by reason of actual or anticipated financial difficulties, commences negotiations with one or more of its creditors (excluding any Finance Party in its capacity as such) with a view to rescheduling any of its indebtedness.</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value of the assets of any member of the Group is less than its liabilities (taking into account contingent and prospective liabilities).</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member of the Group.</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225" w:lineRule="exact"/>
        <w:rPr>
          <w:sz w:val="20"/>
          <w:szCs w:val="20"/>
          <w:color w:val="auto"/>
        </w:rPr>
      </w:pPr>
    </w:p>
    <w:p>
      <w:pPr>
        <w:ind w:left="1300" w:right="260" w:hanging="644"/>
        <w:spacing w:after="0" w:line="264" w:lineRule="auto"/>
        <w:tabs>
          <w:tab w:leader="none" w:pos="129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provisional supervision or reorganisation (by way of voluntary arrangement, scheme of arrangement or otherwise) of any member of the Group other than a solvent liquidation or reorganisation of any member of the Group which is not an Obligor;</w:t>
      </w:r>
    </w:p>
    <w:p>
      <w:pPr>
        <w:sectPr>
          <w:pgSz w:w="11900" w:h="16838" w:orient="portrait"/>
          <w:cols w:equalWidth="0" w:num="1">
            <w:col w:w="11420"/>
          </w:cols>
          <w:pgMar w:left="240" w:top="337" w:right="239" w:bottom="56" w:gutter="0" w:footer="0" w:header="0"/>
        </w:sectPr>
      </w:pPr>
    </w:p>
    <w:bookmarkStart w:id="41" w:name="page42"/>
    <w:bookmarkEnd w:id="41"/>
    <w:p>
      <w:pPr>
        <w:spacing w:after="0" w:line="36" w:lineRule="exact"/>
        <w:rPr>
          <w:sz w:val="20"/>
          <w:szCs w:val="20"/>
          <w:color w:val="auto"/>
        </w:rPr>
      </w:pPr>
    </w:p>
    <w:p>
      <w:pPr>
        <w:ind w:left="1300" w:right="100" w:hanging="644"/>
        <w:spacing w:after="0" w:line="277" w:lineRule="auto"/>
        <w:tabs>
          <w:tab w:leader="none" w:pos="13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composition or arrangement with any creditor of any member of the Group, or an assignment for the benefit of creditors generally of any member of the Group or a class of such creditors;</w:t>
      </w:r>
    </w:p>
    <w:p>
      <w:pPr>
        <w:spacing w:after="0" w:line="170" w:lineRule="exact"/>
        <w:rPr>
          <w:rFonts w:ascii="Arial" w:cs="Arial" w:eastAsia="Arial" w:hAnsi="Arial"/>
          <w:sz w:val="18"/>
          <w:szCs w:val="18"/>
          <w:color w:val="auto"/>
        </w:rPr>
      </w:pPr>
    </w:p>
    <w:p>
      <w:pPr>
        <w:jc w:val="both"/>
        <w:ind w:left="1300" w:right="100" w:hanging="644"/>
        <w:spacing w:after="0" w:line="264" w:lineRule="auto"/>
        <w:tabs>
          <w:tab w:leader="none" w:pos="131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appointment of a liquidator (other than in respect of a solvent liquidation of a member of the Group which is not an Obligor), receiver, administrator, administrative receiver, compulsory manager, provisional supervisor or other similar officer in respect of any member of the Group or any of its assets;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760" w:hanging="4"/>
        <w:spacing w:after="0" w:line="501" w:lineRule="auto"/>
        <w:tabs>
          <w:tab w:leader="none" w:pos="131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member of the Group, or any analogous procedure or step is taken in any jurisdiction.</w:t>
      </w:r>
    </w:p>
    <w:p>
      <w:pPr>
        <w:ind w:left="660" w:right="60"/>
        <w:spacing w:after="0" w:line="277" w:lineRule="auto"/>
        <w:rPr>
          <w:sz w:val="20"/>
          <w:szCs w:val="20"/>
          <w:color w:val="auto"/>
        </w:rPr>
      </w:pPr>
      <w:r>
        <w:rPr>
          <w:rFonts w:ascii="Arial" w:cs="Arial" w:eastAsia="Arial" w:hAnsi="Arial"/>
          <w:sz w:val="18"/>
          <w:szCs w:val="18"/>
          <w:color w:val="auto"/>
        </w:rPr>
        <w:t>Paragraph (a) above shall not apply to any winding-up petition which is frivolous or vexatious and is discharged, stayed or dismissed within 30 days of commencement.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b w:val="1"/>
          <w:bCs w:val="1"/>
          <w:color w:val="auto"/>
        </w:rPr>
        <w:t>Creditors’ process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expropriation, attachment, sequestration, distress or execution affects any asset or assets of a member of the Group having an aggregate value of not less than $50,000,000.</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6"/>
          <w:szCs w:val="16"/>
          <w:b w:val="1"/>
          <w:bCs w:val="1"/>
          <w:color w:val="auto"/>
        </w:rPr>
        <w:t>Ownership of the Guarantor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Guarantor is not or ceases to be a Subsidiary of the Borrower.</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5"/>
          <w:szCs w:val="15"/>
          <w:b w:val="1"/>
          <w:bCs w:val="1"/>
          <w:color w:val="auto"/>
        </w:rPr>
        <w:t>Unlawfulness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or becomes unlawful for an Obligor to perform any of its obligations under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6"/>
          <w:szCs w:val="16"/>
          <w:b w:val="1"/>
          <w:bCs w:val="1"/>
          <w:color w:val="auto"/>
        </w:rPr>
        <w:t>Repudiation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Obligor repudiates a Finance Document or evidences an intention to repudiate a Finance Document.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6"/>
          <w:szCs w:val="16"/>
          <w:b w:val="1"/>
          <w:bCs w:val="1"/>
          <w:color w:val="auto"/>
        </w:rPr>
        <w:t>Moratorium on External Indebtedness</w:t>
      </w:r>
    </w:p>
    <w:p>
      <w:pPr>
        <w:spacing w:after="0" w:line="229"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The government of PRC or Hong Kong, central bank of PRC or Hong Kong or any Governmental Agency of PRC or Hong Kong declares a moratorium, standstill or similar suspension of payments in respect of its External Indebtedness or the External Indebtedness of any person incorporated, domiciled, resident or situated in PRC or Hong Kong.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6"/>
          <w:szCs w:val="16"/>
          <w:b w:val="1"/>
          <w:bCs w:val="1"/>
          <w:color w:val="auto"/>
        </w:rPr>
        <w:t>Expropriation</w:t>
      </w:r>
    </w:p>
    <w:p>
      <w:pPr>
        <w:spacing w:after="0" w:line="229"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authority or ability of any member of the Group to conduct is business is wholly or substantially limited or wholly or substantially curtailed by any seizure, expropriation, nationalisation, intervention, restriction or other action by or on behalf of any governmental, regulatory or other authority or person in relation to any member of the Group or any of its assets.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5"/>
          <w:szCs w:val="15"/>
          <w:b w:val="1"/>
          <w:bCs w:val="1"/>
          <w:color w:val="auto"/>
        </w:rPr>
        <w:t>Cessation of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suspends or ceases to carry on all or a material part of its business or of the business of the Group taken as a whole.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23.16</w:t>
      </w:r>
      <w:r>
        <w:rPr>
          <w:sz w:val="20"/>
          <w:szCs w:val="20"/>
          <w:color w:val="auto"/>
        </w:rPr>
        <w:tab/>
      </w:r>
      <w:r>
        <w:rPr>
          <w:rFonts w:ascii="Arial" w:cs="Arial" w:eastAsia="Arial" w:hAnsi="Arial"/>
          <w:sz w:val="16"/>
          <w:szCs w:val="16"/>
          <w:b w:val="1"/>
          <w:bCs w:val="1"/>
          <w:color w:val="auto"/>
        </w:rPr>
        <w:t>Audit 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Borrower’s auditor qualify the audited annual consolidated financial statements of the Borrower.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23.17</w:t>
      </w:r>
      <w:r>
        <w:rPr>
          <w:sz w:val="20"/>
          <w:szCs w:val="20"/>
          <w:color w:val="auto"/>
        </w:rPr>
        <w:tab/>
      </w:r>
      <w:r>
        <w:rPr>
          <w:rFonts w:ascii="Arial" w:cs="Arial" w:eastAsia="Arial" w:hAnsi="Arial"/>
          <w:sz w:val="17"/>
          <w:szCs w:val="17"/>
          <w:b w:val="1"/>
          <w:bCs w:val="1"/>
          <w:color w:val="auto"/>
        </w:rPr>
        <w:t>Material litigation</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Any litigation, arbitration, administrative, governmental, regulatory or other investigations, proceedings or disputes are commenced or threatened, or any judgment or order of a court, arbitral tribunal or other tribunal or any order or sanction of any governmental or other regulatory body is made, in relation to the Finance Documents or the transactions contemplated in the Finance Documents or against any member of the Group or its assets which have, or has, or are, or is, reasonably likely to have a Material Adverse Effect.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23.18</w:t>
      </w:r>
      <w:r>
        <w:rPr>
          <w:sz w:val="20"/>
          <w:szCs w:val="20"/>
          <w:color w:val="auto"/>
        </w:rPr>
        <w:tab/>
      </w:r>
      <w:r>
        <w:rPr>
          <w:rFonts w:ascii="Arial" w:cs="Arial" w:eastAsia="Arial" w:hAnsi="Arial"/>
          <w:sz w:val="16"/>
          <w:szCs w:val="16"/>
          <w:b w:val="1"/>
          <w:bCs w:val="1"/>
          <w:color w:val="auto"/>
        </w:rPr>
        <w:t>Material adverse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event or circumstance occurs which the Majority Lenders reasonably believe has or is reasonably likely to have a Material Adverse Effect.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23.19</w:t>
      </w:r>
      <w:r>
        <w:rPr>
          <w:sz w:val="20"/>
          <w:szCs w:val="20"/>
          <w:color w:val="auto"/>
        </w:rPr>
        <w:tab/>
      </w:r>
      <w:r>
        <w:rPr>
          <w:rFonts w:ascii="Arial" w:cs="Arial" w:eastAsia="Arial" w:hAnsi="Arial"/>
          <w:sz w:val="16"/>
          <w:szCs w:val="16"/>
          <w:b w:val="1"/>
          <w:bCs w:val="1"/>
          <w:color w:val="auto"/>
        </w:rPr>
        <w:t>Acceleration</w:t>
      </w:r>
    </w:p>
    <w:p>
      <w:pPr>
        <w:spacing w:after="0" w:line="22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Majority Lenders, by notice to the Borrower:</w:t>
      </w:r>
    </w:p>
    <w:p>
      <w:pPr>
        <w:spacing w:after="0" w:line="170"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without prejudice to the participations of any Lender in any Loans then outstanding:</w:t>
      </w:r>
    </w:p>
    <w:p>
      <w:pPr>
        <w:sectPr>
          <w:pgSz w:w="11900" w:h="16874" w:orient="portrait"/>
          <w:cols w:equalWidth="0" w:num="1">
            <w:col w:w="11400"/>
          </w:cols>
          <w:pgMar w:left="240" w:top="125" w:right="259" w:bottom="0" w:gutter="0" w:footer="0" w:header="0"/>
        </w:sectPr>
      </w:pPr>
    </w:p>
    <w:bookmarkStart w:id="42" w:name="page43"/>
    <w:bookmarkEnd w:id="42"/>
    <w:p>
      <w:pPr>
        <w:ind w:left="1980" w:hanging="675"/>
        <w:spacing w:after="0"/>
        <w:tabs>
          <w:tab w:leader="none" w:pos="198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cancel the Commitments (and reduce them to zero), whereupon they shall immediately be cancelled (and reduced to zero); or</w:t>
      </w:r>
    </w:p>
    <w:p>
      <w:pPr>
        <w:spacing w:after="0" w:line="248" w:lineRule="exact"/>
        <w:rPr>
          <w:rFonts w:ascii="Arial" w:cs="Arial" w:eastAsia="Arial" w:hAnsi="Arial"/>
          <w:sz w:val="16"/>
          <w:szCs w:val="16"/>
          <w:color w:val="auto"/>
        </w:rPr>
      </w:pPr>
    </w:p>
    <w:p>
      <w:pPr>
        <w:ind w:left="1960" w:right="180" w:hanging="655"/>
        <w:spacing w:after="0" w:line="277" w:lineRule="auto"/>
        <w:tabs>
          <w:tab w:leader="none" w:pos="199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cancel any part of any Commitment (and reduce such Commitment accordingly), whereupon the relevant part shall immediately be cancelled (and the relevant Commitment shall be immediately reduced accordingly); and/or</w:t>
      </w:r>
    </w:p>
    <w:p>
      <w:pPr>
        <w:spacing w:after="0" w:line="170" w:lineRule="exact"/>
        <w:rPr>
          <w:rFonts w:ascii="Arial" w:cs="Arial" w:eastAsia="Arial" w:hAnsi="Arial"/>
          <w:sz w:val="18"/>
          <w:szCs w:val="18"/>
          <w:color w:val="auto"/>
        </w:rPr>
      </w:pPr>
    </w:p>
    <w:p>
      <w:pPr>
        <w:ind w:left="1300" w:right="680" w:hanging="644"/>
        <w:spacing w:after="0" w:line="308" w:lineRule="auto"/>
        <w:tabs>
          <w:tab w:leader="none" w:pos="130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1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Majority Lenders.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TO PARTIES</w:t>
      </w:r>
    </w:p>
    <w:p>
      <w:pPr>
        <w:spacing w:after="0" w:line="207"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CHANGES TO THE LENDERS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b w:val="1"/>
          <w:bCs w:val="1"/>
          <w:color w:val="auto"/>
        </w:rPr>
        <w:t>Assignments and transfers by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this Clause 24,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229"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22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Conditions of assignment or transfer</w:t>
      </w:r>
    </w:p>
    <w:p>
      <w:pPr>
        <w:spacing w:after="0" w:line="229"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consent of the Borrower is not required for any assignment or transfer by a Lender pursuant to this Clause 24.</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Existing Lender will (via the Agent) give the Borrower 5 Business Days’ prior notice for an assignment or transfer unless the assignment or transfer is: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another Lender or an Affiliate of any Lender;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a fund which is a Related Fund of that Existing Lender;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made at a time when a Default is continuing.</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transfer will be effective only if the procedure set out in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 assignment will be effective only if the procedure and conditions set out in Clause 24.7 (</w:t>
      </w:r>
      <w:r>
        <w:rPr>
          <w:rFonts w:ascii="Arial" w:cs="Arial" w:eastAsia="Arial" w:hAnsi="Arial"/>
          <w:sz w:val="16"/>
          <w:szCs w:val="16"/>
          <w:i w:val="1"/>
          <w:iCs w:val="1"/>
          <w:color w:val="auto"/>
        </w:rPr>
        <w:t>Procedure for assignment</w:t>
      </w:r>
      <w:r>
        <w:rPr>
          <w:rFonts w:ascii="Arial" w:cs="Arial" w:eastAsia="Arial" w:hAnsi="Arial"/>
          <w:sz w:val="16"/>
          <w:szCs w:val="16"/>
          <w:color w:val="auto"/>
        </w:rPr>
        <w:t>) are complied with.</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b w:val="1"/>
          <w:bCs w:val="1"/>
          <w:color w:val="auto"/>
        </w:rPr>
        <w:t>Buy-out</w:t>
      </w:r>
    </w:p>
    <w:p>
      <w:pPr>
        <w:spacing w:after="0" w:line="229" w:lineRule="exact"/>
        <w:rPr>
          <w:sz w:val="20"/>
          <w:szCs w:val="20"/>
          <w:color w:val="auto"/>
        </w:rPr>
      </w:pPr>
    </w:p>
    <w:p>
      <w:pPr>
        <w:ind w:left="1300" w:right="100" w:hanging="644"/>
        <w:spacing w:after="0" w:line="289" w:lineRule="auto"/>
        <w:tabs>
          <w:tab w:leader="none" w:pos="129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Subject to the provisions of paragraphs (b) and (c) below, in the event that any consent to, waiver of, or amendment to any provision of the Finance Documents requires the consent of all Lenders but only the consent of the Majority Lenders is obtained within 21 days of the request for such consent, waiver or amendment being given to the Lenders, one or more of the Majority Lenders supporting such consent, waiver or amendment (such one or more Lenders, the “</w:t>
      </w:r>
      <w:r>
        <w:rPr>
          <w:rFonts w:ascii="Arial" w:cs="Arial" w:eastAsia="Arial" w:hAnsi="Arial"/>
          <w:sz w:val="16"/>
          <w:szCs w:val="16"/>
          <w:b w:val="1"/>
          <w:bCs w:val="1"/>
          <w:color w:val="auto"/>
        </w:rPr>
        <w:t>Supporting Lenders</w:t>
      </w:r>
      <w:r>
        <w:rPr>
          <w:rFonts w:ascii="Arial" w:cs="Arial" w:eastAsia="Arial" w:hAnsi="Arial"/>
          <w:sz w:val="16"/>
          <w:szCs w:val="16"/>
          <w:color w:val="auto"/>
        </w:rPr>
        <w:t>”) may by giving at least 10 days’ notice require the Lenders who have not consented to such consent, waiver or amendment (the “</w:t>
      </w:r>
      <w:r>
        <w:rPr>
          <w:rFonts w:ascii="Arial" w:cs="Arial" w:eastAsia="Arial" w:hAnsi="Arial"/>
          <w:sz w:val="16"/>
          <w:szCs w:val="16"/>
          <w:b w:val="1"/>
          <w:bCs w:val="1"/>
          <w:color w:val="auto"/>
        </w:rPr>
        <w:t>Dissenting Lenders</w:t>
      </w:r>
      <w:r>
        <w:rPr>
          <w:rFonts w:ascii="Arial" w:cs="Arial" w:eastAsia="Arial" w:hAnsi="Arial"/>
          <w:sz w:val="16"/>
          <w:szCs w:val="16"/>
          <w:color w:val="auto"/>
        </w:rPr>
        <w:t>”) to transfer their rights and obligations in the Loans (together with a proportionate share of their rights and obligations under the Finance Documents) to one or more of the Supporting Lenders on the date notified to such Dissenting Lenders by the Supporting Lenders (being at least 5 Business Days after the date of such notice) (the “</w:t>
      </w:r>
      <w:r>
        <w:rPr>
          <w:rFonts w:ascii="Arial" w:cs="Arial" w:eastAsia="Arial" w:hAnsi="Arial"/>
          <w:sz w:val="16"/>
          <w:szCs w:val="16"/>
          <w:b w:val="1"/>
          <w:bCs w:val="1"/>
          <w:color w:val="auto"/>
        </w:rPr>
        <w:t>Buy-Out Date</w:t>
      </w:r>
      <w:r>
        <w:rPr>
          <w:rFonts w:ascii="Arial" w:cs="Arial" w:eastAsia="Arial" w:hAnsi="Arial"/>
          <w:sz w:val="16"/>
          <w:szCs w:val="16"/>
          <w:color w:val="auto"/>
        </w:rPr>
        <w:t>”) provided that on or before the Buy-Out Date such Dissenting Lenders are paid by the Supporting Lenders (pro rata based on the principal amount owed to each Supporting Lender or otherwise as agreed by the Supporting Lenders):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 value for the amount of the Loans to be transferred on the Buy-Out Date; and</w:t>
      </w:r>
    </w:p>
    <w:p>
      <w:pPr>
        <w:spacing w:after="0" w:line="225" w:lineRule="exact"/>
        <w:rPr>
          <w:rFonts w:ascii="Arial" w:cs="Arial" w:eastAsia="Arial" w:hAnsi="Arial"/>
          <w:sz w:val="18"/>
          <w:szCs w:val="18"/>
          <w:color w:val="auto"/>
        </w:rPr>
      </w:pPr>
    </w:p>
    <w:p>
      <w:pPr>
        <w:ind w:left="1960" w:right="180" w:hanging="655"/>
        <w:spacing w:after="0" w:line="308" w:lineRule="auto"/>
        <w:tabs>
          <w:tab w:leader="none" w:pos="199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all accrued and unpaid interest, Break Costs (if any, as if the relevant amount of the Loan was prepaid on the Buy-Out Date) and other amounts owing on the amount of the Loan to be transferred up to but excluding the Buy-Out Date.</w:t>
      </w:r>
    </w:p>
    <w:p>
      <w:pPr>
        <w:spacing w:after="0" w:line="147" w:lineRule="exact"/>
        <w:rPr>
          <w:sz w:val="20"/>
          <w:szCs w:val="20"/>
          <w:color w:val="auto"/>
        </w:rPr>
      </w:pPr>
    </w:p>
    <w:p>
      <w:pPr>
        <w:ind w:left="1300"/>
        <w:spacing w:after="0" w:line="276" w:lineRule="auto"/>
        <w:rPr>
          <w:sz w:val="20"/>
          <w:szCs w:val="20"/>
          <w:color w:val="auto"/>
        </w:rPr>
      </w:pPr>
      <w:r>
        <w:rPr>
          <w:rFonts w:ascii="Arial" w:cs="Arial" w:eastAsia="Arial" w:hAnsi="Arial"/>
          <w:sz w:val="17"/>
          <w:szCs w:val="17"/>
          <w:color w:val="auto"/>
        </w:rPr>
        <w:t>Upon payment by the Supporting Lenders of the amounts referred to in paragraphs (i) and (ii) above, the Dissenting Lenders’ rights and obligations in the Loans (together with a proportionate share of their interest, rights and obligations under the Finance Documents) shall be transferred by way of novation or by way of assignment, release and assumption to the Supporting Lenders (pro rata based on the principal amount owed to each Supporting Lender or otherwise as agreed by the Supporting Lenders) on the Buy-Out Date in accordance with Clause 24.6 (</w:t>
      </w:r>
      <w:r>
        <w:rPr>
          <w:rFonts w:ascii="Arial" w:cs="Arial" w:eastAsia="Arial" w:hAnsi="Arial"/>
          <w:sz w:val="17"/>
          <w:szCs w:val="17"/>
          <w:i w:val="1"/>
          <w:iCs w:val="1"/>
          <w:color w:val="auto"/>
        </w:rPr>
        <w:t>Procedure for transfer</w:t>
      </w:r>
      <w:r>
        <w:rPr>
          <w:rFonts w:ascii="Arial" w:cs="Arial" w:eastAsia="Arial" w:hAnsi="Arial"/>
          <w:sz w:val="17"/>
          <w:szCs w:val="17"/>
          <w:color w:val="auto"/>
        </w:rPr>
        <w:t>) or Clause 24.7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(as the case may be).</w:t>
      </w:r>
    </w:p>
    <w:p>
      <w:pPr>
        <w:sectPr>
          <w:pgSz w:w="11900" w:h="16838" w:orient="portrait"/>
          <w:cols w:equalWidth="0" w:num="1">
            <w:col w:w="11400"/>
          </w:cols>
          <w:pgMar w:left="240" w:top="341" w:right="259" w:bottom="0" w:gutter="0" w:footer="0" w:header="0"/>
        </w:sectPr>
      </w:pPr>
    </w:p>
    <w:bookmarkStart w:id="43" w:name="page44"/>
    <w:bookmarkEnd w:id="43"/>
    <w:p>
      <w:pPr>
        <w:spacing w:after="0" w:line="80" w:lineRule="exact"/>
        <w:rPr>
          <w:sz w:val="20"/>
          <w:szCs w:val="20"/>
          <w:color w:val="auto"/>
        </w:rPr>
      </w:pPr>
    </w:p>
    <w:p>
      <w:pPr>
        <w:ind w:left="1320" w:hanging="664"/>
        <w:spacing w:after="0"/>
        <w:tabs>
          <w:tab w:leader="none" w:pos="13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Lender may notify each Participant of any matter requiring all Lender approval and the provisions of this Clause 24.3 (</w:t>
      </w:r>
      <w:r>
        <w:rPr>
          <w:rFonts w:ascii="Arial" w:cs="Arial" w:eastAsia="Arial" w:hAnsi="Arial"/>
          <w:sz w:val="17"/>
          <w:szCs w:val="17"/>
          <w:i w:val="1"/>
          <w:iCs w:val="1"/>
          <w:color w:val="auto"/>
        </w:rPr>
        <w:t>Buy-out)</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300" w:right="160" w:hanging="644"/>
        <w:spacing w:after="0" w:line="293" w:lineRule="auto"/>
        <w:tabs>
          <w:tab w:leader="none" w:pos="131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when voting on a matter requiring all Lenders approval, a Lender splits its vote to reflect the instructions of its Participant then, any percentage of that Lender’s vote cast against the requested consent, waiver or amendment, as the case may be, on the instructions of its Participant (the “</w:t>
      </w:r>
      <w:r>
        <w:rPr>
          <w:rFonts w:ascii="Arial" w:cs="Arial" w:eastAsia="Arial" w:hAnsi="Arial"/>
          <w:sz w:val="16"/>
          <w:szCs w:val="16"/>
          <w:b w:val="1"/>
          <w:bCs w:val="1"/>
          <w:color w:val="auto"/>
        </w:rPr>
        <w:t>Dissenting Portion”</w:t>
      </w:r>
      <w:r>
        <w:rPr>
          <w:rFonts w:ascii="Arial" w:cs="Arial" w:eastAsia="Arial" w:hAnsi="Arial"/>
          <w:sz w:val="16"/>
          <w:szCs w:val="16"/>
          <w:color w:val="auto"/>
        </w:rPr>
        <w:t>) shall be treated as a Dissenting Lender and the Supporting Lenders may require that Lender to terminate, unwind, liquidate or otherwise cancel its arrangements with its Participant (provided that the Supporting Lenders shall pay to such Lender all costs incurred in connection with such termination, unwinding, liquidation or cancellation) and transfer the interest, rights and obligation corresponding to the Dissenting Portion to the Supporting Lenders in accordance with paragraph (a) above.</w:t>
      </w:r>
    </w:p>
    <w:p>
      <w:pPr>
        <w:spacing w:after="0" w:line="164" w:lineRule="exact"/>
        <w:rPr>
          <w:rFonts w:ascii="Arial" w:cs="Arial" w:eastAsia="Arial" w:hAnsi="Arial"/>
          <w:sz w:val="16"/>
          <w:szCs w:val="16"/>
          <w:color w:val="auto"/>
        </w:rPr>
      </w:pPr>
    </w:p>
    <w:p>
      <w:pPr>
        <w:ind w:left="1300" w:hanging="644"/>
        <w:spacing w:after="0" w:line="259" w:lineRule="auto"/>
        <w:tabs>
          <w:tab w:leader="none" w:pos="13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order to effect the transfer referred to in paragraph (a) above, the Supporting Lenders shall complete a Transfer Certificate or Assignment Agreement (or, if required, Transfer Certificates or Assignment Agreements) and send a copy of such Transfer Certificate(s) or Assignment Agreement(s) (duly signed by the Supporting Lenders) to each relevant Dissenting Lender (each of whom shall promptly execute and deliver the Transfer Certificate(s) or Assignment Agreement(s) to the Facility Agent).</w:t>
      </w:r>
    </w:p>
    <w:p>
      <w:pPr>
        <w:spacing w:after="0" w:line="186" w:lineRule="exact"/>
        <w:rPr>
          <w:rFonts w:ascii="Arial" w:cs="Arial" w:eastAsia="Arial" w:hAnsi="Arial"/>
          <w:sz w:val="18"/>
          <w:szCs w:val="18"/>
          <w:color w:val="auto"/>
        </w:rPr>
      </w:pPr>
    </w:p>
    <w:p>
      <w:pPr>
        <w:ind w:left="1300" w:right="200" w:hanging="644"/>
        <w:spacing w:after="0" w:line="342" w:lineRule="auto"/>
        <w:tabs>
          <w:tab w:leader="none" w:pos="131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Lender that transfers any part of its rights and obligations under the Finance Documents directly or indirectly by way of a Participation Agreement may inform the person to whom it proposes to transfer such rights and obligations of the provisions of this Clause 24.3.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hanging="644"/>
        <w:spacing w:after="0" w:line="277" w:lineRule="auto"/>
        <w:tabs>
          <w:tab w:leader="none" w:pos="130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reference in this Agreement to a Lender includes a New Lender and any person to whom rights have been transferred pursuant to this Clause 24.3 but excludes a Lender if no amount is or may be owed to or by it under this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Assignment or transfer fee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Lender shall, on the date upon which an assignment or transfer takes effect, pay to the Agent (for its own account) a fee of US$2,500.</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29" w:lineRule="exact"/>
        <w:rPr>
          <w:sz w:val="20"/>
          <w:szCs w:val="20"/>
          <w:color w:val="auto"/>
        </w:rPr>
      </w:pPr>
    </w:p>
    <w:p>
      <w:pPr>
        <w:ind w:left="1300" w:right="240" w:hanging="644"/>
        <w:spacing w:after="0" w:line="277" w:lineRule="auto"/>
        <w:tabs>
          <w:tab w:leader="none" w:pos="129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performance and observance by any Obligor of its obligations under the Finance Documents or any other documents; or</w:t>
      </w:r>
    </w:p>
    <w:p>
      <w:pPr>
        <w:spacing w:after="0" w:line="236" w:lineRule="exact"/>
        <w:rPr>
          <w:rFonts w:ascii="Arial" w:cs="Arial" w:eastAsia="Arial" w:hAnsi="Arial"/>
          <w:sz w:val="17"/>
          <w:szCs w:val="17"/>
          <w:color w:val="auto"/>
        </w:rPr>
      </w:pPr>
    </w:p>
    <w:p>
      <w:pPr>
        <w:ind w:left="1960" w:right="600" w:hanging="655"/>
        <w:spacing w:after="0" w:line="277" w:lineRule="auto"/>
        <w:tabs>
          <w:tab w:leader="none" w:pos="195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25" w:lineRule="exact"/>
        <w:rPr>
          <w:sz w:val="20"/>
          <w:szCs w:val="20"/>
          <w:color w:val="auto"/>
        </w:rPr>
      </w:pPr>
    </w:p>
    <w:p>
      <w:pPr>
        <w:ind w:left="1320" w:hanging="664"/>
        <w:spacing w:after="0"/>
        <w:tabs>
          <w:tab w:leader="none" w:pos="13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25" w:lineRule="exact"/>
        <w:rPr>
          <w:rFonts w:ascii="Arial" w:cs="Arial" w:eastAsia="Arial" w:hAnsi="Arial"/>
          <w:sz w:val="18"/>
          <w:szCs w:val="18"/>
          <w:color w:val="auto"/>
        </w:rPr>
      </w:pPr>
    </w:p>
    <w:p>
      <w:pPr>
        <w:ind w:left="1960" w:right="200" w:hanging="655"/>
        <w:spacing w:after="0" w:line="286" w:lineRule="auto"/>
        <w:tabs>
          <w:tab w:leader="none" w:pos="195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65" w:lineRule="exact"/>
        <w:rPr>
          <w:rFonts w:ascii="Arial" w:cs="Arial" w:eastAsia="Arial" w:hAnsi="Arial"/>
          <w:sz w:val="17"/>
          <w:szCs w:val="17"/>
          <w:color w:val="auto"/>
        </w:rPr>
      </w:pPr>
    </w:p>
    <w:p>
      <w:pPr>
        <w:ind w:left="1960" w:right="420" w:hanging="655"/>
        <w:spacing w:after="0" w:line="308" w:lineRule="auto"/>
        <w:tabs>
          <w:tab w:leader="none" w:pos="196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25" w:lineRule="exact"/>
        <w:rPr>
          <w:rFonts w:ascii="Arial" w:cs="Arial" w:eastAsia="Arial" w:hAnsi="Arial"/>
          <w:sz w:val="18"/>
          <w:szCs w:val="18"/>
          <w:color w:val="auto"/>
        </w:rPr>
      </w:pPr>
    </w:p>
    <w:p>
      <w:pPr>
        <w:ind w:left="1960" w:right="360" w:hanging="655"/>
        <w:spacing w:after="0" w:line="277" w:lineRule="auto"/>
        <w:tabs>
          <w:tab w:leader="none" w:pos="195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24; or</w:t>
      </w:r>
    </w:p>
    <w:p>
      <w:pPr>
        <w:spacing w:after="0" w:line="170" w:lineRule="exact"/>
        <w:rPr>
          <w:rFonts w:ascii="Arial" w:cs="Arial" w:eastAsia="Arial" w:hAnsi="Arial"/>
          <w:sz w:val="18"/>
          <w:szCs w:val="18"/>
          <w:color w:val="auto"/>
        </w:rPr>
      </w:pPr>
    </w:p>
    <w:p>
      <w:pPr>
        <w:ind w:left="1960" w:right="500" w:hanging="655"/>
        <w:spacing w:after="0" w:line="277" w:lineRule="auto"/>
        <w:tabs>
          <w:tab w:leader="none" w:pos="196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Procedure for transfer</w:t>
      </w:r>
    </w:p>
    <w:p>
      <w:pPr>
        <w:spacing w:after="0" w:line="229"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Subject to the conditions set out in Clause 24.2 (</w:t>
      </w:r>
      <w:r>
        <w:rPr>
          <w:rFonts w:ascii="Arial" w:cs="Arial" w:eastAsia="Arial" w:hAnsi="Arial"/>
          <w:sz w:val="16"/>
          <w:szCs w:val="16"/>
          <w:i w:val="1"/>
          <w:iCs w:val="1"/>
          <w:color w:val="auto"/>
        </w:rPr>
        <w:t>Conditions of assignment or transfer</w:t>
      </w:r>
      <w:r>
        <w:rPr>
          <w:rFonts w:ascii="Arial" w:cs="Arial" w:eastAsia="Arial" w:hAnsi="Arial"/>
          <w:sz w:val="16"/>
          <w:szCs w:val="16"/>
          <w:color w:val="auto"/>
        </w:rPr>
        <w:t>), a transfer is effected in accordance with paragraph</w:t>
      </w:r>
    </w:p>
    <w:p>
      <w:pPr>
        <w:spacing w:after="0" w:line="46" w:lineRule="exact"/>
        <w:rPr>
          <w:rFonts w:ascii="Arial" w:cs="Arial" w:eastAsia="Arial" w:hAnsi="Arial"/>
          <w:sz w:val="16"/>
          <w:szCs w:val="16"/>
          <w:color w:val="auto"/>
        </w:rPr>
      </w:pPr>
    </w:p>
    <w:p>
      <w:pPr>
        <w:ind w:left="1300" w:right="80"/>
        <w:spacing w:after="0" w:line="254" w:lineRule="auto"/>
        <w:rPr>
          <w:rFonts w:ascii="Arial" w:cs="Arial" w:eastAsia="Arial" w:hAnsi="Arial"/>
          <w:sz w:val="16"/>
          <w:szCs w:val="16"/>
          <w:color w:val="auto"/>
        </w:rPr>
      </w:pPr>
      <w:r>
        <w:rPr>
          <w:rFonts w:ascii="Arial" w:cs="Arial" w:eastAsia="Arial" w:hAnsi="Arial"/>
          <w:sz w:val="18"/>
          <w:szCs w:val="18"/>
          <w:color w:val="auto"/>
        </w:rPr>
        <w:t>(c)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89" w:lineRule="exact"/>
        <w:rPr>
          <w:rFonts w:ascii="Arial" w:cs="Arial" w:eastAsia="Arial" w:hAnsi="Arial"/>
          <w:sz w:val="16"/>
          <w:szCs w:val="16"/>
          <w:color w:val="auto"/>
        </w:rPr>
      </w:pPr>
    </w:p>
    <w:p>
      <w:pPr>
        <w:ind w:left="1300" w:right="180" w:hanging="644"/>
        <w:spacing w:after="0" w:line="264" w:lineRule="auto"/>
        <w:tabs>
          <w:tab w:leader="none" w:pos="130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Agent shall not be obliged to execute a Transfer Certificate delivered to it by the Existing Lender and the New Lender unless it is satisfied that it has completed all “know your customer” and other similar procedures that it is required (or deems desirable) to conduct in relation to the transfer to such New Lender.</w:t>
      </w:r>
    </w:p>
    <w:p>
      <w:pPr>
        <w:sectPr>
          <w:pgSz w:w="11900" w:h="16918" w:orient="portrait"/>
          <w:cols w:equalWidth="0" w:num="1">
            <w:col w:w="11400"/>
          </w:cols>
          <w:pgMar w:left="240" w:top="125" w:right="259" w:bottom="0" w:gutter="0" w:footer="0" w:header="0"/>
        </w:sectPr>
      </w:pPr>
    </w:p>
    <w:bookmarkStart w:id="44" w:name="page45"/>
    <w:bookmarkEnd w:id="44"/>
    <w:p>
      <w:pPr>
        <w:spacing w:after="0" w:line="32" w:lineRule="exact"/>
        <w:rPr>
          <w:sz w:val="20"/>
          <w:szCs w:val="20"/>
          <w:color w:val="auto"/>
        </w:rPr>
      </w:pPr>
    </w:p>
    <w:p>
      <w:pPr>
        <w:ind w:left="1320" w:hanging="664"/>
        <w:spacing w:after="0"/>
        <w:tabs>
          <w:tab w:leader="none" w:pos="1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Clause 24.13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5" w:lineRule="exact"/>
        <w:rPr>
          <w:rFonts w:ascii="Arial" w:cs="Arial" w:eastAsia="Arial" w:hAnsi="Arial"/>
          <w:sz w:val="18"/>
          <w:szCs w:val="18"/>
          <w:color w:val="auto"/>
        </w:rPr>
      </w:pPr>
    </w:p>
    <w:p>
      <w:pPr>
        <w:ind w:left="1960" w:right="220" w:hanging="655"/>
        <w:spacing w:after="0" w:line="259" w:lineRule="auto"/>
        <w:tabs>
          <w:tab w:leader="none" w:pos="198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60" w:right="200" w:hanging="655"/>
        <w:spacing w:after="0" w:line="264" w:lineRule="auto"/>
        <w:tabs>
          <w:tab w:leader="none" w:pos="196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81" w:lineRule="exact"/>
        <w:rPr>
          <w:rFonts w:ascii="Arial" w:cs="Arial" w:eastAsia="Arial" w:hAnsi="Arial"/>
          <w:sz w:val="18"/>
          <w:szCs w:val="18"/>
          <w:color w:val="auto"/>
        </w:rPr>
      </w:pPr>
    </w:p>
    <w:p>
      <w:pPr>
        <w:ind w:left="1960" w:right="60" w:hanging="655"/>
        <w:spacing w:after="0" w:line="302" w:lineRule="auto"/>
        <w:tabs>
          <w:tab w:leader="none" w:pos="1973"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Agent, the Mandated Lead Arrangers,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Mandated Lead Arrangers and the Existing Lender shall each be released from further obligations to each other under the Finance Documents; and</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225" w:lineRule="exact"/>
        <w:rPr>
          <w:rFonts w:ascii="Arial" w:cs="Arial" w:eastAsia="Arial" w:hAnsi="Arial"/>
          <w:sz w:val="18"/>
          <w:szCs w:val="18"/>
          <w:color w:val="auto"/>
        </w:rPr>
      </w:pPr>
    </w:p>
    <w:p>
      <w:pPr>
        <w:ind w:left="1300" w:hanging="644"/>
        <w:spacing w:after="0" w:line="279" w:lineRule="auto"/>
        <w:tabs>
          <w:tab w:leader="none" w:pos="130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procedure set out in this Clause 24.6 shall not apply to any right or obligation under any Finance Document (other than this Agreement) if and to the extent its terms, or any laws or regulations applicable thereto, provide for or require a different means of transfer of such right or obligation or prohibit or restrict any transfer of such right or obligation, unless such prohibition or restriction shall not be applicable to the relevant transfer or each condition of any applicable restriction shall have been satisfied.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5"/>
          <w:szCs w:val="15"/>
          <w:b w:val="1"/>
          <w:bCs w:val="1"/>
          <w:color w:val="auto"/>
        </w:rPr>
        <w:t>Procedure for assignment</w:t>
      </w:r>
    </w:p>
    <w:p>
      <w:pPr>
        <w:spacing w:after="0" w:line="229" w:lineRule="exact"/>
        <w:rPr>
          <w:sz w:val="20"/>
          <w:szCs w:val="20"/>
          <w:color w:val="auto"/>
        </w:rPr>
      </w:pPr>
    </w:p>
    <w:p>
      <w:pPr>
        <w:ind w:left="1300" w:right="200" w:hanging="644"/>
        <w:spacing w:after="0" w:line="276" w:lineRule="auto"/>
        <w:tabs>
          <w:tab w:leader="none" w:pos="129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Subject to the conditions set out in Clause 24.2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(b)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72" w:lineRule="exact"/>
        <w:rPr>
          <w:rFonts w:ascii="Arial" w:cs="Arial" w:eastAsia="Arial" w:hAnsi="Arial"/>
          <w:sz w:val="17"/>
          <w:szCs w:val="17"/>
          <w:color w:val="auto"/>
        </w:rPr>
      </w:pPr>
    </w:p>
    <w:p>
      <w:pPr>
        <w:ind w:left="1300" w:right="100" w:hanging="644"/>
        <w:spacing w:after="0" w:line="264" w:lineRule="auto"/>
        <w:tabs>
          <w:tab w:leader="none" w:pos="130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Agent shall not be obliged to execute an Assignment Agreement delivered to it by the Existing Lender and the New Lender unless it is satisfied that it has completed all “know your customer” and other similar procedures that it is required (or deems desirable) to conduct in relation to the transfer to such New Lender.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Subject to Clause 24.13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5" w:lineRule="exact"/>
        <w:rPr>
          <w:rFonts w:ascii="Arial" w:cs="Arial" w:eastAsia="Arial" w:hAnsi="Arial"/>
          <w:sz w:val="18"/>
          <w:szCs w:val="18"/>
          <w:color w:val="auto"/>
        </w:rPr>
      </w:pPr>
    </w:p>
    <w:p>
      <w:pPr>
        <w:ind w:left="1960" w:right="160" w:hanging="655"/>
        <w:spacing w:after="0" w:line="277" w:lineRule="auto"/>
        <w:tabs>
          <w:tab w:leader="none" w:pos="195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166" w:lineRule="exact"/>
        <w:rPr>
          <w:rFonts w:ascii="Arial" w:cs="Arial" w:eastAsia="Arial" w:hAnsi="Arial"/>
          <w:sz w:val="18"/>
          <w:szCs w:val="18"/>
          <w:color w:val="auto"/>
        </w:rPr>
      </w:pPr>
    </w:p>
    <w:p>
      <w:pPr>
        <w:ind w:left="1960" w:right="100" w:hanging="655"/>
        <w:spacing w:after="0" w:line="282" w:lineRule="auto"/>
        <w:tabs>
          <w:tab w:leader="none" w:pos="196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Assignment Agreement; and</w:t>
      </w:r>
    </w:p>
    <w:p>
      <w:pPr>
        <w:spacing w:after="0" w:line="165" w:lineRule="exact"/>
        <w:rPr>
          <w:rFonts w:ascii="Arial" w:cs="Arial" w:eastAsia="Arial" w:hAnsi="Arial"/>
          <w:sz w:val="18"/>
          <w:szCs w:val="18"/>
          <w:color w:val="auto"/>
        </w:rPr>
      </w:pPr>
    </w:p>
    <w:p>
      <w:pPr>
        <w:ind w:left="1960" w:hanging="655"/>
        <w:spacing w:after="0"/>
        <w:tabs>
          <w:tab w:leader="none" w:pos="196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the New Lender shall become a Party as a “Lender” and will be bound by obligations equivalent to the Relevant Obligations.</w:t>
      </w:r>
    </w:p>
    <w:p>
      <w:pPr>
        <w:spacing w:after="0" w:line="236" w:lineRule="exact"/>
        <w:rPr>
          <w:rFonts w:ascii="Arial" w:cs="Arial" w:eastAsia="Arial" w:hAnsi="Arial"/>
          <w:sz w:val="17"/>
          <w:szCs w:val="17"/>
          <w:color w:val="auto"/>
        </w:rPr>
      </w:pPr>
    </w:p>
    <w:p>
      <w:pPr>
        <w:ind w:left="1300" w:right="60" w:hanging="644"/>
        <w:spacing w:after="0" w:line="279" w:lineRule="auto"/>
        <w:tabs>
          <w:tab w:leader="none" w:pos="130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Lenders may utilise procedures other than those set out in this Clause 24.7 to assign their rights under the Finance Documents (but not, without the consent of the relevant Obligor or unless in accordance with Clause 24.6 (</w:t>
      </w:r>
      <w:r>
        <w:rPr>
          <w:rFonts w:ascii="Arial" w:cs="Arial" w:eastAsia="Arial" w:hAnsi="Arial"/>
          <w:sz w:val="17"/>
          <w:szCs w:val="17"/>
          <w:i w:val="1"/>
          <w:iCs w:val="1"/>
          <w:color w:val="auto"/>
        </w:rPr>
        <w:t>Procedure for transfer</w:t>
      </w:r>
      <w:r>
        <w:rPr>
          <w:rFonts w:ascii="Arial" w:cs="Arial" w:eastAsia="Arial" w:hAnsi="Arial"/>
          <w:sz w:val="17"/>
          <w:szCs w:val="17"/>
          <w:color w:val="auto"/>
        </w:rPr>
        <w:t xml:space="preserve">), to obtain a release by that Obligor from the obligations owed to that Obligor by the Lenders nor the assumption of equivalent obligations by a New Lender)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that </w:t>
      </w:r>
      <w:r>
        <w:rPr>
          <w:rFonts w:ascii="Arial" w:cs="Arial" w:eastAsia="Arial" w:hAnsi="Arial"/>
          <w:sz w:val="17"/>
          <w:szCs w:val="17"/>
          <w:color w:val="auto"/>
        </w:rPr>
        <w:t>they comply with the conditions set out in Clause 24.2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00" w:right="600" w:hanging="644"/>
        <w:spacing w:after="0" w:line="276" w:lineRule="auto"/>
        <w:tabs>
          <w:tab w:leader="none" w:pos="131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procedure set out in this Clause 24.7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6"/>
          <w:szCs w:val="16"/>
          <w:b w:val="1"/>
          <w:bCs w:val="1"/>
          <w:color w:val="auto"/>
        </w:rPr>
        <w:t>Copy of Transfer Certificate or Assignment Agreement to Borrower</w:t>
      </w:r>
    </w:p>
    <w:p>
      <w:pPr>
        <w:spacing w:after="0" w:line="22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Agent shall, as soon as reasonably practicable after it has executed a Transfer Certificate or an Assignment Agreement, send to the Borrower a copy of that Transfer Certificate or Assignment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5"/>
          <w:szCs w:val="15"/>
          <w:b w:val="1"/>
          <w:bCs w:val="1"/>
          <w:color w:val="auto"/>
        </w:rPr>
        <w:t>Existing consents and waivers</w:t>
      </w:r>
    </w:p>
    <w:p>
      <w:pPr>
        <w:spacing w:after="0" w:line="22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b w:val="1"/>
          <w:bCs w:val="1"/>
          <w:color w:val="auto"/>
        </w:rPr>
        <w:t>Exclusion of Agent’s liability</w:t>
      </w:r>
    </w:p>
    <w:p>
      <w:pPr>
        <w:sectPr>
          <w:pgSz w:w="11900" w:h="16870" w:orient="portrait"/>
          <w:cols w:equalWidth="0" w:num="1">
            <w:col w:w="11420"/>
          </w:cols>
          <w:pgMar w:left="240" w:top="341" w:right="239" w:bottom="0" w:gutter="0" w:footer="0" w:header="0"/>
        </w:sectPr>
      </w:pPr>
    </w:p>
    <w:bookmarkStart w:id="45" w:name="page46"/>
    <w:bookmarkEnd w:id="45"/>
    <w:p>
      <w:pPr>
        <w:spacing w:after="0" w:line="137" w:lineRule="exact"/>
        <w:rPr>
          <w:sz w:val="20"/>
          <w:szCs w:val="20"/>
          <w:color w:val="auto"/>
        </w:rPr>
      </w:pPr>
    </w:p>
    <w:p>
      <w:pPr>
        <w:ind w:left="660" w:right="540"/>
        <w:spacing w:after="0" w:line="308" w:lineRule="auto"/>
        <w:rPr>
          <w:sz w:val="20"/>
          <w:szCs w:val="20"/>
          <w:color w:val="auto"/>
        </w:rPr>
      </w:pPr>
      <w:r>
        <w:rPr>
          <w:rFonts w:ascii="Arial" w:cs="Arial" w:eastAsia="Arial" w:hAnsi="Arial"/>
          <w:sz w:val="17"/>
          <w:szCs w:val="17"/>
          <w:color w:val="auto"/>
        </w:rPr>
        <w:t>In relation to any assignment or transfer pursuant to this Clause 24, each Party acknowledges and agrees that the Agent shall not be obliged to enquire as to the accuracy of any representation or warranty made by a New Lender in respect of its eligibility as a Lender.</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6"/>
          <w:szCs w:val="16"/>
          <w:b w:val="1"/>
          <w:bCs w:val="1"/>
          <w:color w:val="auto"/>
        </w:rPr>
        <w:t>Assignments and transfers to Obligor group</w:t>
      </w:r>
    </w:p>
    <w:p>
      <w:pPr>
        <w:spacing w:after="0" w:line="229"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A Lender may not assign or transfer to any Obligor or any Affiliate of any Obligor any of such Lender’s rights or obligations under any Finance Document, except with the prior written consent of all the Lenders.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24.12</w:t>
      </w:r>
      <w:r>
        <w:rPr>
          <w:sz w:val="20"/>
          <w:szCs w:val="20"/>
          <w:color w:val="auto"/>
        </w:rPr>
        <w:tab/>
      </w:r>
      <w:r>
        <w:rPr>
          <w:rFonts w:ascii="Arial" w:cs="Arial" w:eastAsia="Arial" w:hAnsi="Arial"/>
          <w:sz w:val="16"/>
          <w:szCs w:val="16"/>
          <w:b w:val="1"/>
          <w:bCs w:val="1"/>
          <w:color w:val="auto"/>
        </w:rPr>
        <w:t>Security over Lenders’ rights</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In addition to the other rights provided to Lenders under this Clause 24.12,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w:t>
      </w:r>
    </w:p>
    <w:p>
      <w:pPr>
        <w:spacing w:after="0" w:line="181"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225" w:lineRule="exact"/>
        <w:rPr>
          <w:rFonts w:ascii="Arial" w:cs="Arial" w:eastAsia="Arial" w:hAnsi="Arial"/>
          <w:sz w:val="18"/>
          <w:szCs w:val="18"/>
          <w:color w:val="auto"/>
        </w:rPr>
      </w:pPr>
    </w:p>
    <w:p>
      <w:pPr>
        <w:ind w:left="1300" w:right="180" w:hanging="644"/>
        <w:spacing w:after="0" w:line="308" w:lineRule="auto"/>
        <w:tabs>
          <w:tab w:leader="none" w:pos="130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that no such charge, assignment or Security shall:</w:t>
      </w:r>
    </w:p>
    <w:p>
      <w:pPr>
        <w:spacing w:after="0" w:line="225" w:lineRule="exact"/>
        <w:rPr>
          <w:sz w:val="20"/>
          <w:szCs w:val="20"/>
          <w:color w:val="auto"/>
        </w:rPr>
      </w:pPr>
    </w:p>
    <w:p>
      <w:pPr>
        <w:ind w:left="1960" w:right="420" w:hanging="655"/>
        <w:spacing w:after="0" w:line="277" w:lineRule="auto"/>
        <w:tabs>
          <w:tab w:leader="none" w:pos="19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70" w:lineRule="exact"/>
        <w:rPr>
          <w:rFonts w:ascii="Arial" w:cs="Arial" w:eastAsia="Arial" w:hAnsi="Arial"/>
          <w:sz w:val="18"/>
          <w:szCs w:val="18"/>
          <w:color w:val="auto"/>
        </w:rPr>
      </w:pPr>
    </w:p>
    <w:p>
      <w:pPr>
        <w:ind w:left="1960" w:right="180" w:hanging="655"/>
        <w:spacing w:after="0" w:line="277" w:lineRule="auto"/>
        <w:tabs>
          <w:tab w:leader="none" w:pos="199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6"/>
          <w:szCs w:val="16"/>
          <w:b w:val="1"/>
          <w:bCs w:val="1"/>
          <w:color w:val="auto"/>
        </w:rPr>
        <w:t>Pro rata interest settlement</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If the Agent has notified the Lenders that it is able to distribute interest payments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Existing Lenders and New Lenders then (in respect of any transfer pursuant to Clause 24.6 (</w:t>
      </w:r>
      <w:r>
        <w:rPr>
          <w:rFonts w:ascii="Arial" w:cs="Arial" w:eastAsia="Arial" w:hAnsi="Arial"/>
          <w:sz w:val="17"/>
          <w:szCs w:val="17"/>
          <w:i w:val="1"/>
          <w:iCs w:val="1"/>
          <w:color w:val="auto"/>
        </w:rPr>
        <w:t>Procedure for transfer</w:t>
      </w:r>
      <w:r>
        <w:rPr>
          <w:rFonts w:ascii="Arial" w:cs="Arial" w:eastAsia="Arial" w:hAnsi="Arial"/>
          <w:sz w:val="17"/>
          <w:szCs w:val="17"/>
          <w:color w:val="auto"/>
        </w:rPr>
        <w:t>) or any assignment pursuant to Clause 24.7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the Transfer Date of which, in each case, is after the date of such notification and is not on the last day of an Interest Period):</w:t>
      </w:r>
    </w:p>
    <w:p>
      <w:pPr>
        <w:spacing w:after="0" w:line="166" w:lineRule="exact"/>
        <w:rPr>
          <w:sz w:val="20"/>
          <w:szCs w:val="20"/>
          <w:color w:val="auto"/>
        </w:rPr>
      </w:pPr>
    </w:p>
    <w:p>
      <w:pPr>
        <w:ind w:left="1300" w:right="140" w:hanging="644"/>
        <w:spacing w:after="0" w:line="302" w:lineRule="auto"/>
        <w:tabs>
          <w:tab w:leader="none" w:pos="129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six Months, on the next of the dates which falls at six-monthly intervals after the first day of that Interest Period); and</w:t>
      </w:r>
    </w:p>
    <w:p>
      <w:pPr>
        <w:spacing w:after="0" w:line="154" w:lineRule="exact"/>
        <w:rPr>
          <w:rFonts w:ascii="Arial" w:cs="Arial" w:eastAsia="Arial" w:hAnsi="Arial"/>
          <w:sz w:val="16"/>
          <w:szCs w:val="16"/>
          <w:color w:val="auto"/>
        </w:rPr>
      </w:pPr>
    </w:p>
    <w:p>
      <w:pPr>
        <w:ind w:left="1300" w:right="320" w:hanging="644"/>
        <w:spacing w:after="0" w:line="277" w:lineRule="auto"/>
        <w:tabs>
          <w:tab w:leader="none" w:pos="13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25" w:lineRule="exact"/>
        <w:rPr>
          <w:rFonts w:ascii="Arial" w:cs="Arial" w:eastAsia="Arial" w:hAnsi="Arial"/>
          <w:sz w:val="18"/>
          <w:szCs w:val="18"/>
          <w:color w:val="auto"/>
        </w:rPr>
      </w:pPr>
    </w:p>
    <w:p>
      <w:pPr>
        <w:ind w:left="1960" w:right="160" w:hanging="655"/>
        <w:spacing w:after="0" w:line="277" w:lineRule="auto"/>
        <w:tabs>
          <w:tab w:leader="none" w:pos="199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24.13, have been payable to it on that date, but after deduction of the Accrued Amounts.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24.13, references to “Interest Period” shall be construed to include a reference to any other period for accrual of fees.</w:t>
      </w:r>
    </w:p>
    <w:p>
      <w:pPr>
        <w:spacing w:after="0" w:line="221"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CHANGES TO THE OBLIGORS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b w:val="1"/>
          <w:bCs w:val="1"/>
          <w:color w:val="auto"/>
        </w:rPr>
        <w:t>Assignments and transfers by Obligors</w:t>
      </w:r>
    </w:p>
    <w:p>
      <w:pPr>
        <w:spacing w:after="0" w:line="229"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except with the prior written consent of all the Lenders.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FINANCE PARTIES</w:t>
      </w:r>
    </w:p>
    <w:p>
      <w:pPr>
        <w:spacing w:after="0" w:line="207"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ROLE OF THE ADMINISTRATIVE PARTIES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Appointment of the Agent</w:t>
      </w:r>
    </w:p>
    <w:p>
      <w:pPr>
        <w:spacing w:after="0" w:line="229" w:lineRule="exact"/>
        <w:rPr>
          <w:sz w:val="20"/>
          <w:szCs w:val="20"/>
          <w:color w:val="auto"/>
        </w:rPr>
      </w:pPr>
    </w:p>
    <w:p>
      <w:pPr>
        <w:ind w:left="1300" w:right="460" w:hanging="644"/>
        <w:spacing w:after="0" w:line="277" w:lineRule="auto"/>
        <w:tabs>
          <w:tab w:leader="none" w:pos="129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of the Mandated Lead Arrangers and the Lenders appoints the Agent to act as its agent under and in connection with the Finance Documents.</w:t>
      </w:r>
    </w:p>
    <w:p>
      <w:pPr>
        <w:spacing w:after="0" w:line="170" w:lineRule="exact"/>
        <w:rPr>
          <w:rFonts w:ascii="Arial" w:cs="Arial" w:eastAsia="Arial" w:hAnsi="Arial"/>
          <w:sz w:val="18"/>
          <w:szCs w:val="18"/>
          <w:color w:val="auto"/>
        </w:rPr>
      </w:pPr>
    </w:p>
    <w:p>
      <w:pPr>
        <w:ind w:left="1300" w:right="180" w:hanging="644"/>
        <w:spacing w:after="0" w:line="342" w:lineRule="auto"/>
        <w:tabs>
          <w:tab w:leader="none" w:pos="130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of the Mandated Lead Arrangers and the Lenders authorises the Agent to perform the duties, obligations and responsibilities and to exercise the rights, powers, authorities and discretions specifically given to the Agent under or in connection with the Finance Documents</w:t>
      </w:r>
    </w:p>
    <w:p>
      <w:pPr>
        <w:sectPr>
          <w:pgSz w:w="11900" w:h="16975" w:orient="portrait"/>
          <w:cols w:equalWidth="0" w:num="1">
            <w:col w:w="11420"/>
          </w:cols>
          <w:pgMar w:left="240" w:top="341" w:right="239" w:bottom="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together with any other incidental rights, powers, authorities and discretions.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b w:val="1"/>
          <w:bCs w:val="1"/>
          <w:color w:val="auto"/>
        </w:rPr>
        <w:t>Instructions</w:t>
      </w:r>
    </w:p>
    <w:p>
      <w:pPr>
        <w:spacing w:after="0" w:line="229"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all-Lender decision;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25" w:lineRule="exact"/>
        <w:rPr>
          <w:rFonts w:ascii="Arial" w:cs="Arial" w:eastAsia="Arial" w:hAnsi="Arial"/>
          <w:sz w:val="18"/>
          <w:szCs w:val="18"/>
          <w:color w:val="auto"/>
        </w:rPr>
      </w:pPr>
    </w:p>
    <w:p>
      <w:pPr>
        <w:ind w:left="1300" w:right="20" w:hanging="644"/>
        <w:spacing w:after="0" w:line="279" w:lineRule="auto"/>
        <w:tabs>
          <w:tab w:leader="none" w:pos="130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71" w:lineRule="exact"/>
        <w:rPr>
          <w:rFonts w:ascii="Arial" w:cs="Arial" w:eastAsia="Arial" w:hAnsi="Arial"/>
          <w:sz w:val="17"/>
          <w:szCs w:val="17"/>
          <w:color w:val="auto"/>
        </w:rPr>
      </w:pPr>
    </w:p>
    <w:p>
      <w:pPr>
        <w:ind w:left="1300" w:right="60" w:hanging="644"/>
        <w:spacing w:after="0" w:line="286" w:lineRule="auto"/>
        <w:tabs>
          <w:tab w:leader="none" w:pos="131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65" w:lineRule="exact"/>
        <w:rPr>
          <w:rFonts w:ascii="Arial" w:cs="Arial" w:eastAsia="Arial" w:hAnsi="Arial"/>
          <w:sz w:val="17"/>
          <w:szCs w:val="17"/>
          <w:color w:val="auto"/>
        </w:rPr>
      </w:pPr>
    </w:p>
    <w:p>
      <w:pPr>
        <w:ind w:left="1300" w:right="500" w:hanging="644"/>
        <w:spacing w:after="0" w:line="259" w:lineRule="auto"/>
        <w:tabs>
          <w:tab w:leader="none" w:pos="130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Lenders.</w:t>
      </w:r>
    </w:p>
    <w:p>
      <w:pPr>
        <w:spacing w:after="0" w:line="236" w:lineRule="exact"/>
        <w:rPr>
          <w:rFonts w:ascii="Arial" w:cs="Arial" w:eastAsia="Arial" w:hAnsi="Arial"/>
          <w:sz w:val="17"/>
          <w:szCs w:val="17"/>
          <w:color w:val="auto"/>
        </w:rPr>
      </w:pPr>
    </w:p>
    <w:p>
      <w:pPr>
        <w:ind w:left="1300" w:right="820" w:hanging="644"/>
        <w:spacing w:after="0" w:line="277"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Duties of the Agent</w:t>
      </w:r>
    </w:p>
    <w:p>
      <w:pPr>
        <w:spacing w:after="0" w:line="229"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Without prejudice to Clause 24.8 (</w:t>
      </w:r>
      <w:r>
        <w:rPr>
          <w:rFonts w:ascii="Arial" w:cs="Arial" w:eastAsia="Arial" w:hAnsi="Arial"/>
          <w:sz w:val="18"/>
          <w:szCs w:val="18"/>
          <w:i w:val="1"/>
          <w:iCs w:val="1"/>
          <w:color w:val="auto"/>
        </w:rPr>
        <w:t>Copy of Transfer Certificate or Assignment Agreement to</w:t>
      </w:r>
      <w:r>
        <w:rPr>
          <w:rFonts w:ascii="Arial" w:cs="Arial" w:eastAsia="Arial" w:hAnsi="Arial"/>
          <w:sz w:val="18"/>
          <w:szCs w:val="18"/>
          <w:color w:val="auto"/>
        </w:rPr>
        <w:t xml:space="preserve"> ), paragraph (b) above shall not apply to any Transfer Certificate or any Assignment Agreement.</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0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to any Administrative Party) under this Agreement, it shall promptly notify the other Finance Parties.</w:t>
      </w:r>
    </w:p>
    <w:p>
      <w:pPr>
        <w:spacing w:after="0" w:line="170" w:lineRule="exact"/>
        <w:rPr>
          <w:rFonts w:ascii="Arial" w:cs="Arial" w:eastAsia="Arial" w:hAnsi="Arial"/>
          <w:sz w:val="18"/>
          <w:szCs w:val="18"/>
          <w:color w:val="auto"/>
        </w:rPr>
      </w:pPr>
    </w:p>
    <w:p>
      <w:pPr>
        <w:ind w:left="1300" w:right="620" w:hanging="644"/>
        <w:spacing w:after="0" w:line="277" w:lineRule="auto"/>
        <w:tabs>
          <w:tab w:leader="none" w:pos="132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Role of the Mandated Lead Arrangers</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Except as specifically provided in the Finance Documents, the Mandated Lead Arrangers has no obligations of any kind to any other Party under or in connection with any Finance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b w:val="1"/>
          <w:bCs w:val="1"/>
          <w:color w:val="auto"/>
        </w:rPr>
        <w:t>No fiduciary duties</w:t>
      </w:r>
    </w:p>
    <w:p>
      <w:pPr>
        <w:spacing w:after="0" w:line="229"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Nothing in any Finance Document constitutes any Administrative Party as a trustee or fiduciary of any other person.</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Administrative Party shall be bound to account to any Lender for any sum or the profit element of any sum received by it for its own account.</w:t>
      </w:r>
    </w:p>
    <w:p>
      <w:pPr>
        <w:sectPr>
          <w:pgSz w:w="11900" w:h="16838" w:orient="portrait"/>
          <w:cols w:equalWidth="0" w:num="1">
            <w:col w:w="11400"/>
          </w:cols>
          <w:pgMar w:left="240" w:top="125" w:right="259" w:bottom="0" w:gutter="0" w:footer="0" w:header="0"/>
        </w:sectPr>
      </w:pPr>
    </w:p>
    <w:bookmarkStart w:id="47" w:name="page48"/>
    <w:bookmarkEnd w:id="47"/>
    <w:p>
      <w:pPr>
        <w:spacing w:after="0"/>
        <w:tabs>
          <w:tab w:leader="none" w:pos="62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5"/>
          <w:szCs w:val="15"/>
          <w:b w:val="1"/>
          <w:bCs w:val="1"/>
          <w:color w:val="auto"/>
        </w:rPr>
        <w:t>Business with the Group</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Any Administrative Party may accept deposits from, lend money to and generally engage in any kind of banking or other business with any member of the Group.</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Rights and discretions of the Agent</w:t>
      </w:r>
    </w:p>
    <w:p>
      <w:pPr>
        <w:spacing w:after="0" w:line="229"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25" w:lineRule="exact"/>
        <w:rPr>
          <w:rFonts w:ascii="Arial" w:cs="Arial" w:eastAsia="Arial" w:hAnsi="Arial"/>
          <w:sz w:val="18"/>
          <w:szCs w:val="18"/>
          <w:color w:val="auto"/>
        </w:rPr>
      </w:pPr>
    </w:p>
    <w:p>
      <w:pPr>
        <w:ind w:left="2600" w:right="700" w:hanging="647"/>
        <w:spacing w:after="0" w:line="277" w:lineRule="auto"/>
        <w:tabs>
          <w:tab w:leader="none" w:pos="26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 or any group of Lenders are duly given in accordance with the terms of the Finance Documents;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unless it has received notice of revocation, those instructions have not been revoked;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25" w:lineRule="exact"/>
        <w:rPr>
          <w:rFonts w:ascii="Arial" w:cs="Arial" w:eastAsia="Arial" w:hAnsi="Arial"/>
          <w:sz w:val="18"/>
          <w:szCs w:val="18"/>
          <w:color w:val="auto"/>
        </w:rPr>
      </w:pPr>
    </w:p>
    <w:p>
      <w:pPr>
        <w:ind w:left="2600" w:right="180" w:hanging="647"/>
        <w:spacing w:after="0" w:line="277" w:lineRule="auto"/>
        <w:tabs>
          <w:tab w:leader="none" w:pos="26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960" w:right="46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70" w:lineRule="exact"/>
        <w:rPr>
          <w:sz w:val="20"/>
          <w:szCs w:val="20"/>
          <w:color w:val="auto"/>
        </w:rPr>
      </w:pPr>
    </w:p>
    <w:p>
      <w:pPr>
        <w:ind w:left="1320" w:hanging="664"/>
        <w:spacing w:after="0"/>
        <w:tabs>
          <w:tab w:leader="none" w:pos="13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23.1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20" w:right="1320" w:hanging="4315"/>
        <w:spacing w:after="0" w:line="528" w:lineRule="auto"/>
        <w:tabs>
          <w:tab w:leader="none" w:pos="1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 79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60" w:right="440" w:hanging="655"/>
        <w:spacing w:after="0" w:line="277" w:lineRule="auto"/>
        <w:tabs>
          <w:tab w:leader="none" w:pos="20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is made on behalf of and with the consent and knowledge of the Guarantor.</w:t>
      </w:r>
    </w:p>
    <w:p>
      <w:pPr>
        <w:spacing w:after="0" w:line="170" w:lineRule="exact"/>
        <w:rPr>
          <w:rFonts w:ascii="Arial" w:cs="Arial" w:eastAsia="Arial" w:hAnsi="Arial"/>
          <w:sz w:val="18"/>
          <w:szCs w:val="18"/>
          <w:color w:val="auto"/>
        </w:rPr>
      </w:pPr>
    </w:p>
    <w:p>
      <w:pPr>
        <w:ind w:left="1300" w:right="580" w:hanging="644"/>
        <w:spacing w:after="0" w:line="277" w:lineRule="auto"/>
        <w:tabs>
          <w:tab w:leader="none" w:pos="13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70" w:lineRule="exact"/>
        <w:rPr>
          <w:rFonts w:ascii="Arial" w:cs="Arial" w:eastAsia="Arial" w:hAnsi="Arial"/>
          <w:sz w:val="18"/>
          <w:szCs w:val="18"/>
          <w:color w:val="auto"/>
        </w:rPr>
      </w:pPr>
    </w:p>
    <w:p>
      <w:pPr>
        <w:ind w:left="1300" w:right="460" w:hanging="644"/>
        <w:spacing w:after="0" w:line="264" w:lineRule="auto"/>
        <w:tabs>
          <w:tab w:leader="none" w:pos="130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2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on the written request of the Borrower or the Majority Lenders shall, as soon as reasonably practicable,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-3665855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identity of a Defaulting Lender to the Borrower and to the other Finance Parties.</w:t>
      </w:r>
    </w:p>
    <w:p>
      <w:pPr>
        <w:spacing w:after="0" w:line="225" w:lineRule="exact"/>
        <w:rPr>
          <w:sz w:val="20"/>
          <w:szCs w:val="20"/>
          <w:color w:val="auto"/>
        </w:rPr>
      </w:pPr>
    </w:p>
    <w:p>
      <w:pPr>
        <w:ind w:left="1300" w:right="60" w:hanging="644"/>
        <w:spacing w:after="0" w:line="264" w:lineRule="auto"/>
        <w:tabs>
          <w:tab w:leader="none" w:pos="132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 Administrative Party is obliged to do or omit to do anything if it would or might in its reasonable opinion constitute a breach of any law or regulation or a breach of a fiduciary duty or duty of confidentiality.</w:t>
      </w:r>
    </w:p>
    <w:p>
      <w:pPr>
        <w:spacing w:after="0" w:line="181" w:lineRule="exact"/>
        <w:rPr>
          <w:rFonts w:ascii="Arial" w:cs="Arial" w:eastAsia="Arial" w:hAnsi="Arial"/>
          <w:sz w:val="18"/>
          <w:szCs w:val="18"/>
          <w:color w:val="auto"/>
        </w:rPr>
      </w:pPr>
    </w:p>
    <w:p>
      <w:pPr>
        <w:ind w:left="1300" w:hanging="644"/>
        <w:spacing w:after="0" w:line="259" w:lineRule="auto"/>
        <w:tabs>
          <w:tab w:leader="none" w:pos="130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ectPr>
          <w:pgSz w:w="11900" w:h="16838" w:orient="portrait"/>
          <w:cols w:equalWidth="0" w:num="1">
            <w:col w:w="11400"/>
          </w:cols>
          <w:pgMar w:left="240" w:top="121"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48" w:name="page49"/>
    <w:bookmarkEnd w:id="48"/>
    <w:p>
      <w:pPr>
        <w:spacing w:after="0" w:line="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6"/>
          <w:szCs w:val="16"/>
          <w:b w:val="1"/>
          <w:bCs w:val="1"/>
          <w:color w:val="auto"/>
        </w:rPr>
        <w:t>Responsibility for documentation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Administrative Party is responsible or liable for:</w:t>
      </w:r>
    </w:p>
    <w:p>
      <w:pPr>
        <w:spacing w:after="0" w:line="225" w:lineRule="exact"/>
        <w:rPr>
          <w:sz w:val="20"/>
          <w:szCs w:val="20"/>
          <w:color w:val="auto"/>
        </w:rPr>
      </w:pPr>
    </w:p>
    <w:p>
      <w:pPr>
        <w:ind w:left="1300" w:right="140" w:hanging="644"/>
        <w:spacing w:after="0" w:line="259" w:lineRule="auto"/>
        <w:tabs>
          <w:tab w:leader="none" w:pos="129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any Administrative Party, an Obligor or any other person given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 or</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70" w:lineRule="exact"/>
        <w:rPr>
          <w:rFonts w:ascii="Arial" w:cs="Arial" w:eastAsia="Arial" w:hAnsi="Arial"/>
          <w:sz w:val="18"/>
          <w:szCs w:val="18"/>
          <w:color w:val="auto"/>
        </w:rPr>
      </w:pPr>
    </w:p>
    <w:p>
      <w:pPr>
        <w:ind w:left="1300" w:right="480" w:hanging="644"/>
        <w:spacing w:after="0" w:line="308" w:lineRule="auto"/>
        <w:tabs>
          <w:tab w:leader="none" w:pos="131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b w:val="1"/>
          <w:bCs w:val="1"/>
          <w:color w:val="auto"/>
        </w:rPr>
        <w:t>No duty to monitor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Agent shall not be bound to enquire:</w:t>
      </w:r>
    </w:p>
    <w:p>
      <w:pPr>
        <w:spacing w:after="0" w:line="225"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6"/>
          <w:szCs w:val="16"/>
          <w:b w:val="1"/>
          <w:bCs w:val="1"/>
          <w:color w:val="auto"/>
        </w:rPr>
        <w:t>Exclusion of liability</w:t>
      </w:r>
    </w:p>
    <w:p>
      <w:pPr>
        <w:spacing w:after="0" w:line="229" w:lineRule="exact"/>
        <w:rPr>
          <w:sz w:val="20"/>
          <w:szCs w:val="20"/>
          <w:color w:val="auto"/>
        </w:rPr>
      </w:pPr>
    </w:p>
    <w:p>
      <w:pPr>
        <w:ind w:left="1300" w:right="380" w:hanging="644"/>
        <w:spacing w:after="0" w:line="277" w:lineRule="auto"/>
        <w:tabs>
          <w:tab w:leader="none" w:pos="129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170" w:lineRule="exact"/>
        <w:rPr>
          <w:rFonts w:ascii="Arial" w:cs="Arial" w:eastAsia="Arial" w:hAnsi="Arial"/>
          <w:sz w:val="18"/>
          <w:szCs w:val="18"/>
          <w:color w:val="auto"/>
        </w:rPr>
      </w:pPr>
    </w:p>
    <w:p>
      <w:pPr>
        <w:ind w:left="1960" w:right="100" w:hanging="655"/>
        <w:spacing w:after="0" w:line="264" w:lineRule="auto"/>
        <w:tabs>
          <w:tab w:leader="none" w:pos="198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 as finally judicially determined;</w:t>
      </w:r>
    </w:p>
    <w:p>
      <w:pPr>
        <w:spacing w:after="0" w:line="181" w:lineRule="exact"/>
        <w:rPr>
          <w:rFonts w:ascii="Arial" w:cs="Arial" w:eastAsia="Arial" w:hAnsi="Arial"/>
          <w:sz w:val="18"/>
          <w:szCs w:val="18"/>
          <w:color w:val="auto"/>
        </w:rPr>
      </w:pPr>
    </w:p>
    <w:p>
      <w:pPr>
        <w:ind w:left="1960" w:right="60" w:hanging="655"/>
        <w:spacing w:after="0" w:line="312" w:lineRule="auto"/>
        <w:tabs>
          <w:tab w:leader="none" w:pos="1991"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as finally judicially determined;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20" w:hanging="655"/>
        <w:spacing w:after="0" w:line="264" w:lineRule="auto"/>
        <w:tabs>
          <w:tab w:leader="none" w:pos="2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for negligence or any other category of liability whatsoever but not including any claim based on the fraud of the Agent as finally judicially determined) arising as a result of:</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25" w:lineRule="exact"/>
        <w:rPr>
          <w:sz w:val="20"/>
          <w:szCs w:val="20"/>
          <w:color w:val="auto"/>
        </w:rPr>
      </w:pPr>
    </w:p>
    <w:p>
      <w:pPr>
        <w:ind w:left="1960" w:right="100"/>
        <w:spacing w:after="0" w:line="276" w:lineRule="auto"/>
        <w:rPr>
          <w:sz w:val="20"/>
          <w:szCs w:val="20"/>
          <w:color w:val="auto"/>
        </w:rPr>
      </w:pPr>
      <w:r>
        <w:rPr>
          <w:rFonts w:ascii="Arial" w:cs="Arial" w:eastAsia="Arial" w:hAnsi="Arial"/>
          <w:sz w:val="17"/>
          <w:szCs w:val="17"/>
          <w:color w:val="auto"/>
        </w:rPr>
        <w:t>including (in each case)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73" w:lineRule="exact"/>
        <w:rPr>
          <w:sz w:val="20"/>
          <w:szCs w:val="20"/>
          <w:color w:val="auto"/>
        </w:rPr>
      </w:pPr>
    </w:p>
    <w:p>
      <w:pPr>
        <w:ind w:left="1300" w:right="200" w:hanging="644"/>
        <w:spacing w:after="0" w:line="259" w:lineRule="auto"/>
        <w:tabs>
          <w:tab w:leader="none" w:pos="130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26 subject to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86" w:lineRule="exact"/>
        <w:rPr>
          <w:rFonts w:ascii="Arial" w:cs="Arial" w:eastAsia="Arial" w:hAnsi="Arial"/>
          <w:sz w:val="18"/>
          <w:szCs w:val="18"/>
          <w:color w:val="auto"/>
        </w:rPr>
      </w:pPr>
    </w:p>
    <w:p>
      <w:pPr>
        <w:ind w:left="1300" w:right="60" w:hanging="644"/>
        <w:spacing w:after="0" w:line="286" w:lineRule="auto"/>
        <w:tabs>
          <w:tab w:leader="none" w:pos="131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Nothing in this Agreement shall oblige any Administrative Party to conduct: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“know your customer” or other procedures in relation to any person;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25"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on behalf of any Lender and each Lender confirms to each Administrative Party that it is solely responsible for any such procedures or check it is required to conduct and that it shall not rely on any statement in relation to such procedures or check made by any Administrative Party.</w:t>
      </w:r>
    </w:p>
    <w:p>
      <w:pPr>
        <w:sectPr>
          <w:pgSz w:w="11900" w:h="16877" w:orient="portrait"/>
          <w:cols w:equalWidth="0" w:num="1">
            <w:col w:w="11420"/>
          </w:cols>
          <w:pgMar w:left="240" w:top="580" w:right="239" w:bottom="0" w:gutter="0" w:footer="0" w:header="0"/>
        </w:sectPr>
      </w:pPr>
    </w:p>
    <w:bookmarkStart w:id="49" w:name="page50"/>
    <w:bookmarkEnd w:id="49"/>
    <w:p>
      <w:pPr>
        <w:ind w:left="1300" w:right="60" w:hanging="644"/>
        <w:spacing w:after="0" w:line="293" w:lineRule="auto"/>
        <w:tabs>
          <w:tab w:leader="none" w:pos="131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6"/>
          <w:szCs w:val="16"/>
          <w:b w:val="1"/>
          <w:bCs w:val="1"/>
          <w:color w:val="auto"/>
        </w:rPr>
        <w:t>Lenders’ indemnity to the Agent</w:t>
      </w:r>
    </w:p>
    <w:p>
      <w:pPr>
        <w:spacing w:after="0" w:line="229"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for negligence or any other category of liability whatsoever) incurred by the Agent (otherwise than by reason of the Agent’s gross negligence or wilful misconduct as finally judicially determined) (or, in the case of any cost, loss or liability pursuant to Clause 28.10 (</w:t>
      </w:r>
      <w:r>
        <w:rPr>
          <w:rFonts w:ascii="Arial" w:cs="Arial" w:eastAsia="Arial" w:hAnsi="Arial"/>
          <w:sz w:val="17"/>
          <w:szCs w:val="17"/>
          <w:i w:val="1"/>
          <w:iCs w:val="1"/>
          <w:color w:val="auto"/>
        </w:rPr>
        <w:t>Disruption to</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systems etc</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notwithstanding the Agent’s negligence, gross negligence or any other category of liability whatsoever but not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claim based on the fraud of the Agent as finally judicially determined) in acting as Agent under the Finance Documents (unless the Agent has been reimbursed by an Obligor pursuant to a Finance Document).</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6"/>
          <w:szCs w:val="16"/>
          <w:b w:val="1"/>
          <w:bCs w:val="1"/>
          <w:color w:val="auto"/>
        </w:rPr>
        <w:t>Resignation of the Agent</w:t>
      </w:r>
    </w:p>
    <w:p>
      <w:pPr>
        <w:spacing w:after="0" w:line="229"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Agent may resign and appoint one of its Affiliates as successor by giving notice to the other Finance Parties and the Borrower.</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other Finance Parties and the Borrower, in which case the Majority Lenders (after consultation with the Borrower) may appoint a successor Agent.</w:t>
      </w:r>
    </w:p>
    <w:p>
      <w:pPr>
        <w:spacing w:after="0" w:line="170" w:lineRule="exact"/>
        <w:rPr>
          <w:rFonts w:ascii="Arial" w:cs="Arial" w:eastAsia="Arial" w:hAnsi="Arial"/>
          <w:sz w:val="18"/>
          <w:szCs w:val="18"/>
          <w:color w:val="auto"/>
        </w:rPr>
      </w:pPr>
    </w:p>
    <w:p>
      <w:pPr>
        <w:ind w:left="1300" w:right="600" w:hanging="644"/>
        <w:spacing w:after="0" w:line="308" w:lineRule="auto"/>
        <w:tabs>
          <w:tab w:leader="none" w:pos="131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paragraph (b) above within 30 days after notice of resignation was given, the retiring Agent (after consultation with the Borrower) may appoint a successor Agent.</w:t>
      </w:r>
    </w:p>
    <w:p>
      <w:pPr>
        <w:spacing w:after="0" w:line="146" w:lineRule="exact"/>
        <w:rPr>
          <w:rFonts w:ascii="Arial" w:cs="Arial" w:eastAsia="Arial" w:hAnsi="Arial"/>
          <w:sz w:val="17"/>
          <w:szCs w:val="17"/>
          <w:color w:val="auto"/>
        </w:rPr>
      </w:pPr>
    </w:p>
    <w:p>
      <w:pPr>
        <w:ind w:left="1300" w:right="120" w:hanging="644"/>
        <w:spacing w:after="0" w:line="255" w:lineRule="auto"/>
        <w:tabs>
          <w:tab w:leader="none" w:pos="13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26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hanging="644"/>
        <w:spacing w:after="0" w:line="279" w:lineRule="auto"/>
        <w:tabs>
          <w:tab w:leader="none" w:pos="131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retiring Agent shall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25" w:lineRule="exact"/>
        <w:rPr>
          <w:rFonts w:ascii="Arial" w:cs="Arial" w:eastAsia="Arial" w:hAnsi="Arial"/>
          <w:sz w:val="18"/>
          <w:szCs w:val="18"/>
          <w:color w:val="auto"/>
        </w:rPr>
      </w:pPr>
    </w:p>
    <w:p>
      <w:pPr>
        <w:ind w:left="1300" w:hanging="644"/>
        <w:spacing w:after="0" w:line="257" w:lineRule="auto"/>
        <w:tabs>
          <w:tab w:leader="none" w:pos="132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15.3 (</w:t>
      </w:r>
      <w:r>
        <w:rPr>
          <w:rFonts w:ascii="Arial" w:cs="Arial" w:eastAsia="Arial" w:hAnsi="Arial"/>
          <w:sz w:val="18"/>
          <w:szCs w:val="18"/>
          <w:i w:val="1"/>
          <w:iCs w:val="1"/>
          <w:color w:val="auto"/>
        </w:rPr>
        <w:t>Indemnity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and this Clause 26 (and any agency fees for the account of the retiring Agent shall cease to accrue from (and shall be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that date). Any successor and each of the other Parties shall have the same rights and obligations among themselves as they would have had if such successor had been an original Party.</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After consultation with the Borrower, the Majority Lenders may, by notice to the Agent, require it to resign in accordance with paragraph</w:t>
      </w:r>
    </w:p>
    <w:p>
      <w:pPr>
        <w:spacing w:after="0" w:line="46" w:lineRule="exact"/>
        <w:rPr>
          <w:rFonts w:ascii="Arial" w:cs="Arial" w:eastAsia="Arial" w:hAnsi="Arial"/>
          <w:sz w:val="16"/>
          <w:szCs w:val="16"/>
          <w:color w:val="auto"/>
        </w:rPr>
      </w:pPr>
    </w:p>
    <w:p>
      <w:pPr>
        <w:ind w:left="1560" w:hanging="255"/>
        <w:spacing w:after="0"/>
        <w:tabs>
          <w:tab w:leader="none" w:pos="15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above. In this event, the Agent shall resign in accordance with paragraph (b) above.</w:t>
      </w:r>
    </w:p>
    <w:p>
      <w:pPr>
        <w:spacing w:after="0" w:line="210" w:lineRule="exact"/>
        <w:rPr>
          <w:rFonts w:ascii="Arial" w:cs="Arial" w:eastAsia="Arial" w:hAnsi="Arial"/>
          <w:sz w:val="18"/>
          <w:szCs w:val="18"/>
          <w:color w:val="auto"/>
        </w:rPr>
      </w:pPr>
    </w:p>
    <w:p>
      <w:pPr>
        <w:jc w:val="both"/>
        <w:ind w:left="1300" w:right="140" w:hanging="644"/>
        <w:spacing w:after="0" w:line="264" w:lineRule="auto"/>
        <w:tabs>
          <w:tab w:leader="none" w:pos="132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w:t>
      </w:r>
    </w:p>
    <w:p>
      <w:pPr>
        <w:spacing w:after="0" w:line="181" w:lineRule="exact"/>
        <w:rPr>
          <w:rFonts w:ascii="Arial" w:cs="Arial" w:eastAsia="Arial" w:hAnsi="Arial"/>
          <w:sz w:val="18"/>
          <w:szCs w:val="18"/>
          <w:color w:val="auto"/>
        </w:rPr>
      </w:pPr>
    </w:p>
    <w:p>
      <w:pPr>
        <w:ind w:left="1960" w:right="140" w:hanging="655"/>
        <w:spacing w:after="0" w:line="342" w:lineRule="auto"/>
        <w:tabs>
          <w:tab w:leader="none" w:pos="1981"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Agent fails to respond to a request under Clause 12.7 (</w:t>
      </w:r>
      <w:r>
        <w:rPr>
          <w:rFonts w:ascii="Arial" w:cs="Arial" w:eastAsia="Arial" w:hAnsi="Arial"/>
          <w:sz w:val="16"/>
          <w:szCs w:val="16"/>
          <w:i w:val="1"/>
          <w:iCs w:val="1"/>
          <w:color w:val="auto"/>
        </w:rPr>
        <w:t>FATCA information</w:t>
      </w:r>
      <w:r>
        <w:rPr>
          <w:rFonts w:ascii="Arial" w:cs="Arial" w:eastAsia="Arial" w:hAnsi="Arial"/>
          <w:sz w:val="16"/>
          <w:szCs w:val="16"/>
          <w:color w:val="auto"/>
        </w:rPr>
        <w:t>) and the Borrower or a Lender reasonably believes that the Agent will not be (or will have ceased to be) a FATCA Exempt Party on or after that FATCA Application Date;</w:t>
      </w:r>
    </w:p>
    <w:p>
      <w:pPr>
        <w:spacing w:after="0" w:line="124" w:lineRule="exact"/>
        <w:rPr>
          <w:sz w:val="20"/>
          <w:szCs w:val="20"/>
          <w:color w:val="auto"/>
        </w:rPr>
      </w:pPr>
    </w:p>
    <w:p>
      <w:pPr>
        <w:ind w:left="1960" w:right="220" w:hanging="655"/>
        <w:spacing w:after="0" w:line="277" w:lineRule="auto"/>
        <w:tabs>
          <w:tab w:leader="none" w:pos="199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12.7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0" w:lineRule="exact"/>
        <w:rPr>
          <w:rFonts w:ascii="Arial" w:cs="Arial" w:eastAsia="Arial" w:hAnsi="Arial"/>
          <w:sz w:val="18"/>
          <w:szCs w:val="18"/>
          <w:color w:val="auto"/>
        </w:rPr>
      </w:pPr>
    </w:p>
    <w:p>
      <w:pPr>
        <w:ind w:left="1960" w:right="140" w:hanging="655"/>
        <w:spacing w:after="0" w:line="277" w:lineRule="auto"/>
        <w:tabs>
          <w:tab w:leader="none" w:pos="20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70" w:lineRule="exact"/>
        <w:rPr>
          <w:sz w:val="20"/>
          <w:szCs w:val="20"/>
          <w:color w:val="auto"/>
        </w:rPr>
      </w:pPr>
    </w:p>
    <w:p>
      <w:pPr>
        <w:ind w:left="1300" w:right="220"/>
        <w:spacing w:after="0" w:line="342" w:lineRule="auto"/>
        <w:rPr>
          <w:sz w:val="20"/>
          <w:szCs w:val="20"/>
          <w:color w:val="auto"/>
        </w:rPr>
      </w:pPr>
      <w:r>
        <w:rPr>
          <w:rFonts w:ascii="Arial" w:cs="Arial" w:eastAsia="Arial" w:hAnsi="Arial"/>
          <w:sz w:val="16"/>
          <w:szCs w:val="16"/>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ectPr>
          <w:pgSz w:w="11900" w:h="16838" w:orient="portrait"/>
          <w:cols w:equalWidth="0" w:num="1">
            <w:col w:w="11420"/>
          </w:cols>
          <w:pgMar w:left="240" w:top="341" w:right="239" w:bottom="0" w:gutter="0" w:footer="0" w:header="0"/>
        </w:sectPr>
      </w:pPr>
    </w:p>
    <w:bookmarkStart w:id="50" w:name="page51"/>
    <w:bookmarkEnd w:id="50"/>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6"/>
          <w:szCs w:val="16"/>
          <w:b w:val="1"/>
          <w:bCs w:val="1"/>
          <w:color w:val="auto"/>
        </w:rPr>
        <w:t>Confidentiality</w:t>
      </w:r>
    </w:p>
    <w:p>
      <w:pPr>
        <w:spacing w:after="0" w:line="229" w:lineRule="exact"/>
        <w:rPr>
          <w:sz w:val="20"/>
          <w:szCs w:val="20"/>
          <w:color w:val="auto"/>
        </w:rPr>
      </w:pPr>
    </w:p>
    <w:p>
      <w:pPr>
        <w:ind w:left="1300" w:right="500" w:hanging="644"/>
        <w:spacing w:after="0" w:line="277" w:lineRule="auto"/>
        <w:tabs>
          <w:tab w:leader="none" w:pos="129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0" w:lineRule="exact"/>
        <w:rPr>
          <w:rFonts w:ascii="Arial" w:cs="Arial" w:eastAsia="Arial" w:hAnsi="Arial"/>
          <w:sz w:val="18"/>
          <w:szCs w:val="18"/>
          <w:color w:val="auto"/>
        </w:rPr>
      </w:pPr>
    </w:p>
    <w:p>
      <w:pPr>
        <w:ind w:left="1300" w:right="140" w:hanging="644"/>
        <w:spacing w:after="0" w:line="264" w:lineRule="auto"/>
        <w:tabs>
          <w:tab w:leader="none" w:pos="131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6"/>
          <w:szCs w:val="16"/>
          <w:b w:val="1"/>
          <w:bCs w:val="1"/>
          <w:color w:val="auto"/>
        </w:rPr>
        <w:t>Relationship with the Lenders</w:t>
      </w:r>
    </w:p>
    <w:p>
      <w:pPr>
        <w:spacing w:after="0" w:line="229" w:lineRule="exact"/>
        <w:rPr>
          <w:sz w:val="20"/>
          <w:szCs w:val="20"/>
          <w:color w:val="auto"/>
        </w:rPr>
      </w:pPr>
    </w:p>
    <w:p>
      <w:pPr>
        <w:ind w:left="1300" w:right="280" w:hanging="644"/>
        <w:spacing w:after="0" w:line="264" w:lineRule="auto"/>
        <w:tabs>
          <w:tab w:leader="none" w:pos="129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Clause 24.13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9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70"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70" w:lineRule="exact"/>
        <w:rPr>
          <w:sz w:val="20"/>
          <w:szCs w:val="20"/>
          <w:color w:val="auto"/>
        </w:rPr>
      </w:pPr>
    </w:p>
    <w:p>
      <w:pPr>
        <w:ind w:left="1300" w:right="20" w:hanging="644"/>
        <w:spacing w:after="0" w:line="290" w:lineRule="auto"/>
        <w:tabs>
          <w:tab w:leader="none" w:pos="130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30.5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that Lender.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26.15</w:t>
      </w:r>
      <w:r>
        <w:rPr>
          <w:sz w:val="20"/>
          <w:szCs w:val="20"/>
          <w:color w:val="auto"/>
        </w:rPr>
        <w:tab/>
      </w:r>
      <w:r>
        <w:rPr>
          <w:rFonts w:ascii="Arial" w:cs="Arial" w:eastAsia="Arial" w:hAnsi="Arial"/>
          <w:sz w:val="16"/>
          <w:szCs w:val="16"/>
          <w:b w:val="1"/>
          <w:bCs w:val="1"/>
          <w:color w:val="auto"/>
        </w:rPr>
        <w:t>Credit appraisal by the Lenders</w:t>
      </w:r>
    </w:p>
    <w:p>
      <w:pPr>
        <w:spacing w:after="0" w:line="229"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Without affecting the responsibility of any Obligor for information supplied by it or on its behalf in connection with any Finance Document, each Lender confirms to each Administrative Party that it has been, and will continue to be, solely responsible for making its own independent appraisal and investigation of all risks arising under or in connection with any Finance Document including but not limited to:</w:t>
      </w:r>
    </w:p>
    <w:p>
      <w:pPr>
        <w:spacing w:after="0" w:line="166"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225" w:lineRule="exact"/>
        <w:rPr>
          <w:rFonts w:ascii="Arial" w:cs="Arial" w:eastAsia="Arial" w:hAnsi="Arial"/>
          <w:sz w:val="18"/>
          <w:szCs w:val="18"/>
          <w:color w:val="auto"/>
        </w:rPr>
      </w:pPr>
    </w:p>
    <w:p>
      <w:pPr>
        <w:ind w:left="1300" w:right="740" w:hanging="644"/>
        <w:spacing w:after="0" w:line="342" w:lineRule="auto"/>
        <w:tabs>
          <w:tab w:leader="none" w:pos="130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23" w:lineRule="exact"/>
        <w:rPr>
          <w:rFonts w:ascii="Arial" w:cs="Arial" w:eastAsia="Arial" w:hAnsi="Arial"/>
          <w:sz w:val="16"/>
          <w:szCs w:val="16"/>
          <w:color w:val="auto"/>
        </w:rPr>
      </w:pPr>
    </w:p>
    <w:p>
      <w:pPr>
        <w:ind w:left="1300" w:right="160" w:hanging="644"/>
        <w:spacing w:after="0" w:line="312" w:lineRule="auto"/>
        <w:tabs>
          <w:tab w:leader="none" w:pos="131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46" w:lineRule="exact"/>
        <w:rPr>
          <w:rFonts w:ascii="Arial" w:cs="Arial" w:eastAsia="Arial" w:hAnsi="Arial"/>
          <w:sz w:val="16"/>
          <w:szCs w:val="16"/>
          <w:color w:val="auto"/>
        </w:rPr>
      </w:pPr>
    </w:p>
    <w:p>
      <w:pPr>
        <w:ind w:left="1300" w:right="80" w:hanging="644"/>
        <w:spacing w:after="0" w:line="259"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adequacy, accuracy and/or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6"/>
          <w:szCs w:val="16"/>
          <w:b w:val="1"/>
          <w:bCs w:val="1"/>
          <w:color w:val="auto"/>
        </w:rPr>
        <w:t>Agent’s management time</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Any amount payable to the Agent under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26.11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 to the Agent</w:t>
      </w:r>
      <w:r>
        <w:rPr>
          <w:rFonts w:ascii="Arial" w:cs="Arial" w:eastAsia="Arial" w:hAnsi="Arial"/>
          <w:sz w:val="18"/>
          <w:szCs w:val="18"/>
          <w:color w:val="auto"/>
        </w:rPr>
        <w:t>) shall include the cost of utilising the Agent’s management time or other resources and will be calculated on the basis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daily or hourly rates as the Agent may notify to the Borrower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26.17</w:t>
      </w:r>
      <w:r>
        <w:rPr>
          <w:sz w:val="20"/>
          <w:szCs w:val="20"/>
          <w:color w:val="auto"/>
        </w:rPr>
        <w:tab/>
      </w:r>
      <w:r>
        <w:rPr>
          <w:rFonts w:ascii="Arial" w:cs="Arial" w:eastAsia="Arial" w:hAnsi="Arial"/>
          <w:sz w:val="16"/>
          <w:szCs w:val="16"/>
          <w:b w:val="1"/>
          <w:bCs w:val="1"/>
          <w:color w:val="auto"/>
        </w:rPr>
        <w:t>Deduction from amounts payable by the Agent</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ectPr>
          <w:pgSz w:w="11900" w:h="16912" w:orient="portrait"/>
          <w:cols w:equalWidth="0" w:num="1">
            <w:col w:w="11420"/>
          </w:cols>
          <w:pgMar w:left="240" w:top="125" w:right="239" w:bottom="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SHARING AMONG THE FINANCE PARTIES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b w:val="1"/>
          <w:bCs w:val="1"/>
          <w:color w:val="auto"/>
        </w:rPr>
        <w:t>Payments to Finance Parties</w:t>
      </w:r>
    </w:p>
    <w:p>
      <w:pPr>
        <w:spacing w:after="0" w:line="22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color w:val="auto"/>
        </w:rPr>
        <w:t>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(whether by set-off or otherwise) any amount from an Obligor other than in accordance with Clause 28 (</w:t>
      </w:r>
      <w:r>
        <w:rPr>
          <w:rFonts w:ascii="Arial" w:cs="Arial" w:eastAsia="Arial" w:hAnsi="Arial"/>
          <w:sz w:val="18"/>
          <w:szCs w:val="18"/>
          <w:i w:val="1"/>
          <w:iCs w:val="1"/>
          <w:color w:val="auto"/>
        </w:rPr>
        <w:t>Payment Mechanics</w:t>
      </w:r>
      <w:r>
        <w:rPr>
          <w:rFonts w:ascii="Arial" w:cs="Arial" w:eastAsia="Arial" w:hAnsi="Arial"/>
          <w:sz w:val="18"/>
          <w:szCs w:val="18"/>
          <w:color w:val="auto"/>
        </w:rPr>
        <w:t>)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80"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25" w:lineRule="exact"/>
        <w:rPr>
          <w:rFonts w:ascii="Arial" w:cs="Arial" w:eastAsia="Arial" w:hAnsi="Arial"/>
          <w:sz w:val="18"/>
          <w:szCs w:val="18"/>
          <w:color w:val="auto"/>
        </w:rPr>
      </w:pPr>
    </w:p>
    <w:p>
      <w:pPr>
        <w:ind w:left="1300" w:right="240" w:hanging="644"/>
        <w:spacing w:after="0" w:line="312" w:lineRule="auto"/>
        <w:tabs>
          <w:tab w:leader="none" w:pos="130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42" w:lineRule="exact"/>
        <w:rPr>
          <w:rFonts w:ascii="Arial" w:cs="Arial" w:eastAsia="Arial" w:hAnsi="Arial"/>
          <w:sz w:val="16"/>
          <w:szCs w:val="16"/>
          <w:color w:val="auto"/>
        </w:rPr>
      </w:pPr>
    </w:p>
    <w:p>
      <w:pPr>
        <w:ind w:left="1300" w:hanging="644"/>
        <w:spacing w:after="0" w:line="266" w:lineRule="auto"/>
        <w:tabs>
          <w:tab w:leader="none" w:pos="131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of demand by the Agent, pay to the Agent an amount (the “</w:t>
      </w:r>
      <w:r>
        <w:rPr>
          <w:rFonts w:ascii="Arial" w:cs="Arial" w:eastAsia="Arial" w:hAnsi="Arial"/>
          <w:sz w:val="18"/>
          <w:szCs w:val="18"/>
          <w:b w:val="1"/>
          <w:bCs w:val="1"/>
          <w:color w:val="auto"/>
        </w:rPr>
        <w:t>Sharing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 Finance 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its share of any payment to be made, in accordance with Clause 28.5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b w:val="1"/>
          <w:bCs w:val="1"/>
          <w:color w:val="auto"/>
        </w:rPr>
        <w:t>Redistribution of payments</w:t>
      </w:r>
    </w:p>
    <w:p>
      <w:pPr>
        <w:spacing w:after="0" w:line="229"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28.5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Recovering Finance Party’s rights</w:t>
      </w:r>
    </w:p>
    <w:p>
      <w:pPr>
        <w:spacing w:after="0" w:line="229" w:lineRule="exact"/>
        <w:rPr>
          <w:sz w:val="20"/>
          <w:szCs w:val="20"/>
          <w:color w:val="auto"/>
        </w:rPr>
      </w:pPr>
    </w:p>
    <w:p>
      <w:pPr>
        <w:ind w:left="1300" w:right="160" w:hanging="644"/>
        <w:spacing w:after="0" w:line="264" w:lineRule="auto"/>
        <w:tabs>
          <w:tab w:leader="none" w:pos="12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 a distribution by the Agent under Clause 27.2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81" w:lineRule="exact"/>
        <w:rPr>
          <w:rFonts w:ascii="Arial" w:cs="Arial" w:eastAsia="Arial" w:hAnsi="Arial"/>
          <w:sz w:val="18"/>
          <w:szCs w:val="18"/>
          <w:color w:val="auto"/>
        </w:rPr>
      </w:pPr>
    </w:p>
    <w:p>
      <w:pPr>
        <w:ind w:left="1300" w:right="180" w:hanging="644"/>
        <w:spacing w:after="0" w:line="342" w:lineRule="auto"/>
        <w:tabs>
          <w:tab w:leader="none" w:pos="130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and to the extent that the Recovering Finance Party is not able to rely on its rights under paragraph (a) above, the relevant Obligor shall be liable to the Recovering Finance Party for a debt equal to the Sharing Payment which is immediately due and payable.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Reversal of redistribution</w:t>
      </w:r>
    </w:p>
    <w:p>
      <w:pPr>
        <w:spacing w:after="0" w:line="229"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70" w:lineRule="exact"/>
        <w:rPr>
          <w:sz w:val="20"/>
          <w:szCs w:val="20"/>
          <w:color w:val="auto"/>
        </w:rPr>
      </w:pPr>
    </w:p>
    <w:p>
      <w:pPr>
        <w:ind w:left="1300" w:right="140" w:hanging="644"/>
        <w:spacing w:after="0" w:line="259" w:lineRule="auto"/>
        <w:tabs>
          <w:tab w:leader="none" w:pos="12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300" w:right="320" w:hanging="644"/>
        <w:spacing w:after="0" w:line="277" w:lineRule="auto"/>
        <w:tabs>
          <w:tab w:leader="none" w:pos="13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5"/>
          <w:szCs w:val="15"/>
          <w:b w:val="1"/>
          <w:bCs w:val="1"/>
          <w:color w:val="auto"/>
        </w:rPr>
        <w:t>Exceptions</w:t>
      </w:r>
    </w:p>
    <w:p>
      <w:pPr>
        <w:spacing w:after="0" w:line="229" w:lineRule="exact"/>
        <w:rPr>
          <w:sz w:val="20"/>
          <w:szCs w:val="20"/>
          <w:color w:val="auto"/>
        </w:rPr>
      </w:pPr>
    </w:p>
    <w:p>
      <w:pPr>
        <w:ind w:left="1300" w:right="60" w:hanging="644"/>
        <w:spacing w:after="0" w:line="277" w:lineRule="auto"/>
        <w:tabs>
          <w:tab w:leader="none" w:pos="129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This Clause 27 shall not apply to the extent that the Recovering Finance Party would not, after making any payment pursuant to this Clause 27, have a valid and enforceable claim against the relevant Obligor.</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25" w:lineRule="exact"/>
        <w:rPr>
          <w:rFonts w:ascii="Arial" w:cs="Arial" w:eastAsia="Arial" w:hAnsi="Arial"/>
          <w:sz w:val="18"/>
          <w:szCs w:val="18"/>
          <w:color w:val="auto"/>
        </w:rPr>
      </w:pPr>
    </w:p>
    <w:p>
      <w:pPr>
        <w:ind w:left="1960" w:right="380" w:hanging="655"/>
        <w:spacing w:after="0" w:line="308" w:lineRule="auto"/>
        <w:tabs>
          <w:tab w:leader="none" w:pos="1964"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ectPr>
          <w:pgSz w:w="11900" w:h="16838" w:orient="portrait"/>
          <w:cols w:equalWidth="0" w:num="1">
            <w:col w:w="11400"/>
          </w:cols>
          <w:pgMar w:left="240" w:top="341" w:right="259" w:bottom="0" w:gutter="0" w:footer="0" w:header="0"/>
        </w:sectPr>
      </w:pPr>
    </w:p>
    <w:bookmarkStart w:id="52" w:name="page53"/>
    <w:bookmarkEnd w:id="52"/>
    <w:p>
      <w:pPr>
        <w:ind w:left="660" w:hanging="652"/>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b w:val="1"/>
          <w:bCs w:val="1"/>
          <w:color w:val="auto"/>
        </w:rPr>
        <w:t>Payments to the Agent</w:t>
      </w:r>
    </w:p>
    <w:p>
      <w:pPr>
        <w:spacing w:after="0" w:line="229" w:lineRule="exact"/>
        <w:rPr>
          <w:sz w:val="20"/>
          <w:szCs w:val="20"/>
          <w:color w:val="auto"/>
        </w:rPr>
      </w:pPr>
    </w:p>
    <w:p>
      <w:pPr>
        <w:ind w:left="1300" w:right="40" w:hanging="644"/>
        <w:spacing w:after="0" w:line="259" w:lineRule="auto"/>
        <w:tabs>
          <w:tab w:leader="none" w:pos="129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86" w:lineRule="exact"/>
        <w:rPr>
          <w:rFonts w:ascii="Arial" w:cs="Arial" w:eastAsia="Arial" w:hAnsi="Arial"/>
          <w:sz w:val="18"/>
          <w:szCs w:val="18"/>
          <w:color w:val="auto"/>
        </w:rPr>
      </w:pPr>
    </w:p>
    <w:p>
      <w:pPr>
        <w:ind w:left="1300" w:right="140" w:hanging="644"/>
        <w:spacing w:after="0" w:line="277" w:lineRule="auto"/>
        <w:tabs>
          <w:tab w:leader="none" w:pos="130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Distributions by the Agent</w:t>
      </w:r>
    </w:p>
    <w:p>
      <w:pPr>
        <w:spacing w:after="0" w:line="229" w:lineRule="exact"/>
        <w:rPr>
          <w:sz w:val="20"/>
          <w:szCs w:val="20"/>
          <w:color w:val="auto"/>
        </w:rPr>
      </w:pPr>
    </w:p>
    <w:p>
      <w:pPr>
        <w:ind w:left="1300" w:right="40" w:hanging="644"/>
        <w:spacing w:after="0" w:line="257" w:lineRule="auto"/>
        <w:tabs>
          <w:tab w:leader="none" w:pos="129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payment received by the Agent under the Finance Documents for another Party shall, subject to Clause 28.3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28.4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88" w:lineRule="exact"/>
        <w:rPr>
          <w:rFonts w:ascii="Arial" w:cs="Arial" w:eastAsia="Arial" w:hAnsi="Arial"/>
          <w:sz w:val="18"/>
          <w:szCs w:val="18"/>
          <w:color w:val="auto"/>
        </w:rPr>
      </w:pPr>
    </w:p>
    <w:p>
      <w:pPr>
        <w:ind w:left="1300" w:right="160" w:hanging="644"/>
        <w:spacing w:after="0" w:line="259" w:lineRule="auto"/>
        <w:tabs>
          <w:tab w:leader="none" w:pos="13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Agent shall distribute payments received by it in relation to all or any part of the Loan to the Lender indicated in the records of the Agent as being so entitled on that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Agent is authorised to distribute payments to be made on the date on which any transfer becomes effective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to the Lender so entitled immediately before such transfer took place regardless of the period to which such sums relate.</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b w:val="1"/>
          <w:bCs w:val="1"/>
          <w:color w:val="auto"/>
        </w:rPr>
        <w:t>Distributions to an Obligor</w:t>
      </w:r>
    </w:p>
    <w:p>
      <w:pPr>
        <w:spacing w:after="0" w:line="229"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Agent may (with the consent of the Obligor or in accordance with Clause 29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Clawback and pre-funding</w:t>
      </w:r>
    </w:p>
    <w:p>
      <w:pPr>
        <w:spacing w:after="0" w:line="229" w:lineRule="exact"/>
        <w:rPr>
          <w:sz w:val="20"/>
          <w:szCs w:val="20"/>
          <w:color w:val="auto"/>
        </w:rPr>
      </w:pPr>
    </w:p>
    <w:p>
      <w:pPr>
        <w:ind w:left="1300" w:right="60" w:hanging="644"/>
        <w:spacing w:after="0" w:line="264" w:lineRule="auto"/>
        <w:tabs>
          <w:tab w:leader="none" w:pos="129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4"/>
        <w:spacing w:after="0" w:line="259" w:lineRule="auto"/>
        <w:tabs>
          <w:tab w:leader="none" w:pos="130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6" w:lineRule="exact"/>
        <w:rPr>
          <w:rFonts w:ascii="Arial" w:cs="Arial" w:eastAsia="Arial" w:hAnsi="Arial"/>
          <w:sz w:val="18"/>
          <w:szCs w:val="18"/>
          <w:color w:val="auto"/>
        </w:rPr>
      </w:pPr>
    </w:p>
    <w:p>
      <w:pPr>
        <w:ind w:left="1300" w:right="320" w:hanging="644"/>
        <w:spacing w:after="0" w:line="264" w:lineRule="auto"/>
        <w:tabs>
          <w:tab w:leader="none" w:pos="131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the Agent shall notify the Borrower of that Lender’s identity and the Borrower shall on demand refund it to the Agent; and</w:t>
      </w:r>
    </w:p>
    <w:p>
      <w:pPr>
        <w:spacing w:after="0" w:line="236" w:lineRule="exact"/>
        <w:rPr>
          <w:rFonts w:ascii="Arial" w:cs="Arial" w:eastAsia="Arial" w:hAnsi="Arial"/>
          <w:sz w:val="17"/>
          <w:szCs w:val="17"/>
          <w:color w:val="auto"/>
        </w:rPr>
      </w:pPr>
    </w:p>
    <w:p>
      <w:pPr>
        <w:ind w:left="1960" w:hanging="655"/>
        <w:spacing w:after="0" w:line="264" w:lineRule="auto"/>
        <w:tabs>
          <w:tab w:leader="none" w:pos="199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b w:val="1"/>
          <w:bCs w:val="1"/>
          <w:color w:val="auto"/>
        </w:rPr>
        <w:t>Partial payments</w:t>
      </w:r>
    </w:p>
    <w:p>
      <w:pPr>
        <w:spacing w:after="0" w:line="229" w:lineRule="exact"/>
        <w:rPr>
          <w:sz w:val="20"/>
          <w:szCs w:val="20"/>
          <w:color w:val="auto"/>
        </w:rPr>
      </w:pPr>
    </w:p>
    <w:p>
      <w:pPr>
        <w:jc w:val="both"/>
        <w:ind w:left="1300" w:right="460" w:hanging="644"/>
        <w:spacing w:after="0" w:line="264" w:lineRule="auto"/>
        <w:tabs>
          <w:tab w:leader="none" w:pos="129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77" w:lineRule="exact"/>
        <w:rPr>
          <w:rFonts w:ascii="Arial" w:cs="Arial" w:eastAsia="Arial" w:hAnsi="Arial"/>
          <w:sz w:val="18"/>
          <w:szCs w:val="18"/>
          <w:color w:val="auto"/>
        </w:rPr>
      </w:pPr>
    </w:p>
    <w:p>
      <w:pPr>
        <w:ind w:left="1980" w:hanging="675"/>
        <w:spacing w:after="0"/>
        <w:tabs>
          <w:tab w:leader="none" w:pos="1980"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 any unpaid amount owing to any Administrative Party under the Finance Documents;</w:t>
      </w:r>
    </w:p>
    <w:p>
      <w:pPr>
        <w:spacing w:after="0" w:line="236" w:lineRule="exact"/>
        <w:rPr>
          <w:rFonts w:ascii="Arial" w:cs="Arial" w:eastAsia="Arial" w:hAnsi="Arial"/>
          <w:sz w:val="17"/>
          <w:szCs w:val="17"/>
          <w:color w:val="auto"/>
        </w:rPr>
      </w:pPr>
    </w:p>
    <w:p>
      <w:pPr>
        <w:ind w:left="1960" w:right="840" w:hanging="655"/>
        <w:spacing w:after="0" w:line="282" w:lineRule="auto"/>
        <w:tabs>
          <w:tab w:leader="none" w:pos="1991" w:val="left"/>
        </w:tabs>
        <w:numPr>
          <w:ilvl w:val="1"/>
          <w:numId w:val="256"/>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accrued interest, fee (other than as provided in paragraph (i) above)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due but unpaid under the Finance Documents;</w:t>
      </w:r>
    </w:p>
    <w:p>
      <w:pPr>
        <w:spacing w:after="0" w:line="161" w:lineRule="exact"/>
        <w:rPr>
          <w:rFonts w:ascii="Arial" w:cs="Arial" w:eastAsia="Arial" w:hAnsi="Arial"/>
          <w:sz w:val="18"/>
          <w:szCs w:val="18"/>
          <w:color w:val="auto"/>
        </w:rPr>
      </w:pPr>
    </w:p>
    <w:p>
      <w:pPr>
        <w:ind w:left="2000" w:hanging="695"/>
        <w:spacing w:after="0"/>
        <w:tabs>
          <w:tab w:leader="none" w:pos="2000" w:val="left"/>
        </w:tabs>
        <w:numPr>
          <w:ilvl w:val="1"/>
          <w:numId w:val="256"/>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under this Agreement;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5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but unpaid under the Finance Documents.</w:t>
      </w:r>
    </w:p>
    <w:p>
      <w:pPr>
        <w:spacing w:after="0" w:line="229" w:lineRule="exact"/>
        <w:rPr>
          <w:rFonts w:ascii="Arial" w:cs="Arial" w:eastAsia="Arial" w:hAnsi="Arial"/>
          <w:sz w:val="18"/>
          <w:szCs w:val="18"/>
          <w:color w:val="auto"/>
        </w:rPr>
      </w:pPr>
    </w:p>
    <w:p>
      <w:pPr>
        <w:ind w:left="1320" w:hanging="664"/>
        <w:spacing w:after="0"/>
        <w:tabs>
          <w:tab w:leader="none" w:pos="13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(a)(iv) above.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0" w:gutter="0" w:footer="0" w:header="0"/>
          <w:type w:val="continuous"/>
        </w:sectPr>
      </w:pPr>
    </w:p>
    <w:bookmarkStart w:id="53" w:name="page54"/>
    <w:bookmarkEnd w:id="53"/>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28.6</w:t>
      </w:r>
      <w:r>
        <w:rPr>
          <w:sz w:val="20"/>
          <w:szCs w:val="20"/>
          <w:color w:val="auto"/>
        </w:rPr>
        <w:tab/>
      </w:r>
      <w:r>
        <w:rPr>
          <w:rFonts w:ascii="Arial" w:cs="Arial" w:eastAsia="Arial" w:hAnsi="Arial"/>
          <w:sz w:val="16"/>
          <w:szCs w:val="16"/>
          <w:b w:val="1"/>
          <w:bCs w:val="1"/>
          <w:color w:val="auto"/>
        </w:rPr>
        <w:t>No set-off by Obligors</w:t>
      </w:r>
    </w:p>
    <w:p>
      <w:pPr>
        <w:spacing w:after="0" w:line="22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5"/>
          <w:szCs w:val="15"/>
          <w:b w:val="1"/>
          <w:bCs w:val="1"/>
          <w:color w:val="auto"/>
        </w:rPr>
        <w:t>Business Days</w:t>
      </w:r>
    </w:p>
    <w:p>
      <w:pPr>
        <w:spacing w:after="0" w:line="229" w:lineRule="exact"/>
        <w:rPr>
          <w:sz w:val="20"/>
          <w:szCs w:val="20"/>
          <w:color w:val="auto"/>
        </w:rPr>
      </w:pPr>
    </w:p>
    <w:p>
      <w:pPr>
        <w:ind w:left="1300" w:right="20" w:hanging="644"/>
        <w:spacing w:after="0" w:line="277" w:lineRule="auto"/>
        <w:tabs>
          <w:tab w:leader="none" w:pos="129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b w:val="1"/>
          <w:bCs w:val="1"/>
          <w:color w:val="auto"/>
        </w:rPr>
        <w:t>Currency of account</w:t>
      </w:r>
    </w:p>
    <w:p>
      <w:pPr>
        <w:spacing w:after="0" w:line="229" w:lineRule="exact"/>
        <w:rPr>
          <w:sz w:val="20"/>
          <w:szCs w:val="20"/>
          <w:color w:val="auto"/>
        </w:rPr>
      </w:pPr>
    </w:p>
    <w:p>
      <w:pPr>
        <w:ind w:left="1300" w:right="360" w:hanging="644"/>
        <w:spacing w:after="0" w:line="277" w:lineRule="auto"/>
        <w:tabs>
          <w:tab w:leader="none" w:pos="129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Subject to paragraphs (b) and (c) below, US dollars is the currency of account and payment for any sum due from an Obligor under any Finance Document.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US dollars shall be paid in that other currency.</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b w:val="1"/>
          <w:bCs w:val="1"/>
          <w:color w:val="auto"/>
        </w:rPr>
        <w:t>Change of currency</w:t>
      </w:r>
    </w:p>
    <w:p>
      <w:pPr>
        <w:spacing w:after="0" w:line="229" w:lineRule="exact"/>
        <w:rPr>
          <w:sz w:val="20"/>
          <w:szCs w:val="20"/>
          <w:color w:val="auto"/>
        </w:rPr>
      </w:pPr>
    </w:p>
    <w:p>
      <w:pPr>
        <w:ind w:left="1300" w:right="200" w:hanging="644"/>
        <w:spacing w:after="0" w:line="277" w:lineRule="auto"/>
        <w:tabs>
          <w:tab w:leader="none" w:pos="129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0" w:lineRule="exact"/>
        <w:rPr>
          <w:rFonts w:ascii="Arial" w:cs="Arial" w:eastAsia="Arial" w:hAnsi="Arial"/>
          <w:sz w:val="18"/>
          <w:szCs w:val="18"/>
          <w:color w:val="auto"/>
        </w:rPr>
      </w:pPr>
    </w:p>
    <w:p>
      <w:pPr>
        <w:ind w:left="1960" w:right="40" w:hanging="655"/>
        <w:spacing w:after="0" w:line="264" w:lineRule="auto"/>
        <w:tabs>
          <w:tab w:leader="none" w:pos="1981"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81" w:lineRule="exact"/>
        <w:rPr>
          <w:rFonts w:ascii="Arial" w:cs="Arial" w:eastAsia="Arial" w:hAnsi="Arial"/>
          <w:sz w:val="18"/>
          <w:szCs w:val="18"/>
          <w:color w:val="auto"/>
        </w:rPr>
      </w:pPr>
    </w:p>
    <w:p>
      <w:pPr>
        <w:jc w:val="both"/>
        <w:ind w:left="1960" w:right="340" w:hanging="655"/>
        <w:spacing w:after="0" w:line="342" w:lineRule="auto"/>
        <w:tabs>
          <w:tab w:leader="none" w:pos="1991"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28.10</w:t>
      </w:r>
      <w:r>
        <w:rPr>
          <w:sz w:val="20"/>
          <w:szCs w:val="20"/>
          <w:color w:val="auto"/>
        </w:rPr>
        <w:tab/>
      </w:r>
      <w:r>
        <w:rPr>
          <w:rFonts w:ascii="Arial" w:cs="Arial" w:eastAsia="Arial" w:hAnsi="Arial"/>
          <w:sz w:val="15"/>
          <w:szCs w:val="15"/>
          <w:b w:val="1"/>
          <w:bCs w:val="1"/>
          <w:color w:val="auto"/>
        </w:rPr>
        <w:t>Disruption to payment systems etc.</w:t>
      </w:r>
    </w:p>
    <w:p>
      <w:pPr>
        <w:spacing w:after="0" w:line="229"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 Disruption Event has occurred:</w:t>
      </w:r>
    </w:p>
    <w:p>
      <w:pPr>
        <w:spacing w:after="0" w:line="170" w:lineRule="exact"/>
        <w:rPr>
          <w:sz w:val="20"/>
          <w:szCs w:val="20"/>
          <w:color w:val="auto"/>
        </w:rPr>
      </w:pPr>
    </w:p>
    <w:p>
      <w:pPr>
        <w:ind w:left="1300" w:right="160" w:hanging="644"/>
        <w:spacing w:after="0" w:line="308" w:lineRule="auto"/>
        <w:tabs>
          <w:tab w:leader="none" w:pos="129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46" w:lineRule="exact"/>
        <w:rPr>
          <w:rFonts w:ascii="Arial" w:cs="Arial" w:eastAsia="Arial" w:hAnsi="Arial"/>
          <w:sz w:val="17"/>
          <w:szCs w:val="17"/>
          <w:color w:val="auto"/>
        </w:rPr>
      </w:pPr>
    </w:p>
    <w:p>
      <w:pPr>
        <w:ind w:left="1300" w:right="80" w:hanging="644"/>
        <w:spacing w:after="0" w:line="308" w:lineRule="auto"/>
        <w:tabs>
          <w:tab w:leader="none" w:pos="130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46" w:lineRule="exact"/>
        <w:rPr>
          <w:rFonts w:ascii="Arial" w:cs="Arial" w:eastAsia="Arial" w:hAnsi="Arial"/>
          <w:sz w:val="17"/>
          <w:szCs w:val="17"/>
          <w:color w:val="auto"/>
        </w:rPr>
      </w:pPr>
    </w:p>
    <w:p>
      <w:pPr>
        <w:ind w:left="1300" w:right="180" w:hanging="644"/>
        <w:spacing w:after="0" w:line="277" w:lineRule="auto"/>
        <w:tabs>
          <w:tab w:leader="none" w:pos="131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70" w:lineRule="exact"/>
        <w:rPr>
          <w:rFonts w:ascii="Arial" w:cs="Arial" w:eastAsia="Arial" w:hAnsi="Arial"/>
          <w:sz w:val="18"/>
          <w:szCs w:val="18"/>
          <w:color w:val="auto"/>
        </w:rPr>
      </w:pPr>
    </w:p>
    <w:p>
      <w:pPr>
        <w:ind w:left="1300" w:right="420" w:hanging="644"/>
        <w:spacing w:after="0" w:line="264" w:lineRule="auto"/>
        <w:tabs>
          <w:tab w:leader="none" w:pos="130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34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hanging="644"/>
        <w:spacing w:after="0" w:line="259" w:lineRule="auto"/>
        <w:tabs>
          <w:tab w:leader="none" w:pos="131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as finally judicially determined) arising as a result of its taking, or failing to take, any actions pursuant to or in connection with this Clause 28.10;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229" w:lineRule="exact"/>
        <w:rPr>
          <w:rFonts w:ascii="Arial" w:cs="Arial" w:eastAsia="Arial" w:hAnsi="Arial"/>
          <w:sz w:val="18"/>
          <w:szCs w:val="18"/>
          <w:color w:val="auto"/>
        </w:rPr>
      </w:pPr>
    </w:p>
    <w:p>
      <w:pPr>
        <w:ind w:left="660" w:right="360"/>
        <w:spacing w:after="0" w:line="259" w:lineRule="auto"/>
        <w:rPr>
          <w:rFonts w:ascii="Arial" w:cs="Arial" w:eastAsia="Arial" w:hAnsi="Arial"/>
          <w:sz w:val="18"/>
          <w:szCs w:val="18"/>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ectPr>
          <w:pgSz w:w="11900" w:h="16838" w:orient="portrait"/>
          <w:cols w:equalWidth="0" w:num="1">
            <w:col w:w="11420"/>
          </w:cols>
          <w:pgMar w:left="240" w:top="729" w:right="239" w:bottom="0" w:gutter="0" w:footer="0" w:header="0"/>
        </w:sectPr>
      </w:pPr>
    </w:p>
    <w:bookmarkStart w:id="54" w:name="page55"/>
    <w:bookmarkEnd w:id="54"/>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Communications in writing</w:t>
      </w:r>
    </w:p>
    <w:p>
      <w:pPr>
        <w:spacing w:after="0" w:line="229" w:lineRule="exact"/>
        <w:rPr>
          <w:sz w:val="20"/>
          <w:szCs w:val="20"/>
          <w:color w:val="auto"/>
        </w:rPr>
      </w:pPr>
    </w:p>
    <w:p>
      <w:pPr>
        <w:ind w:left="1300" w:right="60" w:hanging="644"/>
        <w:spacing w:after="0" w:line="277" w:lineRule="auto"/>
        <w:tabs>
          <w:tab w:leader="none" w:pos="129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Utilisation Request may be delivered by the Borrower to the Agent by email to an email address or email addresses of the Agent previously notified to the Borrower specifically for the purpose of delivering the Utilisation Request.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b w:val="1"/>
          <w:bCs w:val="1"/>
          <w:color w:val="auto"/>
        </w:rPr>
        <w:t>Addresses</w:t>
      </w:r>
    </w:p>
    <w:p>
      <w:pPr>
        <w:spacing w:after="0" w:line="229"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70" w:lineRule="exact"/>
        <w:rPr>
          <w:sz w:val="20"/>
          <w:szCs w:val="20"/>
          <w:color w:val="auto"/>
        </w:rPr>
      </w:pPr>
    </w:p>
    <w:p>
      <w:pPr>
        <w:ind w:left="1300" w:hanging="64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the case of the Borrower and the Guarantor, that identified with its name below;</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the case of each Lender, that notified in writing to the Agent on or prior to the date on which it becomes a Party;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or any substitute address, fax number or department or officer as the Party may notify to the Agent (or the Agent may notify to the other Parties, if a change is made by the Agent) by not less than five Business Days’ notice.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ind w:left="1300" w:right="120" w:hanging="644"/>
        <w:spacing w:after="0" w:line="277" w:lineRule="auto"/>
        <w:tabs>
          <w:tab w:leader="none" w:pos="129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be effective: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if by way of fax or email, only when received in legible form; or</w:t>
      </w:r>
    </w:p>
    <w:p>
      <w:pPr>
        <w:spacing w:after="0" w:line="225" w:lineRule="exact"/>
        <w:rPr>
          <w:rFonts w:ascii="Arial" w:cs="Arial" w:eastAsia="Arial" w:hAnsi="Arial"/>
          <w:sz w:val="18"/>
          <w:szCs w:val="18"/>
          <w:color w:val="auto"/>
        </w:rPr>
      </w:pPr>
    </w:p>
    <w:p>
      <w:pPr>
        <w:ind w:left="1960" w:right="520" w:hanging="655"/>
        <w:spacing w:after="0" w:line="277" w:lineRule="auto"/>
        <w:tabs>
          <w:tab w:leader="none" w:pos="199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if by way of letter, only when it has been left at the relevant address or five Business Days after being deposited in the post postage prepaid in an envelope addressed to it at that address,</w:t>
      </w:r>
    </w:p>
    <w:p>
      <w:pPr>
        <w:spacing w:after="0" w:line="170"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30.2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70" w:lineRule="exact"/>
        <w:rPr>
          <w:sz w:val="20"/>
          <w:szCs w:val="20"/>
          <w:color w:val="auto"/>
        </w:rPr>
      </w:pPr>
    </w:p>
    <w:p>
      <w:pPr>
        <w:ind w:left="1300" w:hanging="644"/>
        <w:spacing w:after="0" w:line="264" w:lineRule="auto"/>
        <w:tabs>
          <w:tab w:leader="none" w:pos="13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30 will be deemed to have been made or delivered to the Guarantor.</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1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 p.m. in the place of receipt shall be deemed only to become effective on the following day.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b w:val="1"/>
          <w:bCs w:val="1"/>
          <w:color w:val="auto"/>
        </w:rPr>
        <w:t>Notification of address and fax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Promptly upon changing its address or fax number, the Agent shall notify the other Parties.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b w:val="1"/>
          <w:bCs w:val="1"/>
          <w:color w:val="auto"/>
        </w:rPr>
        <w:t>Electronic communication</w:t>
      </w:r>
    </w:p>
    <w:p>
      <w:pPr>
        <w:spacing w:after="0" w:line="229" w:lineRule="exact"/>
        <w:rPr>
          <w:sz w:val="20"/>
          <w:szCs w:val="20"/>
          <w:color w:val="auto"/>
        </w:rPr>
      </w:pPr>
    </w:p>
    <w:p>
      <w:pPr>
        <w:ind w:left="1300" w:right="160" w:hanging="644"/>
        <w:spacing w:after="0" w:line="277" w:lineRule="auto"/>
        <w:tabs>
          <w:tab w:leader="none" w:pos="129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(including by way of posting to a secure website) if those two Parties:</w:t>
      </w:r>
    </w:p>
    <w:p>
      <w:pPr>
        <w:spacing w:after="0" w:line="170" w:lineRule="exact"/>
        <w:rPr>
          <w:rFonts w:ascii="Arial" w:cs="Arial" w:eastAsia="Arial" w:hAnsi="Arial"/>
          <w:sz w:val="18"/>
          <w:szCs w:val="18"/>
          <w:color w:val="auto"/>
        </w:rPr>
      </w:pPr>
    </w:p>
    <w:p>
      <w:pPr>
        <w:ind w:left="1960" w:right="240" w:hanging="655"/>
        <w:spacing w:after="0" w:line="277" w:lineRule="auto"/>
        <w:tabs>
          <w:tab w:leader="none" w:pos="198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70" w:lineRule="exact"/>
        <w:rPr>
          <w:rFonts w:ascii="Arial" w:cs="Arial" w:eastAsia="Arial" w:hAnsi="Arial"/>
          <w:sz w:val="18"/>
          <w:szCs w:val="18"/>
          <w:color w:val="auto"/>
        </w:rPr>
      </w:pPr>
    </w:p>
    <w:p>
      <w:pPr>
        <w:ind w:left="1960" w:right="280" w:hanging="655"/>
        <w:spacing w:after="0" w:line="277" w:lineRule="auto"/>
        <w:tabs>
          <w:tab w:leader="none" w:pos="199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70" w:lineRule="exact"/>
        <w:rPr>
          <w:rFonts w:ascii="Arial" w:cs="Arial" w:eastAsia="Arial" w:hAnsi="Arial"/>
          <w:sz w:val="18"/>
          <w:szCs w:val="18"/>
          <w:color w:val="auto"/>
        </w:rPr>
      </w:pPr>
    </w:p>
    <w:p>
      <w:pPr>
        <w:ind w:left="1300" w:right="160" w:hanging="644"/>
        <w:spacing w:after="0" w:line="264" w:lineRule="auto"/>
        <w:tabs>
          <w:tab w:leader="none" w:pos="130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ectPr>
          <w:pgSz w:w="11900" w:h="16918" w:orient="portrait"/>
          <w:cols w:equalWidth="0" w:num="1">
            <w:col w:w="11340"/>
          </w:cols>
          <w:pgMar w:left="240" w:top="341" w:right="319" w:bottom="0" w:gutter="0" w:footer="0" w:header="0"/>
        </w:sectPr>
      </w:pPr>
    </w:p>
    <w:bookmarkStart w:id="55" w:name="page56"/>
    <w:bookmarkEnd w:id="55"/>
    <w:p>
      <w:pPr>
        <w:spacing w:after="0" w:line="32" w:lineRule="exact"/>
        <w:rPr>
          <w:sz w:val="20"/>
          <w:szCs w:val="20"/>
          <w:color w:val="auto"/>
        </w:rPr>
      </w:pPr>
    </w:p>
    <w:p>
      <w:pPr>
        <w:ind w:left="1300" w:right="80" w:hanging="644"/>
        <w:spacing w:after="0" w:line="264" w:lineRule="auto"/>
        <w:tabs>
          <w:tab w:leader="none" w:pos="131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 p.m. in the place in which the Party to whom the relevant communication is sent or made available has its address for the purpose of this Agreement shall be deemed only to become effective on the following day.</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1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30.5.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9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6"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b w:val="1"/>
          <w:bCs w:val="1"/>
          <w:color w:val="auto"/>
        </w:rPr>
        <w:t>Accounts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Certificates and determinations</w:t>
      </w:r>
    </w:p>
    <w:p>
      <w:pPr>
        <w:spacing w:after="0" w:line="229"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Day count convention</w:t>
      </w:r>
    </w:p>
    <w:p>
      <w:pPr>
        <w:spacing w:after="0" w:line="229"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20"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229" w:lineRule="exact"/>
        <w:rPr>
          <w:rFonts w:ascii="Arial" w:cs="Arial" w:eastAsia="Arial" w:hAnsi="Arial"/>
          <w:sz w:val="18"/>
          <w:szCs w:val="18"/>
          <w:color w:val="auto"/>
        </w:rPr>
      </w:pPr>
    </w:p>
    <w:p>
      <w:pPr>
        <w:ind w:left="660" w:right="100"/>
        <w:spacing w:after="0" w:line="257"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Required consents</w:t>
      </w:r>
    </w:p>
    <w:p>
      <w:pPr>
        <w:spacing w:after="0" w:line="229" w:lineRule="exact"/>
        <w:rPr>
          <w:sz w:val="20"/>
          <w:szCs w:val="20"/>
          <w:color w:val="auto"/>
        </w:rPr>
      </w:pPr>
    </w:p>
    <w:p>
      <w:pPr>
        <w:ind w:left="1300" w:right="340" w:hanging="644"/>
        <w:spacing w:after="0" w:line="308" w:lineRule="auto"/>
        <w:tabs>
          <w:tab w:leader="none" w:pos="129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Subject to Clause (c) and Clause 34.3 (</w:t>
      </w:r>
      <w:r>
        <w:rPr>
          <w:rFonts w:ascii="Arial" w:cs="Arial" w:eastAsia="Arial" w:hAnsi="Arial"/>
          <w:sz w:val="17"/>
          <w:szCs w:val="17"/>
          <w:i w:val="1"/>
          <w:iCs w:val="1"/>
          <w:color w:val="auto"/>
        </w:rPr>
        <w:t>Other exceptions</w:t>
      </w:r>
      <w:r>
        <w:rPr>
          <w:rFonts w:ascii="Arial" w:cs="Arial" w:eastAsia="Arial" w:hAnsi="Arial"/>
          <w:sz w:val="17"/>
          <w:szCs w:val="17"/>
          <w:color w:val="auto"/>
        </w:rPr>
        <w:t>), any term of the Finance Documents may be amended or waived only with the consent of the Majority Lenders and the Obligors and any such amendment or waiver will be binding on all Parties.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34.</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1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Lender may have more than one vote in relation to its share in the Loan or Commitment for the purposes counting towards any decision by that Lender under the Finance Documents and may split its vote in whatever percentages it may choose and may vote each percentage of its votes in different ways.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b w:val="1"/>
          <w:bCs w:val="1"/>
          <w:color w:val="auto"/>
        </w:rPr>
        <w:t>All-Lender matters</w:t>
      </w:r>
    </w:p>
    <w:p>
      <w:pPr>
        <w:sectPr>
          <w:pgSz w:w="11900" w:h="16870" w:orient="portrait"/>
          <w:cols w:equalWidth="0" w:num="1">
            <w:col w:w="11420"/>
          </w:cols>
          <w:pgMar w:left="240" w:top="341" w:right="239" w:bottom="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An amendment or waiver that has the effect of changing or which relates to:</w:t>
      </w:r>
    </w:p>
    <w:p>
      <w:pPr>
        <w:spacing w:after="0" w:line="225"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 increase in any Commitment, an extension of the Availability Period or any requirement that a cancellation of Commitments reduces the Commitments of the Lenders rateably under the Facility;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Clause 7.2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(g) (</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21"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Application </w:t>
      </w:r>
      <w:r>
        <w:rPr>
          <w:rFonts w:ascii="Arial" w:cs="Arial" w:eastAsia="Arial" w:hAnsi="Arial"/>
          <w:sz w:val="18"/>
          <w:szCs w:val="18"/>
          <w:color w:val="auto"/>
        </w:rPr>
        <w:t>of prepayments),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 or this Clause 34,</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38 (</w:t>
      </w:r>
      <w:r>
        <w:rPr>
          <w:rFonts w:ascii="Arial" w:cs="Arial" w:eastAsia="Arial" w:hAnsi="Arial"/>
          <w:sz w:val="18"/>
          <w:szCs w:val="18"/>
          <w:i w:val="1"/>
          <w:iCs w:val="1"/>
          <w:color w:val="auto"/>
        </w:rPr>
        <w:t>Governing Law</w:t>
      </w:r>
      <w:r>
        <w:rPr>
          <w:rFonts w:ascii="Arial" w:cs="Arial" w:eastAsia="Arial" w:hAnsi="Arial"/>
          <w:sz w:val="18"/>
          <w:szCs w:val="18"/>
          <w:color w:val="auto"/>
        </w:rPr>
        <w:t>), or Clause 39.1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nature or scope or release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Other exceptions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An amendment or waiver which relates to the rights or obligations of the Agent or the Mandated Lead Arrangers (each in their capacity as such) may not be effected without the consent of the Agent, the Mandated Lead Arrangers, as the case may be.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b w:val="1"/>
          <w:bCs w:val="1"/>
          <w:color w:val="auto"/>
        </w:rPr>
        <w:t>Excluded Commitments</w:t>
      </w:r>
    </w:p>
    <w:p>
      <w:pPr>
        <w:spacing w:after="0" w:line="22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15 Business Days of that request being made (unless, the Borrower and the Agent agree to a longer time period in relation to any request):</w:t>
      </w:r>
    </w:p>
    <w:p>
      <w:pPr>
        <w:spacing w:after="0" w:line="181" w:lineRule="exact"/>
        <w:rPr>
          <w:sz w:val="20"/>
          <w:szCs w:val="20"/>
          <w:color w:val="auto"/>
        </w:rPr>
      </w:pPr>
    </w:p>
    <w:p>
      <w:pPr>
        <w:jc w:val="both"/>
        <w:ind w:left="1300" w:hanging="644"/>
        <w:spacing w:after="0" w:line="264" w:lineRule="auto"/>
        <w:tabs>
          <w:tab w:leader="none" w:pos="129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under the Facility when ascertaining whether any relevant percentage (including, for the avoidance of doubt, unanimity) of Total Commitments has been obtained to approve that request;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b w:val="1"/>
          <w:bCs w:val="1"/>
          <w:color w:val="auto"/>
        </w:rPr>
        <w:t>Replacement of Lender</w:t>
      </w:r>
    </w:p>
    <w:p>
      <w:pPr>
        <w:spacing w:after="0" w:line="229"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Lender becomes a Non-Consenting Lender (as defined in paragraph (d) below); or</w:t>
      </w:r>
    </w:p>
    <w:p>
      <w:pPr>
        <w:spacing w:after="0" w:line="225" w:lineRule="exact"/>
        <w:rPr>
          <w:rFonts w:ascii="Arial" w:cs="Arial" w:eastAsia="Arial" w:hAnsi="Arial"/>
          <w:sz w:val="18"/>
          <w:szCs w:val="18"/>
          <w:color w:val="auto"/>
        </w:rPr>
      </w:pPr>
    </w:p>
    <w:p>
      <w:pPr>
        <w:ind w:left="1960" w:right="80" w:hanging="655"/>
        <w:spacing w:after="0" w:line="308" w:lineRule="auto"/>
        <w:tabs>
          <w:tab w:leader="none" w:pos="1991" w:val="left"/>
        </w:tabs>
        <w:numPr>
          <w:ilvl w:val="1"/>
          <w:numId w:val="277"/>
        </w:numPr>
        <w:rPr>
          <w:rFonts w:ascii="Arial" w:cs="Arial" w:eastAsia="Arial" w:hAnsi="Arial"/>
          <w:sz w:val="17"/>
          <w:szCs w:val="17"/>
          <w:color w:val="auto"/>
        </w:rPr>
      </w:pPr>
      <w:r>
        <w:rPr>
          <w:rFonts w:ascii="Arial" w:cs="Arial" w:eastAsia="Arial" w:hAnsi="Arial"/>
          <w:sz w:val="17"/>
          <w:szCs w:val="17"/>
          <w:color w:val="auto"/>
        </w:rPr>
        <w:t xml:space="preserve">an Obligor becomes obliged to repay any amount in accordance with Clause 7.1 </w:t>
      </w:r>
      <w:r>
        <w:rPr>
          <w:rFonts w:ascii="Arial" w:cs="Arial" w:eastAsia="Arial" w:hAnsi="Arial"/>
          <w:sz w:val="17"/>
          <w:szCs w:val="17"/>
          <w:i w:val="1"/>
          <w:iCs w:val="1"/>
          <w:color w:val="auto"/>
        </w:rPr>
        <w:t>(Illegality</w:t>
      </w:r>
      <w:r>
        <w:rPr>
          <w:rFonts w:ascii="Arial" w:cs="Arial" w:eastAsia="Arial" w:hAnsi="Arial"/>
          <w:sz w:val="17"/>
          <w:szCs w:val="17"/>
          <w:color w:val="auto"/>
        </w:rPr>
        <w:t>) or to pay additional amounts pursuant to Clause 13 (</w:t>
      </w:r>
      <w:r>
        <w:rPr>
          <w:rFonts w:ascii="Arial" w:cs="Arial" w:eastAsia="Arial" w:hAnsi="Arial"/>
          <w:sz w:val="17"/>
          <w:szCs w:val="17"/>
          <w:i w:val="1"/>
          <w:iCs w:val="1"/>
          <w:color w:val="auto"/>
        </w:rPr>
        <w:t>Increased Costs</w:t>
      </w:r>
      <w:r>
        <w:rPr>
          <w:rFonts w:ascii="Arial" w:cs="Arial" w:eastAsia="Arial" w:hAnsi="Arial"/>
          <w:sz w:val="17"/>
          <w:szCs w:val="17"/>
          <w:color w:val="auto"/>
        </w:rPr>
        <w:t>), Clause 12.2 (</w:t>
      </w:r>
      <w:r>
        <w:rPr>
          <w:rFonts w:ascii="Arial" w:cs="Arial" w:eastAsia="Arial" w:hAnsi="Arial"/>
          <w:sz w:val="17"/>
          <w:szCs w:val="17"/>
          <w:i w:val="1"/>
          <w:iCs w:val="1"/>
          <w:color w:val="auto"/>
        </w:rPr>
        <w:t>Tax gross-up</w:t>
      </w:r>
      <w:r>
        <w:rPr>
          <w:rFonts w:ascii="Arial" w:cs="Arial" w:eastAsia="Arial" w:hAnsi="Arial"/>
          <w:sz w:val="17"/>
          <w:szCs w:val="17"/>
          <w:color w:val="auto"/>
        </w:rPr>
        <w:t>) or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to any Lender,</w:t>
      </w:r>
    </w:p>
    <w:p>
      <w:pPr>
        <w:spacing w:after="0" w:line="147" w:lineRule="exact"/>
        <w:rPr>
          <w:sz w:val="20"/>
          <w:szCs w:val="20"/>
          <w:color w:val="auto"/>
        </w:rPr>
      </w:pPr>
    </w:p>
    <w:p>
      <w:pPr>
        <w:ind w:left="1300" w:right="20"/>
        <w:spacing w:after="0" w:line="291" w:lineRule="auto"/>
        <w:rPr>
          <w:sz w:val="20"/>
          <w:szCs w:val="20"/>
          <w:color w:val="auto"/>
        </w:rPr>
      </w:pPr>
      <w:r>
        <w:rPr>
          <w:rFonts w:ascii="Arial" w:cs="Arial" w:eastAsia="Arial" w:hAnsi="Arial"/>
          <w:sz w:val="16"/>
          <w:szCs w:val="16"/>
          <w:color w:val="auto"/>
        </w:rPr>
        <w:t>then the Borrower may, on 30 Business Days’ prior written notice to the Agent and such Lender, replace such Lender by requiring such Lender to (and, to the extent permitted by law, such Lender shall) transfer pursuant to Clause 24 (</w:t>
      </w:r>
      <w:r>
        <w:rPr>
          <w:rFonts w:ascii="Arial" w:cs="Arial" w:eastAsia="Arial" w:hAnsi="Arial"/>
          <w:sz w:val="16"/>
          <w:szCs w:val="16"/>
          <w:i w:val="1"/>
          <w:iCs w:val="1"/>
          <w:color w:val="auto"/>
        </w:rPr>
        <w:t>Changes to the Lenders</w:t>
      </w:r>
      <w:r>
        <w:rPr>
          <w:rFonts w:ascii="Arial" w:cs="Arial" w:eastAsia="Arial" w:hAnsi="Arial"/>
          <w:sz w:val="16"/>
          <w:szCs w:val="16"/>
          <w:color w:val="auto"/>
        </w:rPr>
        <w:t>) all (and not part only) of its rights and obligations under this Agreement to an Eligible Institution (a “</w:t>
      </w:r>
      <w:r>
        <w:rPr>
          <w:rFonts w:ascii="Arial" w:cs="Arial" w:eastAsia="Arial" w:hAnsi="Arial"/>
          <w:sz w:val="16"/>
          <w:szCs w:val="16"/>
          <w:b w:val="1"/>
          <w:bCs w:val="1"/>
          <w:color w:val="auto"/>
        </w:rPr>
        <w:t>Replacement Lender</w:t>
      </w:r>
      <w:r>
        <w:rPr>
          <w:rFonts w:ascii="Arial" w:cs="Arial" w:eastAsia="Arial" w:hAnsi="Arial"/>
          <w:sz w:val="16"/>
          <w:szCs w:val="16"/>
          <w:color w:val="auto"/>
        </w:rPr>
        <w:t>”) which confirms its willingness to assume and does assume all the obligations of the transferring Lender in accordance with Clause 24 (</w:t>
      </w:r>
      <w:r>
        <w:rPr>
          <w:rFonts w:ascii="Arial" w:cs="Arial" w:eastAsia="Arial" w:hAnsi="Arial"/>
          <w:sz w:val="16"/>
          <w:szCs w:val="16"/>
          <w:i w:val="1"/>
          <w:iCs w:val="1"/>
          <w:color w:val="auto"/>
        </w:rPr>
        <w:t>Changes to the Lenders</w:t>
      </w:r>
      <w:r>
        <w:rPr>
          <w:rFonts w:ascii="Arial" w:cs="Arial" w:eastAsia="Arial" w:hAnsi="Arial"/>
          <w:sz w:val="16"/>
          <w:szCs w:val="16"/>
          <w:color w:val="auto"/>
        </w:rPr>
        <w:t>) for a purchase price in cash payable at the time of transfer in an amount equal to the outstanding principal amount of such Lender’s participation in the outstanding Utilisation and all accrued interest (to the extent that the Agent has not given a notification under Clause 24.13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settlement</w:t>
      </w:r>
      <w:r>
        <w:rPr>
          <w:rFonts w:ascii="Arial" w:cs="Arial" w:eastAsia="Arial" w:hAnsi="Arial"/>
          <w:sz w:val="16"/>
          <w:szCs w:val="16"/>
          <w:color w:val="auto"/>
        </w:rPr>
        <w:t>), Break Costs and other amounts payable in relation thereto under the Finance Documents.</w:t>
      </w:r>
    </w:p>
    <w:p>
      <w:pPr>
        <w:spacing w:after="0" w:line="167" w:lineRule="exact"/>
        <w:rPr>
          <w:sz w:val="20"/>
          <w:szCs w:val="20"/>
          <w:color w:val="auto"/>
        </w:rPr>
      </w:pPr>
    </w:p>
    <w:p>
      <w:pPr>
        <w:ind w:left="5620" w:right="2780" w:hanging="4964"/>
        <w:spacing w:after="0" w:line="528" w:lineRule="auto"/>
        <w:tabs>
          <w:tab w:leader="none" w:pos="130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replacement of a Lender pursuant to this Clause 34.5 shall be subject to the following conditions: 97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80" w:hanging="675"/>
        <w:spacing w:after="0"/>
        <w:tabs>
          <w:tab w:leader="none" w:pos="19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neither the Agent nor the Lender shall have any obligation to the Borrower to find a Replacement Lender;</w:t>
      </w:r>
    </w:p>
    <w:p>
      <w:pPr>
        <w:spacing w:after="0" w:line="225" w:lineRule="exact"/>
        <w:rPr>
          <w:rFonts w:ascii="Arial" w:cs="Arial" w:eastAsia="Arial" w:hAnsi="Arial"/>
          <w:sz w:val="18"/>
          <w:szCs w:val="18"/>
          <w:color w:val="auto"/>
        </w:rPr>
      </w:pPr>
    </w:p>
    <w:p>
      <w:pPr>
        <w:ind w:left="1960" w:right="120" w:hanging="655"/>
        <w:spacing w:after="0" w:line="277" w:lineRule="auto"/>
        <w:tabs>
          <w:tab w:leader="none" w:pos="2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in the event of a replacement of a Non-Consenting Lender such replacement must take place no later than 30 Business Days after the date on which that Lender is deemed a Non-Consenting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-1230630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7" w:name="page58"/>
    <w:bookmarkEnd w:id="57"/>
    <w:p>
      <w:pPr>
        <w:spacing w:after="0" w:line="12" w:lineRule="exact"/>
        <w:rPr>
          <w:sz w:val="20"/>
          <w:szCs w:val="20"/>
          <w:color w:val="auto"/>
        </w:rPr>
      </w:pPr>
    </w:p>
    <w:p>
      <w:pPr>
        <w:ind w:left="1960" w:hanging="655"/>
        <w:spacing w:after="0" w:line="277" w:lineRule="auto"/>
        <w:tabs>
          <w:tab w:leader="none" w:pos="197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in no event shall the Lender replaced under this Clause 34.5 be required to pay or surrender to such Replacement Lender any of the fees received by such Lender pursuant to the Finance Documents; and</w:t>
      </w:r>
    </w:p>
    <w:p>
      <w:pPr>
        <w:spacing w:after="0" w:line="170" w:lineRule="exact"/>
        <w:rPr>
          <w:rFonts w:ascii="Arial" w:cs="Arial" w:eastAsia="Arial" w:hAnsi="Arial"/>
          <w:sz w:val="18"/>
          <w:szCs w:val="18"/>
          <w:color w:val="auto"/>
        </w:rPr>
      </w:pPr>
    </w:p>
    <w:p>
      <w:pPr>
        <w:jc w:val="both"/>
        <w:ind w:left="1960" w:right="120" w:hanging="655"/>
        <w:spacing w:after="0" w:line="264" w:lineRule="auto"/>
        <w:tabs>
          <w:tab w:leader="none" w:pos="196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181" w:lineRule="exact"/>
        <w:rPr>
          <w:rFonts w:ascii="Arial" w:cs="Arial" w:eastAsia="Arial" w:hAnsi="Arial"/>
          <w:sz w:val="18"/>
          <w:szCs w:val="18"/>
          <w:color w:val="auto"/>
        </w:rPr>
      </w:pPr>
    </w:p>
    <w:p>
      <w:pPr>
        <w:ind w:left="1300" w:right="260" w:hanging="644"/>
        <w:spacing w:after="0" w:line="342" w:lineRule="auto"/>
        <w:tabs>
          <w:tab w:leader="none" w:pos="131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8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consent, waiver or amendment in question requires the approval of all the Lenders; and</w:t>
      </w:r>
    </w:p>
    <w:p>
      <w:pPr>
        <w:spacing w:after="0" w:line="225" w:lineRule="exact"/>
        <w:rPr>
          <w:rFonts w:ascii="Arial" w:cs="Arial" w:eastAsia="Arial" w:hAnsi="Arial"/>
          <w:sz w:val="18"/>
          <w:szCs w:val="18"/>
          <w:color w:val="auto"/>
        </w:rPr>
      </w:pPr>
    </w:p>
    <w:p>
      <w:pPr>
        <w:ind w:left="1960" w:right="360" w:hanging="655"/>
        <w:spacing w:after="0" w:line="264" w:lineRule="auto"/>
        <w:tabs>
          <w:tab w:leader="none" w:pos="20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Lenders whose Commitments aggregate more than 80 per cent. of the Total Commitments (or, if the Total Commitments have been reduced to zero, aggregated more than 80 per cent. of the Total Commitments prior to that reduction) have consented or agreed to such waiver or amendment,</w:t>
      </w:r>
    </w:p>
    <w:p>
      <w:pPr>
        <w:spacing w:after="0" w:line="177" w:lineRule="exact"/>
        <w:rPr>
          <w:sz w:val="20"/>
          <w:szCs w:val="20"/>
          <w:color w:val="auto"/>
        </w:rPr>
      </w:pPr>
    </w:p>
    <w:p>
      <w:pPr>
        <w:ind w:left="1960" w:right="560"/>
        <w:spacing w:after="0" w:line="282" w:lineRule="auto"/>
        <w:rPr>
          <w:sz w:val="20"/>
          <w:szCs w:val="20"/>
          <w:color w:val="auto"/>
        </w:rPr>
      </w:pPr>
      <w:r>
        <w:rPr>
          <w:rFonts w:ascii="Arial" w:cs="Arial" w:eastAsia="Arial" w:hAnsi="Arial"/>
          <w:sz w:val="18"/>
          <w:szCs w:val="18"/>
          <w:color w:val="auto"/>
        </w:rPr>
        <w:t>then any Lender who does not and continues not to consent or agree to such waiver or amendment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6"/>
          <w:szCs w:val="16"/>
          <w:b w:val="1"/>
          <w:bCs w:val="1"/>
          <w:color w:val="auto"/>
        </w:rPr>
        <w:t>Disenfranchisement of Defaulting Lenders</w:t>
      </w:r>
    </w:p>
    <w:p>
      <w:pPr>
        <w:spacing w:after="0" w:line="229" w:lineRule="exact"/>
        <w:rPr>
          <w:sz w:val="20"/>
          <w:szCs w:val="20"/>
          <w:color w:val="auto"/>
        </w:rPr>
      </w:pPr>
    </w:p>
    <w:p>
      <w:pPr>
        <w:ind w:left="1300" w:hanging="644"/>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whether:</w:t>
      </w:r>
    </w:p>
    <w:p>
      <w:pPr>
        <w:spacing w:after="0" w:line="225" w:lineRule="exact"/>
        <w:rPr>
          <w:rFonts w:ascii="Arial" w:cs="Arial" w:eastAsia="Arial" w:hAnsi="Arial"/>
          <w:sz w:val="18"/>
          <w:szCs w:val="18"/>
          <w:color w:val="auto"/>
        </w:rPr>
      </w:pPr>
    </w:p>
    <w:p>
      <w:pPr>
        <w:ind w:left="5620" w:right="120" w:hanging="3667"/>
        <w:spacing w:after="0" w:line="528" w:lineRule="auto"/>
        <w:tabs>
          <w:tab w:leader="none" w:pos="2618" w:val="left"/>
        </w:tabs>
        <w:numPr>
          <w:ilvl w:val="2"/>
          <w:numId w:val="281"/>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under the Facility; or 98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20" w:hanging="667"/>
        <w:spacing w:after="0"/>
        <w:tabs>
          <w:tab w:leader="none" w:pos="262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the agreement of any specified group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has been obtained to approve any request for a consent, waiver, amendment or other vote of Lenders under the Finance Documents,</w:t>
      </w:r>
    </w:p>
    <w:p>
      <w:pPr>
        <w:spacing w:after="0" w:line="237" w:lineRule="exact"/>
        <w:rPr>
          <w:sz w:val="20"/>
          <w:szCs w:val="20"/>
          <w:color w:val="auto"/>
        </w:rPr>
      </w:pPr>
    </w:p>
    <w:p>
      <w:pPr>
        <w:jc w:val="both"/>
        <w:ind w:left="1300" w:right="140"/>
        <w:spacing w:after="0" w:line="264" w:lineRule="auto"/>
        <w:rPr>
          <w:sz w:val="20"/>
          <w:szCs w:val="20"/>
          <w:color w:val="auto"/>
        </w:rPr>
      </w:pPr>
      <w:r>
        <w:rPr>
          <w:rFonts w:ascii="Arial" w:cs="Arial" w:eastAsia="Arial" w:hAnsi="Arial"/>
          <w:sz w:val="18"/>
          <w:szCs w:val="18"/>
          <w:color w:val="auto"/>
        </w:rPr>
        <w:t>that Defaulting Lender’s Commitments under the Facility will be reduced by the amount of its Commitment under the Facility and, to the extent that that reduction results in that Defaulting Lender’s Total Commitments being zero, that Defaulting Lender shall be deemed not to be a Lender for the purposes of paragraphs (i) and (ii) above.</w:t>
      </w:r>
    </w:p>
    <w:p>
      <w:pPr>
        <w:spacing w:after="0" w:line="181" w:lineRule="exact"/>
        <w:rPr>
          <w:sz w:val="20"/>
          <w:szCs w:val="20"/>
          <w:color w:val="auto"/>
        </w:rPr>
      </w:pPr>
    </w:p>
    <w:p>
      <w:pPr>
        <w:ind w:left="1320" w:hanging="664"/>
        <w:spacing w:after="0"/>
        <w:tabs>
          <w:tab w:leader="none" w:pos="13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the purposes of this Clause 33.6, the Agent may assume that the following Lenders are Defaulting Lenders: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225" w:lineRule="exact"/>
        <w:rPr>
          <w:rFonts w:ascii="Arial" w:cs="Arial" w:eastAsia="Arial" w:hAnsi="Arial"/>
          <w:sz w:val="18"/>
          <w:szCs w:val="18"/>
          <w:color w:val="auto"/>
        </w:rPr>
      </w:pPr>
    </w:p>
    <w:p>
      <w:pPr>
        <w:ind w:left="1960" w:right="560" w:hanging="655"/>
        <w:spacing w:after="0" w:line="277" w:lineRule="auto"/>
        <w:tabs>
          <w:tab w:leader="none" w:pos="199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or (b) of the definition of “Defaulting Lender” has occurred,</w:t>
      </w:r>
    </w:p>
    <w:p>
      <w:pPr>
        <w:spacing w:after="0" w:line="17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b w:val="1"/>
          <w:bCs w:val="1"/>
          <w:color w:val="auto"/>
        </w:rPr>
        <w:t>Replacement of a Defaulting Lender</w:t>
      </w:r>
    </w:p>
    <w:p>
      <w:pPr>
        <w:spacing w:after="0" w:line="229" w:lineRule="exact"/>
        <w:rPr>
          <w:sz w:val="20"/>
          <w:szCs w:val="20"/>
          <w:color w:val="auto"/>
        </w:rPr>
      </w:pPr>
    </w:p>
    <w:p>
      <w:pPr>
        <w:ind w:left="1300" w:right="260" w:hanging="644"/>
        <w:spacing w:after="0" w:line="312" w:lineRule="auto"/>
        <w:tabs>
          <w:tab w:leader="none" w:pos="129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Borrower may, at any time a Lender has become and continues to be a Defaulting Lender, by giving 15 Business Days’ prior written notice to the Agent and such Lender replace such Lender by requiring such Lender to (and, to the extent permitted by law, such Lender shall) transfer pursuant to Clause 24 (</w:t>
      </w:r>
      <w:r>
        <w:rPr>
          <w:rFonts w:ascii="Arial" w:cs="Arial" w:eastAsia="Arial" w:hAnsi="Arial"/>
          <w:sz w:val="16"/>
          <w:szCs w:val="16"/>
          <w:i w:val="1"/>
          <w:iCs w:val="1"/>
          <w:color w:val="auto"/>
        </w:rPr>
        <w:t>Changes to the Lenders</w:t>
      </w:r>
      <w:r>
        <w:rPr>
          <w:rFonts w:ascii="Arial" w:cs="Arial" w:eastAsia="Arial" w:hAnsi="Arial"/>
          <w:sz w:val="16"/>
          <w:szCs w:val="16"/>
          <w:color w:val="auto"/>
        </w:rPr>
        <w:t>) all (and not part only) of its rights and obligations under this Agreement.</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transfer of rights and obligations of a Defaulting Lender pursuant to this Clause 34.7 shall be subject to the following conditions:</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 to find a Replacement Lender;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transfer must take place no later than 15 Business Days after the notice referred to in paragraph (a) above;</w:t>
      </w:r>
    </w:p>
    <w:p>
      <w:pPr>
        <w:spacing w:after="0" w:line="225" w:lineRule="exact"/>
        <w:rPr>
          <w:rFonts w:ascii="Arial" w:cs="Arial" w:eastAsia="Arial" w:hAnsi="Arial"/>
          <w:sz w:val="18"/>
          <w:szCs w:val="18"/>
          <w:color w:val="auto"/>
        </w:rPr>
      </w:pPr>
    </w:p>
    <w:p>
      <w:pPr>
        <w:ind w:left="1960" w:right="120" w:hanging="655"/>
        <w:spacing w:after="0" w:line="277" w:lineRule="auto"/>
        <w:tabs>
          <w:tab w:leader="none" w:pos="1977"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 and</w:t>
      </w:r>
    </w:p>
    <w:p>
      <w:pPr>
        <w:spacing w:after="0" w:line="170" w:lineRule="exact"/>
        <w:rPr>
          <w:rFonts w:ascii="Arial" w:cs="Arial" w:eastAsia="Arial" w:hAnsi="Arial"/>
          <w:sz w:val="18"/>
          <w:szCs w:val="18"/>
          <w:color w:val="auto"/>
        </w:rPr>
      </w:pPr>
    </w:p>
    <w:p>
      <w:pPr>
        <w:ind w:left="1960" w:right="40" w:hanging="655"/>
        <w:spacing w:after="0" w:line="264" w:lineRule="auto"/>
        <w:tabs>
          <w:tab w:leader="none" w:pos="1967"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Defaulting Lender shall only be obliged to transfer its rights and obligations pursuant to paragraph (b) above once it is satisfied that it has complied with all necessary “know your customer” or other similar checks under all applicable laws and regulations in relation to that transfer to the Replacement Lender.</w:t>
      </w:r>
    </w:p>
    <w:p>
      <w:pPr>
        <w:sectPr>
          <w:pgSz w:w="11900" w:h="16850" w:orient="portrait"/>
          <w:cols w:equalWidth="0" w:num="1">
            <w:col w:w="11420"/>
          </w:cols>
          <w:pgMar w:left="240" w:top="125" w:right="239" w:bottom="0" w:gutter="0" w:footer="0" w:header="0"/>
        </w:sectPr>
      </w:pPr>
    </w:p>
    <w:bookmarkStart w:id="58" w:name="page59"/>
    <w:bookmarkEnd w:id="58"/>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64" w:lineRule="auto"/>
        <w:tabs>
          <w:tab w:leader="none" w:pos="131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Defaulting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b w:val="1"/>
          <w:bCs w:val="1"/>
          <w:color w:val="auto"/>
        </w:rPr>
        <w:t>Disclosure of Confidential Information</w:t>
      </w:r>
    </w:p>
    <w:p>
      <w:pPr>
        <w:spacing w:after="0" w:line="229" w:lineRule="exact"/>
        <w:rPr>
          <w:sz w:val="20"/>
          <w:szCs w:val="20"/>
          <w:color w:val="auto"/>
        </w:rPr>
      </w:pPr>
    </w:p>
    <w:p>
      <w:pPr>
        <w:ind w:left="1300" w:right="240" w:hanging="644"/>
        <w:spacing w:after="0" w:line="277" w:lineRule="auto"/>
        <w:tabs>
          <w:tab w:leader="none" w:pos="129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Each Finance Party must keep confidential any information supplied to it by or on behalf of the Borrower in connection with the Finance Documents. However, a Finance Party is entitled to disclose information: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which is publicly available, other than as a result of a breach by that Finance Party of this Clause;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connection with any legal, arbitration or regulatory proceedings or procedure;</w:t>
      </w:r>
    </w:p>
    <w:p>
      <w:pPr>
        <w:spacing w:after="0" w:line="225" w:lineRule="exact"/>
        <w:rPr>
          <w:rFonts w:ascii="Arial" w:cs="Arial" w:eastAsia="Arial" w:hAnsi="Arial"/>
          <w:sz w:val="18"/>
          <w:szCs w:val="18"/>
          <w:color w:val="auto"/>
        </w:rPr>
      </w:pPr>
    </w:p>
    <w:p>
      <w:pPr>
        <w:ind w:left="1960" w:right="80" w:hanging="655"/>
        <w:spacing w:after="0" w:line="264" w:lineRule="auto"/>
        <w:tabs>
          <w:tab w:leader="none" w:pos="20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required to do so under any law or regulation (including, but not limited to any regulation issued under the Banking Act, Chapter 19 of Singapore and applicable to banks in Singapore in relation to the prevention of money laundering and/or countering the financing of terrorism);</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to a governmental, banking, taxation or other regulatory authority;</w:t>
      </w:r>
    </w:p>
    <w:p>
      <w:pPr>
        <w:spacing w:after="0" w:line="225" w:lineRule="exact"/>
        <w:rPr>
          <w:rFonts w:ascii="Arial" w:cs="Arial" w:eastAsia="Arial" w:hAnsi="Arial"/>
          <w:sz w:val="18"/>
          <w:szCs w:val="18"/>
          <w:color w:val="auto"/>
        </w:rPr>
      </w:pPr>
    </w:p>
    <w:p>
      <w:pPr>
        <w:ind w:left="1960" w:right="520" w:hanging="655"/>
        <w:spacing w:after="0" w:line="312" w:lineRule="auto"/>
        <w:tabs>
          <w:tab w:leader="none" w:pos="196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to its professional advisers and any other person providing services to it (including, without limitation, any provider of administrative, agency or settlement services, external auditors, stock exchanges, clearing houses and other financial market utilities)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such person is under a duty of confidentiality, contractual or otherwise, to that Finance Party;</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to any person whom a Finance Party reasonably believes to be an advisor, agent or representative of any Obligor or its affiliates;</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to the head office, branches, representative offices, Subsidiaries, related corporations or Affiliate of any Finance Party (each a</w:t>
      </w:r>
    </w:p>
    <w:p>
      <w:pPr>
        <w:spacing w:after="0" w:line="46" w:lineRule="exact"/>
        <w:rPr>
          <w:sz w:val="20"/>
          <w:szCs w:val="20"/>
          <w:color w:val="auto"/>
        </w:rPr>
      </w:pPr>
    </w:p>
    <w:p>
      <w:pPr>
        <w:ind w:left="196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Related Party</w:t>
      </w:r>
      <w:r>
        <w:rPr>
          <w:rFonts w:ascii="Arial" w:cs="Arial" w:eastAsia="Arial" w:hAnsi="Arial"/>
          <w:sz w:val="18"/>
          <w:szCs w:val="18"/>
          <w:color w:val="auto"/>
        </w:rPr>
        <w:t>”) and each Finance Party Related Party shall be permitted to disclose information as if it were a Finance Party;</w:t>
      </w:r>
    </w:p>
    <w:p>
      <w:pPr>
        <w:spacing w:after="0" w:line="184" w:lineRule="exact"/>
        <w:rPr>
          <w:sz w:val="20"/>
          <w:szCs w:val="20"/>
          <w:color w:val="auto"/>
        </w:rPr>
      </w:pPr>
    </w:p>
    <w:p>
      <w:pPr>
        <w:ind w:left="1980" w:hanging="675"/>
        <w:spacing w:after="0"/>
        <w:tabs>
          <w:tab w:leader="none" w:pos="1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any person permitted by any Obligor;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any Obligor;</w:t>
      </w:r>
    </w:p>
    <w:p>
      <w:pPr>
        <w:spacing w:after="0" w:line="221" w:lineRule="exact"/>
        <w:rPr>
          <w:rFonts w:ascii="Arial" w:cs="Arial" w:eastAsia="Arial" w:hAnsi="Arial"/>
          <w:sz w:val="18"/>
          <w:szCs w:val="18"/>
          <w:color w:val="auto"/>
        </w:rPr>
      </w:pPr>
    </w:p>
    <w:p>
      <w:pPr>
        <w:ind w:left="1960" w:right="20" w:hanging="655"/>
        <w:spacing w:after="0" w:line="277" w:lineRule="auto"/>
        <w:tabs>
          <w:tab w:leader="none" w:pos="1967"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to the International Swaps and Derivatives Association, Inc. (“</w:t>
      </w:r>
      <w:r>
        <w:rPr>
          <w:rFonts w:ascii="Arial" w:cs="Arial" w:eastAsia="Arial" w:hAnsi="Arial"/>
          <w:sz w:val="17"/>
          <w:szCs w:val="17"/>
          <w:b w:val="1"/>
          <w:bCs w:val="1"/>
          <w:color w:val="auto"/>
        </w:rPr>
        <w:t>ISDA</w:t>
      </w:r>
      <w:r>
        <w:rPr>
          <w:rFonts w:ascii="Arial" w:cs="Arial" w:eastAsia="Arial" w:hAnsi="Arial"/>
          <w:sz w:val="17"/>
          <w:szCs w:val="17"/>
          <w:color w:val="auto"/>
        </w:rPr>
        <w:t>”) or any Credit Derivatives Determination Committee or sub-committee of ISDA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to any person for the purpose of obtaining a valuation in connection with a Participation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Finance Party may disclose to:</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 Affiliate;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 transferee or assignee;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 Participant;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potential transferee or assignee;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potential Participant; or</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7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person who invests in or otherwise finances (or may potentially invest in or otherwise finance), directly or indirectly, any person referred to in paragraph (b)(i) to (b)(v) above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 copy of any Finance Document;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any information which that Finance Party has acquired under or in connection with any Finance Document.</w:t>
      </w:r>
    </w:p>
    <w:p>
      <w:pPr>
        <w:spacing w:after="0" w:line="225"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However, before a potential transferee, assignee, investor or Participant may receive any confidential information, it must either agree with the relevant Finance Party to keep that information confidential on the terms of paragraph (a) above or execute in favour of the relevant Finance Party a confidentiality agreement in a form customarily required by that Finance Party, but on the basis that that potential transferee, assignee, investor or Participant may itself disclose the documents and information referred to in sub-paragraphs (A) and (B) to an Affiliate or any person with whom it may enter, or has entered into, any kind of transfer of an economic or other interest in, or related to, this Agreement so long as the relevant transferee</w:t>
      </w:r>
    </w:p>
    <w:p>
      <w:pPr>
        <w:sectPr>
          <w:pgSz w:w="11900" w:h="16941" w:orient="portrait"/>
          <w:cols w:equalWidth="0" w:num="1">
            <w:col w:w="11400"/>
          </w:cols>
          <w:pgMar w:left="240" w:top="341" w:right="259" w:bottom="0" w:gutter="0" w:footer="0" w:header="0"/>
        </w:sectPr>
      </w:pPr>
    </w:p>
    <w:bookmarkStart w:id="59" w:name="page60"/>
    <w:bookmarkEnd w:id="59"/>
    <w:p>
      <w:pPr>
        <w:spacing w:after="0" w:line="137"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8"/>
          <w:szCs w:val="18"/>
          <w:color w:val="auto"/>
        </w:rPr>
        <w:t>agrees with that potential transferee, assignee, investor or Participant to keep that information confidential on the terms of paragraph (a) above or executes in favour of that potential transferee, assignee, investor or Participant a confidentiality agreement in a form customarily required by that potential transferee, assignee, investor or Participant.</w:t>
      </w:r>
    </w:p>
    <w:p>
      <w:pPr>
        <w:spacing w:after="0" w:line="181" w:lineRule="exact"/>
        <w:rPr>
          <w:sz w:val="20"/>
          <w:szCs w:val="20"/>
          <w:color w:val="auto"/>
        </w:rPr>
      </w:pPr>
    </w:p>
    <w:p>
      <w:pPr>
        <w:ind w:left="1300" w:hanging="644"/>
        <w:spacing w:after="0" w:line="302" w:lineRule="auto"/>
        <w:tabs>
          <w:tab w:leader="none" w:pos="131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respect of any data or information (including, without limitation, data covered by banking secrecy and/or personal data laws) regarding an individual (including without limitation, any employees of any Obligor or their affiliates) (“</w:t>
      </w:r>
      <w:r>
        <w:rPr>
          <w:rFonts w:ascii="Arial" w:cs="Arial" w:eastAsia="Arial" w:hAnsi="Arial"/>
          <w:sz w:val="16"/>
          <w:szCs w:val="16"/>
          <w:b w:val="1"/>
          <w:bCs w:val="1"/>
          <w:color w:val="auto"/>
        </w:rPr>
        <w:t>Individual Data</w:t>
      </w:r>
      <w:r>
        <w:rPr>
          <w:rFonts w:ascii="Arial" w:cs="Arial" w:eastAsia="Arial" w:hAnsi="Arial"/>
          <w:sz w:val="16"/>
          <w:szCs w:val="16"/>
          <w:color w:val="auto"/>
        </w:rPr>
        <w:t>”) provided to any Finance Party, each Obligor represents and warrants that it has obtained each relevant individual’s prior consent to the collection, use, disclosure and processing of his/her Individual Data by the Finance Parties, and that such Individual Data is true, accurate and complete.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40" w:hanging="644"/>
        <w:spacing w:after="0" w:line="277" w:lineRule="auto"/>
        <w:tabs>
          <w:tab w:leader="none" w:pos="130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This Clause supersedes any previous confidentiality undertaking given by a Finance Party in connection with this Agreement prior to it becoming a Party.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b w:val="1"/>
          <w:bCs w:val="1"/>
          <w:color w:val="auto"/>
        </w:rPr>
        <w:t>Disclosure to numbering service providers</w:t>
      </w:r>
    </w:p>
    <w:p>
      <w:pPr>
        <w:spacing w:after="0" w:line="229" w:lineRule="exact"/>
        <w:rPr>
          <w:sz w:val="20"/>
          <w:szCs w:val="20"/>
          <w:color w:val="auto"/>
        </w:rPr>
      </w:pPr>
    </w:p>
    <w:p>
      <w:pPr>
        <w:ind w:left="1300" w:right="360" w:hanging="644"/>
        <w:spacing w:after="0" w:line="342" w:lineRule="auto"/>
        <w:tabs>
          <w:tab w:leader="none" w:pos="129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Clause 38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names of the Agent and the Mandated Lead Arrangers;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amounts of, and names of, the Facility (and any tranches);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Final Repayment Date for Facility;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jc w:val="both"/>
        <w:ind w:left="1300" w:right="20" w:hanging="644"/>
        <w:spacing w:after="0" w:line="264" w:lineRule="auto"/>
        <w:tabs>
          <w:tab w:leader="none" w:pos="130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80" w:hanging="644"/>
        <w:spacing w:after="0" w:line="277" w:lineRule="auto"/>
        <w:tabs>
          <w:tab w:leader="none" w:pos="131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(a)(i) to (a)(xv) above is, nor will at any time be, unpublished price-sensitive information.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25" w:lineRule="exact"/>
        <w:rPr>
          <w:rFonts w:ascii="Arial" w:cs="Arial" w:eastAsia="Arial" w:hAnsi="Arial"/>
          <w:sz w:val="18"/>
          <w:szCs w:val="18"/>
          <w:color w:val="auto"/>
        </w:rPr>
      </w:pPr>
    </w:p>
    <w:p>
      <w:pPr>
        <w:ind w:left="1960" w:right="100" w:hanging="655"/>
        <w:spacing w:after="0" w:line="277" w:lineRule="auto"/>
        <w:tabs>
          <w:tab w:leader="none" w:pos="198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70" w:lineRule="exact"/>
        <w:rPr>
          <w:rFonts w:ascii="Arial" w:cs="Arial" w:eastAsia="Arial" w:hAnsi="Arial"/>
          <w:sz w:val="18"/>
          <w:szCs w:val="18"/>
          <w:color w:val="auto"/>
        </w:rPr>
      </w:pPr>
    </w:p>
    <w:p>
      <w:pPr>
        <w:ind w:left="1960" w:right="680" w:hanging="655"/>
        <w:spacing w:after="0" w:line="277" w:lineRule="auto"/>
        <w:tabs>
          <w:tab w:leader="none" w:pos="199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660" w:right="680"/>
        <w:spacing w:after="0" w:line="342" w:lineRule="auto"/>
        <w:rPr>
          <w:sz w:val="20"/>
          <w:szCs w:val="20"/>
          <w:color w:val="auto"/>
        </w:rPr>
      </w:pPr>
      <w:r>
        <w:rPr>
          <w:rFonts w:ascii="Arial" w:cs="Arial" w:eastAsia="Arial" w:hAnsi="Arial"/>
          <w:sz w:val="16"/>
          <w:szCs w:val="16"/>
          <w:color w:val="auto"/>
        </w:rPr>
        <w:t>This Clause 35.3 constitutes the entire agreement between the Parties in relation to the obligations of the Finance Parties under the Finance Documents regarding Confidential Information and supersedes any previous agreement, whether express or implied, regarding Confidential</w:t>
      </w:r>
    </w:p>
    <w:p>
      <w:pPr>
        <w:sectPr>
          <w:pgSz w:w="11900" w:h="16975" w:orient="portrait"/>
          <w:cols w:equalWidth="0" w:num="1">
            <w:col w:w="11400"/>
          </w:cols>
          <w:pgMar w:left="240" w:top="125" w:right="259" w:bottom="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Information.</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b w:val="1"/>
          <w:bCs w:val="1"/>
          <w:color w:val="auto"/>
        </w:rPr>
        <w:t>Inside information</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5"/>
          <w:szCs w:val="15"/>
          <w:b w:val="1"/>
          <w:bCs w:val="1"/>
          <w:color w:val="auto"/>
        </w:rPr>
        <w:t>Notification of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225" w:lineRule="exact"/>
        <w:rPr>
          <w:sz w:val="20"/>
          <w:szCs w:val="20"/>
          <w:color w:val="auto"/>
        </w:rPr>
      </w:pPr>
    </w:p>
    <w:p>
      <w:pPr>
        <w:ind w:left="1300" w:right="240" w:hanging="644"/>
        <w:spacing w:after="0" w:line="264" w:lineRule="auto"/>
        <w:tabs>
          <w:tab w:leader="none" w:pos="129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(a)(ii) of Clause 35.2 except where such disclosure is made to any of the persons referred to in that paragraph during the ordinary course of its supervisory or regulatory function;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35.5.</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6"/>
          <w:szCs w:val="16"/>
          <w:b w:val="1"/>
          <w:bCs w:val="1"/>
          <w:color w:val="auto"/>
        </w:rPr>
        <w:t>Continuing obligations</w:t>
      </w:r>
    </w:p>
    <w:p>
      <w:pPr>
        <w:spacing w:after="0" w:line="229"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obligations in this Clause 35.6 are continuing and, in particular, shall survive and remain binding on each Finance Party for a period of 12 months from the earlier of:</w:t>
      </w:r>
    </w:p>
    <w:p>
      <w:pPr>
        <w:spacing w:after="0" w:line="170" w:lineRule="exact"/>
        <w:rPr>
          <w:sz w:val="20"/>
          <w:szCs w:val="20"/>
          <w:color w:val="auto"/>
        </w:rPr>
      </w:pPr>
    </w:p>
    <w:p>
      <w:pPr>
        <w:ind w:left="1300" w:right="860" w:hanging="644"/>
        <w:spacing w:after="0" w:line="277" w:lineRule="auto"/>
        <w:tabs>
          <w:tab w:leader="none" w:pos="129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b w:val="1"/>
          <w:bCs w:val="1"/>
          <w:color w:val="auto"/>
        </w:rPr>
        <w:t>Confidentiality and disclosure</w:t>
      </w:r>
    </w:p>
    <w:p>
      <w:pPr>
        <w:spacing w:after="0" w:line="229" w:lineRule="exact"/>
        <w:rPr>
          <w:sz w:val="20"/>
          <w:szCs w:val="20"/>
          <w:color w:val="auto"/>
        </w:rPr>
      </w:pPr>
    </w:p>
    <w:p>
      <w:pPr>
        <w:ind w:left="1300" w:right="160" w:hanging="644"/>
        <w:spacing w:after="0" w:line="277" w:lineRule="auto"/>
        <w:tabs>
          <w:tab w:leader="none" w:pos="129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confidential and not to disclose it to anyone, save to the extent permitted by paragraphs (b) and (c) below.</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Funding Rate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60" w:hanging="655"/>
        <w:spacing w:after="0" w:line="257" w:lineRule="auto"/>
        <w:tabs>
          <w:tab w:leader="none" w:pos="199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Agent may disclose any Funding Rate, and each Obligor may disclose any Funding Rate, to:</w:t>
      </w:r>
    </w:p>
    <w:p>
      <w:pPr>
        <w:spacing w:after="0" w:line="225" w:lineRule="exact"/>
        <w:rPr>
          <w:rFonts w:ascii="Arial" w:cs="Arial" w:eastAsia="Arial" w:hAnsi="Arial"/>
          <w:sz w:val="18"/>
          <w:szCs w:val="18"/>
          <w:color w:val="auto"/>
        </w:rPr>
      </w:pPr>
    </w:p>
    <w:p>
      <w:pPr>
        <w:ind w:left="1960" w:right="80" w:hanging="655"/>
        <w:spacing w:after="0" w:line="257" w:lineRule="auto"/>
        <w:tabs>
          <w:tab w:leader="none" w:pos="198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88" w:lineRule="exact"/>
        <w:rPr>
          <w:rFonts w:ascii="Arial" w:cs="Arial" w:eastAsia="Arial" w:hAnsi="Arial"/>
          <w:sz w:val="18"/>
          <w:szCs w:val="18"/>
          <w:color w:val="auto"/>
        </w:rPr>
      </w:pPr>
    </w:p>
    <w:p>
      <w:pPr>
        <w:ind w:left="1960" w:right="140" w:hanging="655"/>
        <w:spacing w:after="0" w:line="255" w:lineRule="auto"/>
        <w:tabs>
          <w:tab w:leader="none" w:pos="199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(including the U.S. Securities and Exchange Commission),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93" w:lineRule="exact"/>
        <w:rPr>
          <w:rFonts w:ascii="Arial" w:cs="Arial" w:eastAsia="Arial" w:hAnsi="Arial"/>
          <w:sz w:val="18"/>
          <w:szCs w:val="18"/>
          <w:color w:val="auto"/>
        </w:rPr>
      </w:pPr>
    </w:p>
    <w:p>
      <w:pPr>
        <w:ind w:left="1960" w:right="20" w:hanging="655"/>
        <w:spacing w:after="0" w:line="257" w:lineRule="auto"/>
        <w:tabs>
          <w:tab w:leader="none" w:pos="20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ectPr>
          <w:pgSz w:w="11900" w:h="16838" w:orient="portrait"/>
          <w:cols w:equalWidth="0" w:num="1">
            <w:col w:w="11400"/>
          </w:cols>
          <w:pgMar w:left="240" w:top="125" w:right="259" w:bottom="0" w:gutter="0" w:footer="0" w:header="0"/>
        </w:sectPr>
      </w:pPr>
    </w:p>
    <w:bookmarkStart w:id="61" w:name="page62"/>
    <w:bookmarkEnd w:id="61"/>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b w:val="1"/>
          <w:bCs w:val="1"/>
          <w:color w:val="auto"/>
        </w:rPr>
        <w:t>Related obligations</w:t>
      </w:r>
    </w:p>
    <w:p>
      <w:pPr>
        <w:spacing w:after="0" w:line="229" w:lineRule="exact"/>
        <w:rPr>
          <w:sz w:val="20"/>
          <w:szCs w:val="20"/>
          <w:color w:val="auto"/>
        </w:rPr>
      </w:pPr>
    </w:p>
    <w:p>
      <w:pPr>
        <w:jc w:val="both"/>
        <w:ind w:left="1300" w:right="20" w:hanging="644"/>
        <w:spacing w:after="0" w:line="264" w:lineRule="auto"/>
        <w:tabs>
          <w:tab w:leader="none" w:pos="129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w:t>
      </w:r>
    </w:p>
    <w:p>
      <w:pPr>
        <w:spacing w:after="0" w:line="225" w:lineRule="exact"/>
        <w:rPr>
          <w:rFonts w:ascii="Arial" w:cs="Arial" w:eastAsia="Arial" w:hAnsi="Arial"/>
          <w:sz w:val="18"/>
          <w:szCs w:val="18"/>
          <w:color w:val="auto"/>
        </w:rPr>
      </w:pPr>
    </w:p>
    <w:p>
      <w:pPr>
        <w:jc w:val="both"/>
        <w:ind w:left="1960" w:right="200" w:hanging="655"/>
        <w:spacing w:after="0" w:line="264" w:lineRule="auto"/>
        <w:tabs>
          <w:tab w:leader="none" w:pos="198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36.1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36.</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b w:val="1"/>
          <w:bCs w:val="1"/>
          <w:color w:val="auto"/>
        </w:rPr>
        <w:t>No Event of Default</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 Event of Default will occur under Clause 22.4 (</w:t>
      </w:r>
      <w:r>
        <w:rPr>
          <w:rFonts w:ascii="Arial" w:cs="Arial" w:eastAsia="Arial" w:hAnsi="Arial"/>
          <w:sz w:val="18"/>
          <w:szCs w:val="18"/>
          <w:i w:val="1"/>
          <w:iCs w:val="1"/>
          <w:color w:val="auto"/>
        </w:rPr>
        <w:t>Other obligations</w:t>
      </w:r>
      <w:r>
        <w:rPr>
          <w:rFonts w:ascii="Arial" w:cs="Arial" w:eastAsia="Arial" w:hAnsi="Arial"/>
          <w:sz w:val="18"/>
          <w:szCs w:val="18"/>
          <w:color w:val="auto"/>
        </w:rPr>
        <w:t>) by reason only of an Obligor’s failure to comply with this Clause 36.</w:t>
      </w:r>
    </w:p>
    <w:p>
      <w:pPr>
        <w:spacing w:after="0" w:line="221"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LAW AND ENFORCEMENT</w:t>
      </w:r>
    </w:p>
    <w:p>
      <w:pPr>
        <w:spacing w:after="0" w:line="207"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Agreement and all non-contractual obligations arising from or in connection with this Agreement are governed by English law.</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b w:val="1"/>
          <w:bCs w:val="1"/>
          <w:color w:val="auto"/>
        </w:rPr>
        <w:t>Jurisdiction of English courts</w:t>
      </w:r>
    </w:p>
    <w:p>
      <w:pPr>
        <w:spacing w:after="0" w:line="229" w:lineRule="exact"/>
        <w:rPr>
          <w:sz w:val="20"/>
          <w:szCs w:val="20"/>
          <w:color w:val="auto"/>
        </w:rPr>
      </w:pPr>
    </w:p>
    <w:p>
      <w:pPr>
        <w:ind w:left="1300" w:right="80" w:hanging="644"/>
        <w:spacing w:after="0" w:line="264" w:lineRule="auto"/>
        <w:tabs>
          <w:tab w:leader="none" w:pos="129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any dispute regarding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70" w:lineRule="exact"/>
        <w:rPr>
          <w:rFonts w:ascii="Arial" w:cs="Arial" w:eastAsia="Arial" w:hAnsi="Arial"/>
          <w:sz w:val="18"/>
          <w:szCs w:val="18"/>
          <w:color w:val="auto"/>
        </w:rPr>
      </w:pPr>
    </w:p>
    <w:p>
      <w:pPr>
        <w:ind w:left="1300" w:right="300" w:hanging="644"/>
        <w:spacing w:after="0" w:line="264" w:lineRule="auto"/>
        <w:tabs>
          <w:tab w:leader="none" w:pos="131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This Clause 39.1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5"/>
          <w:szCs w:val="15"/>
          <w:b w:val="1"/>
          <w:bCs w:val="1"/>
          <w:color w:val="auto"/>
        </w:rPr>
        <w:t>Service of process</w:t>
      </w:r>
    </w:p>
    <w:p>
      <w:pPr>
        <w:spacing w:after="0" w:line="229"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Obligor:</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81"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any Finance Document; and</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relevant Obligor of the process will not invalidate the proceedings concerned.</w:t>
      </w:r>
    </w:p>
    <w:p>
      <w:pPr>
        <w:spacing w:after="0" w:line="248" w:lineRule="exact"/>
        <w:rPr>
          <w:rFonts w:ascii="Arial" w:cs="Arial" w:eastAsia="Arial" w:hAnsi="Arial"/>
          <w:sz w:val="16"/>
          <w:szCs w:val="16"/>
          <w:color w:val="auto"/>
        </w:rPr>
      </w:pPr>
    </w:p>
    <w:p>
      <w:pPr>
        <w:ind w:left="1300" w:right="260" w:hanging="644"/>
        <w:spacing w:after="0" w:line="264" w:lineRule="auto"/>
        <w:tabs>
          <w:tab w:leader="none" w:pos="130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any person appointed as a process agent is unable for any reason to act as agent for service of process, each Obligor must immediately (and in any event within three days of such event taking place) appoint another agent on terms acceptable to the Agent. Failing this, the Agent may appoint another agent for this purpose.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expressly agrees and consents to the provisions of this Clause 39.2.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b w:val="1"/>
          <w:bCs w:val="1"/>
          <w:color w:val="auto"/>
        </w:rPr>
        <w:t>Waiver of immunities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Each Obligor irrevocably waives, to the extent permitted by applicable law, with respect to itself and its revenues and assets (irrespective of their use or intended use), all immunity on the grounds of sovereignty or other similar grounds from:</w:t>
      </w:r>
    </w:p>
    <w:p>
      <w:pPr>
        <w:spacing w:after="0" w:line="170" w:lineRule="exact"/>
        <w:rPr>
          <w:sz w:val="20"/>
          <w:szCs w:val="20"/>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suit;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jurisdiction of any court;</w:t>
      </w:r>
    </w:p>
    <w:p>
      <w:pPr>
        <w:sectPr>
          <w:pgSz w:w="11900" w:h="16874" w:orient="portrait"/>
          <w:cols w:equalWidth="0" w:num="1">
            <w:col w:w="11400"/>
          </w:cols>
          <w:pgMar w:left="240" w:top="121" w:right="259" w:bottom="0" w:gutter="0" w:footer="0" w:header="0"/>
        </w:sectPr>
      </w:pPr>
    </w:p>
    <w:bookmarkStart w:id="62" w:name="page63"/>
    <w:bookmarkEnd w:id="62"/>
    <w:p>
      <w:pPr>
        <w:ind w:left="1320" w:hanging="664"/>
        <w:spacing w:after="0"/>
        <w:tabs>
          <w:tab w:leader="none" w:pos="13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relief by way of injunction or order for specific performance or recovery of property;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attachment of its assets (whether before or after judgment); and</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1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ORIGINAL LENDERS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Name of Original Lender</w:t>
            </w: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Commitment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20" w:type="dxa"/>
            <w:vAlign w:val="bottom"/>
            <w:tcBorders>
              <w:top w:val="single" w:sz="8" w:color="auto"/>
            </w:tcBorders>
          </w:tcPr>
          <w:p>
            <w:pPr>
              <w:spacing w:after="0"/>
              <w:rPr>
                <w:sz w:val="12"/>
                <w:szCs w:val="12"/>
                <w:color w:val="auto"/>
              </w:rPr>
            </w:pPr>
          </w:p>
        </w:tc>
        <w:tc>
          <w:tcPr>
            <w:tcW w:w="4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Senior Funding, Inc.</w:t>
            </w:r>
          </w:p>
        </w:tc>
        <w:tc>
          <w:tcPr>
            <w:tcW w:w="4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US$</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AG, Singapore Branch</w:t>
            </w:r>
          </w:p>
        </w:tc>
        <w:tc>
          <w:tcPr>
            <w:tcW w:w="4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US$</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60" w:type="dxa"/>
            <w:vAlign w:val="bottom"/>
          </w:tcPr>
          <w:p>
            <w:pPr>
              <w:jc w:val="right"/>
              <w:ind w:right="247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Obligors</w:t>
      </w:r>
    </w:p>
    <w:p>
      <w:pPr>
        <w:spacing w:after="0" w:line="229"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21"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w:t>
      </w:r>
    </w:p>
    <w:p>
      <w:pPr>
        <w:spacing w:after="0" w:line="225" w:lineRule="exact"/>
        <w:rPr>
          <w:rFonts w:ascii="Arial" w:cs="Arial" w:eastAsia="Arial" w:hAnsi="Arial"/>
          <w:sz w:val="18"/>
          <w:szCs w:val="18"/>
          <w:color w:val="auto"/>
        </w:rPr>
      </w:pPr>
    </w:p>
    <w:p>
      <w:pPr>
        <w:ind w:left="1300" w:right="420" w:hanging="644"/>
        <w:spacing w:after="0" w:line="342" w:lineRule="auto"/>
        <w:tabs>
          <w:tab w:leader="none" w:pos="134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if relevant, the Utilisation Request) to be signed and/or despatched by it under or in connection with the Finance Documents to which it is a party; and</w:t>
      </w:r>
    </w:p>
    <w:p>
      <w:pPr>
        <w:spacing w:after="0" w:line="123" w:lineRule="exact"/>
        <w:rPr>
          <w:rFonts w:ascii="Arial" w:cs="Arial" w:eastAsia="Arial" w:hAnsi="Arial"/>
          <w:sz w:val="16"/>
          <w:szCs w:val="16"/>
          <w:color w:val="auto"/>
        </w:rPr>
      </w:pPr>
    </w:p>
    <w:p>
      <w:pPr>
        <w:ind w:left="1300" w:right="520" w:hanging="644"/>
        <w:spacing w:after="0" w:line="277" w:lineRule="auto"/>
        <w:tabs>
          <w:tab w:leader="none" w:pos="131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the case of the Guarantor, resolving that it is in the best interests of the Guarantor to enter into the transactions contemplated by the Finance Documents to which it is a party, giving reasons.</w:t>
      </w:r>
    </w:p>
    <w:p>
      <w:pPr>
        <w:spacing w:after="0" w:line="170" w:lineRule="exact"/>
        <w:rPr>
          <w:rFonts w:ascii="Arial" w:cs="Arial" w:eastAsia="Arial" w:hAnsi="Arial"/>
          <w:sz w:val="18"/>
          <w:szCs w:val="18"/>
          <w:color w:val="auto"/>
        </w:rPr>
      </w:pPr>
    </w:p>
    <w:p>
      <w:pPr>
        <w:ind w:left="660" w:right="140" w:hanging="652"/>
        <w:spacing w:after="0" w:line="342" w:lineRule="auto"/>
        <w:tabs>
          <w:tab w:leader="none" w:pos="67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specimen of the signature of each person authorised by the resolution referred to in paragraph (b) above provided that in the event that the specimen signature of any person so authorised is not provided, such person shall not be an authorised signatory for the purposes of this Agreement.</w:t>
      </w:r>
    </w:p>
    <w:p>
      <w:pPr>
        <w:spacing w:after="0" w:line="123" w:lineRule="exact"/>
        <w:rPr>
          <w:rFonts w:ascii="Arial" w:cs="Arial" w:eastAsia="Arial" w:hAnsi="Arial"/>
          <w:sz w:val="16"/>
          <w:szCs w:val="16"/>
          <w:color w:val="auto"/>
        </w:rPr>
      </w:pPr>
    </w:p>
    <w:p>
      <w:pPr>
        <w:ind w:left="660" w:right="200" w:hanging="652"/>
        <w:spacing w:after="0" w:line="277" w:lineRule="auto"/>
        <w:tabs>
          <w:tab w:leader="none" w:pos="66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copy of a resolution signed by all the holders of the issued shares in the Guarantor, approving the terms of, and the transactions contemplated by, the Finance Documents to which the Guarantor is a party.</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7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certificate from each Obligor (signed by a director) confirming that borrowing or guaranteeing, as appropriate, the Total Commitments would not cause any borrowing, guaranteeing or similar limit binding on it to be exceeded.</w:t>
      </w:r>
    </w:p>
    <w:p>
      <w:pPr>
        <w:spacing w:after="0" w:line="170" w:lineRule="exact"/>
        <w:rPr>
          <w:rFonts w:ascii="Arial" w:cs="Arial" w:eastAsia="Arial" w:hAnsi="Arial"/>
          <w:sz w:val="18"/>
          <w:szCs w:val="18"/>
          <w:color w:val="auto"/>
        </w:rPr>
      </w:pPr>
    </w:p>
    <w:p>
      <w:pPr>
        <w:ind w:left="660" w:right="520" w:hanging="652"/>
        <w:spacing w:after="0" w:line="277" w:lineRule="auto"/>
        <w:tabs>
          <w:tab w:leader="none" w:pos="6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Obligor certifying that each copy document relating to it specified in this Schedule 2 is correct, complete and in full force and effect as at a date no earlier than the date of this Agreement.</w:t>
      </w:r>
    </w:p>
    <w:p>
      <w:pPr>
        <w:spacing w:after="0" w:line="166"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229" w:lineRule="exact"/>
        <w:rPr>
          <w:sz w:val="20"/>
          <w:szCs w:val="20"/>
          <w:color w:val="auto"/>
        </w:rPr>
      </w:pPr>
    </w:p>
    <w:p>
      <w:pPr>
        <w:ind w:left="660" w:right="200" w:hanging="652"/>
        <w:spacing w:after="0" w:line="277" w:lineRule="auto"/>
        <w:tabs>
          <w:tab w:leader="none" w:pos="65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legal opinion in relation to English law from Latham &amp; Watkins addressed to the Mandated Lead Arrangers, the Agent and the Original Lenders, substantially in the form distributed to the Original Lenders prior to signing this Agreement.</w:t>
      </w:r>
    </w:p>
    <w:p>
      <w:pPr>
        <w:spacing w:after="0" w:line="170" w:lineRule="exact"/>
        <w:rPr>
          <w:rFonts w:ascii="Arial" w:cs="Arial" w:eastAsia="Arial" w:hAnsi="Arial"/>
          <w:sz w:val="18"/>
          <w:szCs w:val="18"/>
          <w:color w:val="auto"/>
        </w:rPr>
      </w:pPr>
    </w:p>
    <w:p>
      <w:pPr>
        <w:ind w:left="660" w:right="560" w:hanging="652"/>
        <w:spacing w:after="0" w:line="277" w:lineRule="auto"/>
        <w:tabs>
          <w:tab w:leader="none" w:pos="66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legal opinion in relation to Hong Kong law from Latham &amp; Watkins addressed to the Mandated Lead Arrangers, the Agent and the Original Lenders, substantially in the form distributed to the Original Lenders prior to signing this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hanging="652"/>
        <w:spacing w:after="0" w:line="277" w:lineRule="auto"/>
        <w:tabs>
          <w:tab w:leader="none" w:pos="67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legal opinion as to the laws of Cayman Island from Travers Thorp Alberga addressed to the Mandated Lead Arrangers, the Agent and the Original Lenders, substantially in the form distributed to the Original Lenders prior to signing this Agreement.</w:t>
      </w:r>
    </w:p>
    <w:p>
      <w:pPr>
        <w:sectPr>
          <w:pgSz w:w="11900" w:h="16838" w:orient="portrait"/>
          <w:cols w:equalWidth="0" w:num="1">
            <w:col w:w="11460"/>
          </w:cols>
          <w:pgMar w:left="240" w:top="341" w:right="199" w:bottom="31" w:gutter="0" w:footer="0" w:header="0"/>
        </w:sectPr>
      </w:pPr>
    </w:p>
    <w:bookmarkStart w:id="63" w:name="page64"/>
    <w:bookmarkEnd w:id="63"/>
    <w:p>
      <w:pPr>
        <w:spacing w:after="0" w:line="91" w:lineRule="exact"/>
        <w:rPr>
          <w:sz w:val="20"/>
          <w:szCs w:val="20"/>
          <w:color w:val="auto"/>
        </w:rPr>
      </w:pPr>
    </w:p>
    <w:p>
      <w:pPr>
        <w:ind w:left="660" w:right="100" w:hanging="652"/>
        <w:spacing w:after="0" w:line="277" w:lineRule="auto"/>
        <w:tabs>
          <w:tab w:leader="none" w:pos="66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legal opinion from Fangda Partners in relation to the filing of this Facility with NDRC addressed to the Mandated Lead Arrangers, the Agent and the Original Lenders, substantially in the form distributed to the Original Lenders prior to signing this Agreement.</w:t>
      </w:r>
    </w:p>
    <w:p>
      <w:pPr>
        <w:spacing w:after="0" w:line="166"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229"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39.2 (</w:t>
      </w:r>
      <w:r>
        <w:rPr>
          <w:rFonts w:ascii="Arial" w:cs="Arial" w:eastAsia="Arial" w:hAnsi="Arial"/>
          <w:sz w:val="18"/>
          <w:szCs w:val="18"/>
          <w:i w:val="1"/>
          <w:iCs w:val="1"/>
          <w:color w:val="auto"/>
        </w:rPr>
        <w:t>Service of process</w:t>
      </w:r>
      <w:r>
        <w:rPr>
          <w:rFonts w:ascii="Arial" w:cs="Arial" w:eastAsia="Arial" w:hAnsi="Arial"/>
          <w:sz w:val="18"/>
          <w:szCs w:val="18"/>
          <w:color w:val="auto"/>
        </w:rPr>
        <w:t>) has accepted its appointment.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latest group structure chart (the “</w:t>
      </w:r>
      <w:r>
        <w:rPr>
          <w:rFonts w:ascii="Arial" w:cs="Arial" w:eastAsia="Arial" w:hAnsi="Arial"/>
          <w:sz w:val="18"/>
          <w:szCs w:val="18"/>
          <w:b w:val="1"/>
          <w:bCs w:val="1"/>
          <w:color w:val="auto"/>
        </w:rPr>
        <w:t>Group Structure Chart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Copies of VIE documents in respect of Guangzhou Vipshop Information Technology Co., Ltd.</w:t>
      </w:r>
    </w:p>
    <w:p>
      <w:pPr>
        <w:spacing w:after="0" w:line="225" w:lineRule="exact"/>
        <w:rPr>
          <w:rFonts w:ascii="Arial" w:cs="Arial" w:eastAsia="Arial" w:hAnsi="Arial"/>
          <w:sz w:val="18"/>
          <w:szCs w:val="18"/>
          <w:color w:val="auto"/>
        </w:rPr>
      </w:pPr>
    </w:p>
    <w:p>
      <w:pPr>
        <w:ind w:left="660" w:hanging="652"/>
        <w:spacing w:after="0" w:line="255" w:lineRule="auto"/>
        <w:tabs>
          <w:tab w:leader="none" w:pos="66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Evidence that the filing application in relation to the Take-out Debt Offering, including any and all the application documents required by NDRC, have been submitted to NDRC by 28 February 2017 or the next earliest possible date before the Utilisation Date if such filing application cannot be submitted to NDRC by 28 February 2017 due to the unavailability of the NDRC personnel or supplements, modifications and/or corrections required by NDRC, in each case together with the presence of one or more representatives of the Finance Parties; and a certificate from the Borrower confirming that to its best knowledge, the Borrower’s NDRC filing has not been rejected by NDRC prior to the Utilisation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merely requiring additional information, supplements, modifications and/or corrections by NDRC shall not be deemed to be a rejection by NDRC of the Borrower’s filing.</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Satisfactory supplier &amp; legal due diligence.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Evidence that there is no contractual dividend repatriation limitation from onshore Group members for offshore distribution.</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Details and evidence of aggregate amount of put notifications from holders of the Convertible Bonds.</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Evidence that the Borrower’s long-term corporate credit rating/foreign currency long-term issuer default rating/issuer rating (as applicable) is rated at BBB/BBB+/Baa1 or above (as applicable) by S&amp;P, Fitch and/or Moody’s.</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copy of the Take-out Engagement Letter executed and delivered by each of the parties thereto.</w:t>
      </w:r>
    </w:p>
    <w:p>
      <w:pPr>
        <w:spacing w:after="0" w:line="225" w:lineRule="exact"/>
        <w:rPr>
          <w:rFonts w:ascii="Arial" w:cs="Arial" w:eastAsia="Arial" w:hAnsi="Arial"/>
          <w:sz w:val="18"/>
          <w:szCs w:val="18"/>
          <w:color w:val="auto"/>
        </w:rPr>
      </w:pPr>
    </w:p>
    <w:p>
      <w:pPr>
        <w:ind w:left="660" w:right="260" w:hanging="652"/>
        <w:spacing w:after="0" w:line="264" w:lineRule="auto"/>
        <w:tabs>
          <w:tab w:leader="none" w:pos="66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Evidence that each Finance Party has carried out and is satisfied it has complied with all necessary “know your customer” or other similar checks under all applicable laws and regulations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any requests in relation to these checks will be made by the relevant Finance Parties in good time to enable Utilisation of the Facility to occur on 15 March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Original Financial Statements of the Borrower.</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8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first Utilisation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UTILISATION REQUEST</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[Borrower] — [ · ] Facility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 · ] (the “Facility Agreement”)</w:t>
      </w:r>
    </w:p>
    <w:p>
      <w:pPr>
        <w:spacing w:after="0" w:line="229" w:lineRule="exact"/>
        <w:rPr>
          <w:sz w:val="20"/>
          <w:szCs w:val="20"/>
          <w:color w:val="auto"/>
        </w:rPr>
      </w:pPr>
    </w:p>
    <w:p>
      <w:pPr>
        <w:ind w:left="660" w:right="400" w:hanging="652"/>
        <w:spacing w:after="0" w:line="277"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We refer to the Facility Agreement. This is a Utilisation Request. Terms defined in the Facility Agreement shall have the same meaning in this Utilisation Request.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We wish to borrow the Loan on the following terms:</w:t>
      </w:r>
    </w:p>
    <w:p>
      <w:pPr>
        <w:sectPr>
          <w:pgSz w:w="11900" w:h="16930"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Proposed Utilisation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 (or, if that is not a Business Day, the next Business Day)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00" w:lineRule="exact"/>
        <w:rPr>
          <w:sz w:val="20"/>
          <w:szCs w:val="20"/>
          <w:color w:val="auto"/>
        </w:rPr>
      </w:pPr>
    </w:p>
    <w:p>
      <w:pPr>
        <w:sectPr>
          <w:pgSz w:w="11900" w:h="16930" w:orient="portrait"/>
          <w:cols w:equalWidth="0" w:num="2">
            <w:col w:w="4400" w:space="720"/>
            <w:col w:w="6280"/>
          </w:cols>
          <w:pgMar w:left="240" w:top="125" w:right="259" w:bottom="0" w:gutter="0" w:footer="0" w:header="0"/>
          <w:type w:val="continuous"/>
        </w:sectPr>
      </w:pPr>
    </w:p>
    <w:p>
      <w:pPr>
        <w:spacing w:after="0" w:line="11"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We confirm that each condition specified in Clause 4.2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is satisfied on the date of this Utilisation Request.</w:t>
      </w:r>
    </w:p>
    <w:p>
      <w:pPr>
        <w:spacing w:after="0" w:line="248" w:lineRule="exact"/>
        <w:rPr>
          <w:rFonts w:ascii="Arial" w:cs="Arial" w:eastAsia="Arial" w:hAnsi="Arial"/>
          <w:sz w:val="16"/>
          <w:szCs w:val="16"/>
          <w:color w:val="auto"/>
        </w:rPr>
      </w:pPr>
    </w:p>
    <w:p>
      <w:pPr>
        <w:ind w:left="660" w:right="3220" w:hanging="652"/>
        <w:spacing w:after="0" w:line="528"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proceeds of this Loan should be credited to the following account of the Convertible Bonds Trustee: [insert details]</w:t>
      </w:r>
    </w:p>
    <w:p>
      <w:pPr>
        <w:sectPr>
          <w:pgSz w:w="11900" w:h="16930" w:orient="portrait"/>
          <w:cols w:equalWidth="0" w:num="1">
            <w:col w:w="11400"/>
          </w:cols>
          <w:pgMar w:left="240" w:top="125" w:right="259" w:bottom="0" w:gutter="0" w:footer="0" w:header="0"/>
          <w:type w:val="continuous"/>
        </w:sectPr>
      </w:pPr>
    </w:p>
    <w:bookmarkStart w:id="64" w:name="page65"/>
    <w:bookmarkEnd w:id="64"/>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24180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relevant Borrower</w:t>
      </w:r>
      <w:r>
        <w:rPr>
          <w:rFonts w:ascii="Arial" w:cs="Arial" w:eastAsia="Arial" w:hAnsi="Arial"/>
          <w:sz w:val="18"/>
          <w:szCs w:val="18"/>
          <w:color w:val="auto"/>
        </w:rPr>
        <w: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TRANSFER CERTIFICATE</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 ] as Agent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 xml:space="preserve">[Borrower] — [ </w:t>
      </w:r>
      <w:r>
        <w:rPr>
          <w:rFonts w:ascii="Arial" w:cs="Arial" w:eastAsia="Arial" w:hAnsi="Arial"/>
          <w:sz w:val="18"/>
          <w:szCs w:val="18"/>
          <w:color w:val="auto"/>
        </w:rPr>
        <w:t>·</w:t>
      </w:r>
      <w:r>
        <w:rPr>
          <w:rFonts w:ascii="Arial" w:cs="Arial" w:eastAsia="Arial" w:hAnsi="Arial"/>
          <w:sz w:val="18"/>
          <w:szCs w:val="18"/>
          <w:b w:val="1"/>
          <w:bCs w:val="1"/>
          <w:color w:val="auto"/>
        </w:rPr>
        <w:t xml:space="preserve"> ] Facility Agreement</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dated [ </w:t>
      </w:r>
      <w:r>
        <w:rPr>
          <w:rFonts w:ascii="Arial" w:cs="Arial" w:eastAsia="Arial" w:hAnsi="Arial"/>
          <w:sz w:val="18"/>
          <w:szCs w:val="18"/>
          <w:color w:val="auto"/>
        </w:rPr>
        <w:t>·</w:t>
      </w:r>
      <w:r>
        <w:rPr>
          <w:rFonts w:ascii="Arial" w:cs="Arial" w:eastAsia="Arial" w:hAnsi="Arial"/>
          <w:sz w:val="18"/>
          <w:szCs w:val="18"/>
          <w:b w:val="1"/>
          <w:bCs w:val="1"/>
          <w:color w:val="auto"/>
        </w:rPr>
        <w:t xml:space="preserve"> ] (the “Facility Agreement”)</w:t>
      </w:r>
    </w:p>
    <w:p>
      <w:pPr>
        <w:spacing w:after="0" w:line="229" w:lineRule="exact"/>
        <w:rPr>
          <w:sz w:val="20"/>
          <w:szCs w:val="20"/>
          <w:color w:val="auto"/>
        </w:rPr>
      </w:pPr>
    </w:p>
    <w:p>
      <w:pPr>
        <w:ind w:left="660" w:right="30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We refer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Facility Agreement. This is a Transfer Certificate. Terms used in the Facility Agreement shall have the same meaning in this Transfer Certificate.</w:t>
      </w:r>
    </w:p>
    <w:p>
      <w:pPr>
        <w:spacing w:after="0" w:line="170" w:lineRule="exact"/>
        <w:rPr>
          <w:rFonts w:ascii="Arial" w:cs="Arial" w:eastAsia="Arial" w:hAnsi="Arial"/>
          <w:sz w:val="18"/>
          <w:szCs w:val="18"/>
          <w:color w:val="auto"/>
        </w:rPr>
      </w:pPr>
    </w:p>
    <w:p>
      <w:pPr>
        <w:ind w:left="660" w:right="180" w:hanging="652"/>
        <w:spacing w:after="0" w:line="259"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all of the Existing Lender’s rights and obligations under the Facility Agreement and the other Finance Documents which relate to that portion of the Existing Lender’s Commitment and participations in Loans under the Facility Agreement as specified in the Schedule.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proposed Transfer Date is [ · ].</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particulars for notices of the New Lender for the purposes of Clause 30.2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limitations on the Existing Lender’s obligations set out in paragraphs (a) and (c) of Clause 24.5 (</w:t>
      </w:r>
      <w:r>
        <w:rPr>
          <w:rFonts w:ascii="Arial" w:cs="Arial" w:eastAsia="Arial" w:hAnsi="Arial"/>
          <w:sz w:val="18"/>
          <w:szCs w:val="18"/>
          <w:i w:val="1"/>
          <w:iCs w:val="1"/>
          <w:color w:val="auto"/>
        </w:rPr>
        <w:t>Limitation of responsibility of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00" w:hanging="644"/>
        <w:spacing w:after="0" w:line="264" w:lineRule="auto"/>
        <w:tabs>
          <w:tab w:leader="none" w:pos="130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New Lender confirms that it is a “New Lender” within the meaning of Clause 24.1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Existing Lender and the New Lender confirm that the New Lender is not an Obligor or an Affiliate of an Obligor.</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This Transfer Certificate and all non-contractual obligations arising from or in connection with this Transfer Certificate are governed by English law.</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Transfer Certificate has been entered into on the date stated at the beginning of this Transfer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[Facility office address, fax number and attention details for notices and account details for payments]</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Existing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the New Lender</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65" w:name="page66"/>
    <w:bookmarkEnd w:id="65"/>
    <w:p>
      <w:pPr>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Transfer Certificate is executed by the Agent and the Transfer Date is confirmed as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i w:val="1"/>
                <w:iCs w:val="1"/>
                <w:color w:val="auto"/>
              </w:rPr>
              <w:t>Note:</w:t>
            </w:r>
          </w:p>
        </w:tc>
        <w:tc>
          <w:tcPr>
            <w:tcW w:w="1090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9"/>
              </w:rPr>
              <w:t>It is the New Lender’s responsibility to ascertain whether any other document is required, or any formality or other condition is required to be</w:t>
            </w:r>
          </w:p>
        </w:tc>
      </w:tr>
      <w:tr>
        <w:trPr>
          <w:trHeight w:val="216"/>
        </w:trPr>
        <w:tc>
          <w:tcPr>
            <w:tcW w:w="560" w:type="dxa"/>
            <w:vAlign w:val="bottom"/>
          </w:tcPr>
          <w:p>
            <w:pPr>
              <w:spacing w:after="0"/>
              <w:rPr>
                <w:sz w:val="18"/>
                <w:szCs w:val="18"/>
                <w:color w:val="auto"/>
              </w:rPr>
            </w:pPr>
          </w:p>
        </w:tc>
        <w:tc>
          <w:tcPr>
            <w:tcW w:w="1090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0"/>
              </w:rPr>
              <w:t>satisfied, to effect or perfect the transfer contemplated in this Transfer Certificate or to give the New Lender full enjoyment of all the Finance</w:t>
            </w:r>
          </w:p>
        </w:tc>
      </w:tr>
      <w:tr>
        <w:trPr>
          <w:trHeight w:val="230"/>
        </w:trPr>
        <w:tc>
          <w:tcPr>
            <w:tcW w:w="560" w:type="dxa"/>
            <w:vAlign w:val="bottom"/>
          </w:tcPr>
          <w:p>
            <w:pPr>
              <w:spacing w:after="0"/>
              <w:rPr>
                <w:sz w:val="20"/>
                <w:szCs w:val="20"/>
                <w:color w:val="auto"/>
              </w:rPr>
            </w:pPr>
          </w:p>
        </w:tc>
        <w:tc>
          <w:tcPr>
            <w:tcW w:w="109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Documents.</w:t>
            </w:r>
          </w:p>
        </w:tc>
      </w:tr>
      <w:tr>
        <w:trPr>
          <w:trHeight w:val="432"/>
        </w:trPr>
        <w:tc>
          <w:tcPr>
            <w:tcW w:w="560" w:type="dxa"/>
            <w:vAlign w:val="bottom"/>
          </w:tcPr>
          <w:p>
            <w:pPr>
              <w:spacing w:after="0"/>
              <w:rPr>
                <w:sz w:val="24"/>
                <w:szCs w:val="24"/>
                <w:color w:val="auto"/>
              </w:rPr>
            </w:pPr>
          </w:p>
        </w:tc>
        <w:tc>
          <w:tcPr>
            <w:tcW w:w="10900" w:type="dxa"/>
            <w:vAlign w:val="bottom"/>
          </w:tcPr>
          <w:p>
            <w:pPr>
              <w:jc w:val="center"/>
              <w:ind w:right="510"/>
              <w:spacing w:after="0"/>
              <w:rPr>
                <w:sz w:val="20"/>
                <w:szCs w:val="20"/>
                <w:color w:val="auto"/>
              </w:rPr>
            </w:pPr>
            <w:r>
              <w:rPr>
                <w:rFonts w:ascii="Arial" w:cs="Arial" w:eastAsia="Arial" w:hAnsi="Arial"/>
                <w:sz w:val="18"/>
                <w:szCs w:val="18"/>
                <w:color w:val="auto"/>
                <w:w w:val="86"/>
              </w:rPr>
              <w:t>115</w:t>
            </w:r>
          </w:p>
        </w:tc>
      </w:tr>
      <w:tr>
        <w:trPr>
          <w:trHeight w:val="132"/>
        </w:trPr>
        <w:tc>
          <w:tcPr>
            <w:tcW w:w="560" w:type="dxa"/>
            <w:vAlign w:val="bottom"/>
            <w:tcBorders>
              <w:bottom w:val="single" w:sz="8" w:color="808080"/>
            </w:tcBorders>
          </w:tcPr>
          <w:p>
            <w:pPr>
              <w:spacing w:after="0"/>
              <w:rPr>
                <w:sz w:val="11"/>
                <w:szCs w:val="11"/>
                <w:color w:val="auto"/>
              </w:rPr>
            </w:pPr>
          </w:p>
        </w:tc>
        <w:tc>
          <w:tcPr>
            <w:tcW w:w="10900" w:type="dxa"/>
            <w:vAlign w:val="bottom"/>
            <w:tcBorders>
              <w:bottom w:val="single" w:sz="8" w:color="808080"/>
            </w:tcBorders>
          </w:tcPr>
          <w:p>
            <w:pPr>
              <w:spacing w:after="0"/>
              <w:rPr>
                <w:sz w:val="11"/>
                <w:szCs w:val="11"/>
                <w:color w:val="auto"/>
              </w:rPr>
            </w:pPr>
          </w:p>
        </w:tc>
      </w:tr>
      <w:tr>
        <w:trPr>
          <w:trHeight w:val="762"/>
        </w:trPr>
        <w:tc>
          <w:tcPr>
            <w:tcW w:w="560" w:type="dxa"/>
            <w:vAlign w:val="bottom"/>
          </w:tcPr>
          <w:p>
            <w:pPr>
              <w:spacing w:after="0"/>
              <w:rPr>
                <w:sz w:val="24"/>
                <w:szCs w:val="24"/>
                <w:color w:val="auto"/>
              </w:rPr>
            </w:pPr>
          </w:p>
        </w:tc>
        <w:tc>
          <w:tcPr>
            <w:tcW w:w="1090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SCHEDULE 5</w:t>
            </w:r>
          </w:p>
        </w:tc>
      </w:tr>
      <w:tr>
        <w:trPr>
          <w:trHeight w:val="234"/>
        </w:trPr>
        <w:tc>
          <w:tcPr>
            <w:tcW w:w="560" w:type="dxa"/>
            <w:vAlign w:val="bottom"/>
          </w:tcPr>
          <w:p>
            <w:pPr>
              <w:spacing w:after="0"/>
              <w:rPr>
                <w:sz w:val="20"/>
                <w:szCs w:val="20"/>
                <w:color w:val="auto"/>
              </w:rPr>
            </w:pPr>
          </w:p>
        </w:tc>
        <w:tc>
          <w:tcPr>
            <w:tcW w:w="10900" w:type="dxa"/>
            <w:vAlign w:val="bottom"/>
          </w:tcPr>
          <w:p>
            <w:pPr>
              <w:jc w:val="center"/>
              <w:ind w:right="490"/>
              <w:spacing w:after="0"/>
              <w:rPr>
                <w:sz w:val="20"/>
                <w:szCs w:val="20"/>
                <w:color w:val="auto"/>
              </w:rPr>
            </w:pPr>
            <w:r>
              <w:rPr>
                <w:rFonts w:ascii="Arial" w:cs="Arial" w:eastAsia="Arial" w:hAnsi="Arial"/>
                <w:sz w:val="18"/>
                <w:szCs w:val="18"/>
                <w:b w:val="1"/>
                <w:bCs w:val="1"/>
                <w:color w:val="auto"/>
              </w:rPr>
              <w:t>FORM OF ASSIGNMENT AGREEMENT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To:</w:t>
            </w:r>
          </w:p>
        </w:tc>
        <w:tc>
          <w:tcPr>
            <w:tcW w:w="109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as Agent, [</w:t>
            </w:r>
            <w:r>
              <w:rPr>
                <w:rFonts w:ascii="Arial" w:cs="Arial" w:eastAsia="Arial" w:hAnsi="Arial"/>
                <w:sz w:val="18"/>
                <w:szCs w:val="18"/>
                <w:i w:val="1"/>
                <w:iCs w:val="1"/>
                <w:color w:val="auto"/>
              </w:rPr>
              <w:t>Borrower</w:t>
            </w:r>
            <w:r>
              <w:rPr>
                <w:rFonts w:ascii="Arial" w:cs="Arial" w:eastAsia="Arial" w:hAnsi="Arial"/>
                <w:sz w:val="18"/>
                <w:szCs w:val="18"/>
                <w:color w:val="auto"/>
              </w:rPr>
              <w:t>] as Borrower and [</w:t>
            </w:r>
            <w:r>
              <w:rPr>
                <w:rFonts w:ascii="Arial" w:cs="Arial" w:eastAsia="Arial" w:hAnsi="Arial"/>
                <w:sz w:val="18"/>
                <w:szCs w:val="18"/>
                <w:i w:val="1"/>
                <w:iCs w:val="1"/>
                <w:color w:val="auto"/>
              </w:rPr>
              <w:t>Guarantor</w:t>
            </w:r>
            <w:r>
              <w:rPr>
                <w:rFonts w:ascii="Arial" w:cs="Arial" w:eastAsia="Arial" w:hAnsi="Arial"/>
                <w:sz w:val="18"/>
                <w:szCs w:val="18"/>
                <w:color w:val="auto"/>
              </w:rPr>
              <w:t>] as Guarantor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From:</w:t>
            </w:r>
          </w:p>
        </w:tc>
        <w:tc>
          <w:tcPr>
            <w:tcW w:w="10900" w:type="dxa"/>
            <w:vAlign w:val="bottom"/>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10900" w:type="dxa"/>
            <w:vAlign w:val="bottom"/>
          </w:tcPr>
          <w:p>
            <w:pPr>
              <w:ind w:left="200"/>
              <w:spacing w:after="0"/>
              <w:rPr>
                <w:sz w:val="20"/>
                <w:szCs w:val="20"/>
                <w:color w:val="auto"/>
              </w:rPr>
            </w:pPr>
            <w:r>
              <w:rPr>
                <w:rFonts w:ascii="Arial" w:cs="Arial" w:eastAsia="Arial" w:hAnsi="Arial"/>
                <w:sz w:val="18"/>
                <w:szCs w:val="18"/>
                <w:color w:val="auto"/>
              </w:rPr>
              <w:t>[ · ]</w:t>
            </w:r>
          </w:p>
        </w:tc>
      </w:tr>
      <w:tr>
        <w:trPr>
          <w:trHeight w:val="432"/>
        </w:trPr>
        <w:tc>
          <w:tcPr>
            <w:tcW w:w="560" w:type="dxa"/>
            <w:vAlign w:val="bottom"/>
          </w:tcPr>
          <w:p>
            <w:pPr>
              <w:spacing w:after="0"/>
              <w:rPr>
                <w:sz w:val="24"/>
                <w:szCs w:val="24"/>
                <w:color w:val="auto"/>
              </w:rPr>
            </w:pPr>
          </w:p>
        </w:tc>
        <w:tc>
          <w:tcPr>
            <w:tcW w:w="1090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[Borrower] – [ · ] Facility Agreement</w:t>
            </w:r>
          </w:p>
        </w:tc>
      </w:tr>
      <w:tr>
        <w:trPr>
          <w:trHeight w:val="432"/>
        </w:trPr>
        <w:tc>
          <w:tcPr>
            <w:tcW w:w="560" w:type="dxa"/>
            <w:vAlign w:val="bottom"/>
          </w:tcPr>
          <w:p>
            <w:pPr>
              <w:spacing w:after="0"/>
              <w:rPr>
                <w:sz w:val="24"/>
                <w:szCs w:val="24"/>
                <w:color w:val="auto"/>
              </w:rPr>
            </w:pPr>
          </w:p>
        </w:tc>
        <w:tc>
          <w:tcPr>
            <w:tcW w:w="1090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dated [ · ] (the “Facility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440" w:hanging="652"/>
        <w:spacing w:after="0" w:line="277" w:lineRule="auto"/>
        <w:tabs>
          <w:tab w:leader="none" w:pos="64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We refer to the Facility Agreement. This is an Assignment Agreement. Terms defined in the Facility Agreement have the same meaning in this Assignment Agreement unless given a different meaning in this Assignment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We refer to Clause 24.7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Facility Agreement:</w:t>
      </w:r>
    </w:p>
    <w:p>
      <w:pPr>
        <w:spacing w:after="0" w:line="225" w:lineRule="exact"/>
        <w:rPr>
          <w:rFonts w:ascii="Arial" w:cs="Arial" w:eastAsia="Arial" w:hAnsi="Arial"/>
          <w:sz w:val="18"/>
          <w:szCs w:val="18"/>
          <w:color w:val="auto"/>
        </w:rPr>
      </w:pPr>
    </w:p>
    <w:p>
      <w:pPr>
        <w:ind w:left="1300" w:right="220" w:hanging="644"/>
        <w:spacing w:after="0" w:line="264" w:lineRule="auto"/>
        <w:tabs>
          <w:tab w:leader="none" w:pos="127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Facility Agreement and the other Finance Documents which relate to that portion of the Existing Lender’s Commitments and participations in Loans under the Facility Agreement as specified in the Schedule.</w:t>
      </w:r>
    </w:p>
    <w:p>
      <w:pPr>
        <w:spacing w:after="0" w:line="181" w:lineRule="exact"/>
        <w:rPr>
          <w:rFonts w:ascii="Arial" w:cs="Arial" w:eastAsia="Arial" w:hAnsi="Arial"/>
          <w:sz w:val="18"/>
          <w:szCs w:val="18"/>
          <w:color w:val="auto"/>
        </w:rPr>
      </w:pPr>
    </w:p>
    <w:p>
      <w:pPr>
        <w:ind w:left="1300" w:right="320" w:hanging="644"/>
        <w:spacing w:after="0" w:line="277" w:lineRule="auto"/>
        <w:tabs>
          <w:tab w:leader="none" w:pos="128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Loans under the Facility Agreement specified in the Schedule.</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27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proposed Transfer Date is [ · ].</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 the Transfer Date, the New Lender becomes Party to the Finance Documents as a Lender.</w:t>
      </w:r>
    </w:p>
    <w:p>
      <w:pPr>
        <w:spacing w:after="0" w:line="225" w:lineRule="exact"/>
        <w:rPr>
          <w:rFonts w:ascii="Arial" w:cs="Arial" w:eastAsia="Arial" w:hAnsi="Arial"/>
          <w:sz w:val="18"/>
          <w:szCs w:val="18"/>
          <w:color w:val="auto"/>
        </w:rPr>
      </w:pPr>
    </w:p>
    <w:p>
      <w:pPr>
        <w:ind w:left="660" w:right="300" w:hanging="652"/>
        <w:spacing w:after="0" w:line="277" w:lineRule="auto"/>
        <w:tabs>
          <w:tab w:leader="none" w:pos="64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30.2 (</w:t>
      </w:r>
      <w:r>
        <w:rPr>
          <w:rFonts w:ascii="Arial" w:cs="Arial" w:eastAsia="Arial" w:hAnsi="Arial"/>
          <w:sz w:val="18"/>
          <w:szCs w:val="18"/>
          <w:i w:val="1"/>
          <w:iCs w:val="1"/>
          <w:color w:val="auto"/>
        </w:rPr>
        <w:t>Addresses</w:t>
      </w:r>
      <w:r>
        <w:rPr>
          <w:rFonts w:ascii="Arial" w:cs="Arial" w:eastAsia="Arial" w:hAnsi="Arial"/>
          <w:sz w:val="18"/>
          <w:szCs w:val="18"/>
          <w:color w:val="auto"/>
        </w:rPr>
        <w:t>) of the Facility Agreement are set out in the Schedule.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27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limitations on the Existing Lender’s obligations set out in paragraphs (a) and (c) of Clause 24.5 (</w:t>
      </w:r>
      <w:r>
        <w:rPr>
          <w:rFonts w:ascii="Arial" w:cs="Arial" w:eastAsia="Arial" w:hAnsi="Arial"/>
          <w:sz w:val="18"/>
          <w:szCs w:val="18"/>
          <w:i w:val="1"/>
          <w:iCs w:val="1"/>
          <w:color w:val="auto"/>
        </w:rPr>
        <w:t>Limitation of responsibility of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of the Facility Agreement; and</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28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that it is the responsibility of the New Lender to ascertain whether any document is required or any formality or other condition requires to be satisfied to effect or perfect the transfer contemplated by this Assignment Agreement or otherwise to enable the New Lender to enjoy the full benefit of each Finance Document.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632"/>
        <w:spacing w:after="0"/>
        <w:tabs>
          <w:tab w:leader="none" w:pos="6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New Lender confirms that it is a “New Lender” within the meaning of Clause 24.1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Existing Lender and the New Lender confirm that the New Lender is not an Obligor or an Affiliate of an Obligor.]</w:t>
      </w:r>
    </w:p>
    <w:p>
      <w:pPr>
        <w:spacing w:after="0" w:line="225" w:lineRule="exact"/>
        <w:rPr>
          <w:rFonts w:ascii="Arial" w:cs="Arial" w:eastAsia="Arial" w:hAnsi="Arial"/>
          <w:sz w:val="18"/>
          <w:szCs w:val="18"/>
          <w:color w:val="auto"/>
        </w:rPr>
      </w:pPr>
    </w:p>
    <w:p>
      <w:pPr>
        <w:ind w:left="660" w:right="180" w:hanging="652"/>
        <w:spacing w:after="0" w:line="264" w:lineRule="auto"/>
        <w:tabs>
          <w:tab w:leader="none" w:pos="64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Assignment Agreement acts as notice to the Agent (on behalf of each Finance Party) and, upon delivery in accordance with Clause 24.8 (</w:t>
      </w:r>
      <w:r>
        <w:rPr>
          <w:rFonts w:ascii="Arial" w:cs="Arial" w:eastAsia="Arial" w:hAnsi="Arial"/>
          <w:sz w:val="18"/>
          <w:szCs w:val="18"/>
          <w:i w:val="1"/>
          <w:iCs w:val="1"/>
          <w:color w:val="auto"/>
        </w:rPr>
        <w:t>Copy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Transfer Certificate or Assignment Agreement to </w:t>
      </w:r>
      <w:r>
        <w:rPr>
          <w:rFonts w:ascii="Arial" w:cs="Arial" w:eastAsia="Arial" w:hAnsi="Arial"/>
          <w:sz w:val="18"/>
          <w:szCs w:val="18"/>
          <w:color w:val="auto"/>
        </w:rPr>
        <w:t>) of the Facility Agreement, to the Borrower (on behalf of each Obligor) of the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this Assignment Agreement.</w:t>
      </w:r>
    </w:p>
    <w:p>
      <w:pPr>
        <w:sectPr>
          <w:pgSz w:w="11900" w:h="16838" w:orient="portrait"/>
          <w:cols w:equalWidth="0" w:num="1">
            <w:col w:w="11460"/>
          </w:cols>
          <w:pgMar w:left="240" w:top="557" w:right="199" w:bottom="0" w:gutter="0" w:footer="0" w:header="0"/>
        </w:sectPr>
      </w:pPr>
    </w:p>
    <w:bookmarkStart w:id="66" w:name="page67"/>
    <w:bookmarkEnd w:id="66"/>
    <w:p>
      <w:pPr>
        <w:spacing w:after="0" w:line="1" w:lineRule="exact"/>
        <w:rPr>
          <w:sz w:val="20"/>
          <w:szCs w:val="20"/>
          <w:color w:val="auto"/>
        </w:rPr>
      </w:pPr>
    </w:p>
    <w:p>
      <w:pPr>
        <w:ind w:left="660" w:right="20" w:hanging="652"/>
        <w:spacing w:after="0" w:line="277" w:lineRule="auto"/>
        <w:tabs>
          <w:tab w:leader="none" w:pos="61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Assignment Agreement may be executed in any number of counterparts and this has the same effect as if the signatures on the counterparts were on a single copy of this Assignment Agreement.</w:t>
      </w:r>
    </w:p>
    <w:p>
      <w:pPr>
        <w:spacing w:after="0" w:line="170" w:lineRule="exact"/>
        <w:rPr>
          <w:rFonts w:ascii="Arial" w:cs="Arial" w:eastAsia="Arial" w:hAnsi="Arial"/>
          <w:sz w:val="18"/>
          <w:szCs w:val="18"/>
          <w:color w:val="auto"/>
        </w:rPr>
      </w:pPr>
    </w:p>
    <w:p>
      <w:pPr>
        <w:ind w:left="660" w:right="400" w:hanging="652"/>
        <w:spacing w:after="0" w:line="277" w:lineRule="auto"/>
        <w:tabs>
          <w:tab w:leader="none" w:pos="61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Assignment Agreement and all non-contractual obligations arising from or in connection with this Assignment Agreement are governed by English law.</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Assignment Agreement has been entered into on the date stated at the beginning of this Assignment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[Facility office address, fax number and attention details for notices and account details for payments]</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New Lender</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Agent and the Transfer Date is confirmed as [ · ].</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Note: It is the New Lender’s responsibility to ascertain whether any other document is required, or any formality or other condition is required to be satisfied, to effect or perfect the assignment/release/assumption of obligations contemplated in this Assignment Agreement or to give the New Lender full enjoyment of all the Finance Documents.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DEMAND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Terms defined in the main body of this Agreement shall have the same meaning in this Schedule unless given a different meaning in this Schedule.</w:t>
      </w:r>
    </w:p>
    <w:p>
      <w:pPr>
        <w:spacing w:after="0" w:line="237" w:lineRule="exact"/>
        <w:rPr>
          <w:sz w:val="20"/>
          <w:szCs w:val="20"/>
          <w:color w:val="auto"/>
        </w:rPr>
      </w:pPr>
    </w:p>
    <w:p>
      <w:pPr>
        <w:ind w:left="1300" w:right="360" w:hanging="644"/>
        <w:spacing w:after="0" w:line="286" w:lineRule="auto"/>
        <w:tabs>
          <w:tab w:leader="none" w:pos="127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As of the Utilisation Date, the Borrower has engaged the Take-out Investment Banks to act as joint lead managers and bookrunners, underwriters, initial purchasers and placement agents, as applicable, for the Take-out Debt Offering that will provide net proceeds in an aggregate amount that are sufficient to repay all the then outstanding amounts under the Facility.</w:t>
      </w:r>
    </w:p>
    <w:p>
      <w:pPr>
        <w:spacing w:after="0" w:line="165" w:lineRule="exact"/>
        <w:rPr>
          <w:rFonts w:ascii="Arial" w:cs="Arial" w:eastAsia="Arial" w:hAnsi="Arial"/>
          <w:sz w:val="17"/>
          <w:szCs w:val="17"/>
          <w:color w:val="auto"/>
        </w:rPr>
      </w:pPr>
    </w:p>
    <w:p>
      <w:pPr>
        <w:ind w:left="1300" w:hanging="644"/>
        <w:spacing w:after="0" w:line="254" w:lineRule="auto"/>
        <w:tabs>
          <w:tab w:leader="none" w:pos="12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At any time after the date that is sixty (60) days after the Utilisation Date and prior to the Securities Demand Termination Date (defined below), the Agent, at the direction of the Majority Lenders, may provide notice to the Borrower setting forth the proposal of the Take-out Investment Banks for a Take-out Debt Offering (such notice, a “</w:t>
      </w:r>
      <w:r>
        <w:rPr>
          <w:rFonts w:ascii="Arial" w:cs="Arial" w:eastAsia="Arial" w:hAnsi="Arial"/>
          <w:sz w:val="18"/>
          <w:szCs w:val="18"/>
          <w:b w:val="1"/>
          <w:bCs w:val="1"/>
          <w:color w:val="auto"/>
        </w:rPr>
        <w:t>Take-out Debt Demand</w:t>
      </w:r>
      <w:r>
        <w:rPr>
          <w:rFonts w:ascii="Arial" w:cs="Arial" w:eastAsia="Arial" w:hAnsi="Arial"/>
          <w:sz w:val="18"/>
          <w:szCs w:val="18"/>
          <w:color w:val="auto"/>
        </w:rPr>
        <w:t xml:space="preserve">”) and, within thirty (30) days (or sixty (60) days if the Majority Lenders so consent in writing) after receipt of such notice (and,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during such period there shall have been completed a reasonable marketing period, including a customary “roadshow” (unless the Borrower and the Take-out Investment Banks jointly determine that conducting a “roadshow” would not likely be commercially beneficial to a successful issuance of the Take-out Debt)), the Borrower will issue Take-out Debt in accordance with such Take-out Debt Demand, </w:t>
      </w:r>
      <w:r>
        <w:rPr>
          <w:rFonts w:ascii="Arial" w:cs="Arial" w:eastAsia="Arial" w:hAnsi="Arial"/>
          <w:sz w:val="18"/>
          <w:szCs w:val="18"/>
          <w:b w:val="1"/>
          <w:bCs w:val="1"/>
          <w:color w:val="auto"/>
        </w:rPr>
        <w:t>provided that</w:t>
      </w:r>
      <w:r>
        <w:rPr>
          <w:rFonts w:ascii="Arial" w:cs="Arial" w:eastAsia="Arial" w:hAnsi="Arial"/>
          <w:sz w:val="18"/>
          <w:szCs w:val="18"/>
          <w:color w:val="auto"/>
        </w:rPr>
        <w:t>, unless the Borrower otherwise agrees:</w:t>
      </w:r>
    </w:p>
    <w:p>
      <w:pPr>
        <w:spacing w:after="0" w:line="192" w:lineRule="exact"/>
        <w:rPr>
          <w:rFonts w:ascii="Arial" w:cs="Arial" w:eastAsia="Arial" w:hAnsi="Arial"/>
          <w:sz w:val="18"/>
          <w:szCs w:val="18"/>
          <w:color w:val="auto"/>
        </w:rPr>
      </w:pPr>
    </w:p>
    <w:p>
      <w:pPr>
        <w:ind w:left="1960" w:right="220" w:hanging="655"/>
        <w:spacing w:after="0" w:line="264" w:lineRule="auto"/>
        <w:tabs>
          <w:tab w:leader="none" w:pos="1941"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 majority of the aggregate principal amount of such Take-out Debt in each offering proposed by the Take-out Investment Banks shall be resold to bona fide third party investors that are not affiliated with any Take-out Investment Bank (other than Asset Management Affiliates (defined below));</w:t>
      </w:r>
    </w:p>
    <w:p>
      <w:pPr>
        <w:spacing w:after="0" w:line="181" w:lineRule="exact"/>
        <w:rPr>
          <w:rFonts w:ascii="Arial" w:cs="Arial" w:eastAsia="Arial" w:hAnsi="Arial"/>
          <w:sz w:val="18"/>
          <w:szCs w:val="18"/>
          <w:color w:val="auto"/>
        </w:rPr>
      </w:pPr>
    </w:p>
    <w:p>
      <w:pPr>
        <w:ind w:left="1960" w:right="40" w:hanging="655"/>
        <w:spacing w:after="0" w:line="284" w:lineRule="auto"/>
        <w:tabs>
          <w:tab w:leader="none" w:pos="1952"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 interest on such Take-out Debt shall be payable only in cash (and not as paid-in-kind interest), and the interest rate of such Take-out Debt shall be a fixed rate of interest reasonably determined by the Take-out Investment Banks in light of the then prevailing market conditions for senior unsecured debt securities of similarly situated and comparably rated investment grade companies with operations primarily located in the PRC (“</w:t>
      </w:r>
      <w:r>
        <w:rPr>
          <w:rFonts w:ascii="Arial" w:cs="Arial" w:eastAsia="Arial" w:hAnsi="Arial"/>
          <w:sz w:val="16"/>
          <w:szCs w:val="16"/>
          <w:b w:val="1"/>
          <w:bCs w:val="1"/>
          <w:color w:val="auto"/>
        </w:rPr>
        <w:t>Similar Offerings</w:t>
      </w:r>
      <w:r>
        <w:rPr>
          <w:rFonts w:ascii="Arial" w:cs="Arial" w:eastAsia="Arial" w:hAnsi="Arial"/>
          <w:sz w:val="16"/>
          <w:szCs w:val="16"/>
          <w:color w:val="auto"/>
        </w:rPr>
        <w:t>”) in consultation with the Borrower, with the Take-out Investment Banks using commercially reasonable efforts to obtain a favorable interest rate for the Borrower, but in no event shall (A) the weighted average total effective yield to maturity (including original issue discount (“</w:t>
      </w:r>
      <w:r>
        <w:rPr>
          <w:rFonts w:ascii="Arial" w:cs="Arial" w:eastAsia="Arial" w:hAnsi="Arial"/>
          <w:sz w:val="16"/>
          <w:szCs w:val="16"/>
          <w:b w:val="1"/>
          <w:bCs w:val="1"/>
          <w:color w:val="auto"/>
        </w:rPr>
        <w:t>OID</w:t>
      </w:r>
      <w:r>
        <w:rPr>
          <w:rFonts w:ascii="Arial" w:cs="Arial" w:eastAsia="Arial" w:hAnsi="Arial"/>
          <w:sz w:val="16"/>
          <w:szCs w:val="16"/>
          <w:color w:val="auto"/>
        </w:rPr>
        <w:t>”) but excluding any underwriting or purchase discount or fees) applicable to any such Take-out Debt at any time exceed the Total Cap (defined below),</w:t>
      </w:r>
    </w:p>
    <w:p>
      <w:pPr>
        <w:spacing w:after="0" w:line="2" w:lineRule="exact"/>
        <w:rPr>
          <w:rFonts w:ascii="Arial" w:cs="Arial" w:eastAsia="Arial" w:hAnsi="Arial"/>
          <w:sz w:val="16"/>
          <w:szCs w:val="16"/>
          <w:color w:val="auto"/>
        </w:rPr>
      </w:pPr>
    </w:p>
    <w:p>
      <w:pPr>
        <w:ind w:left="1960" w:right="340"/>
        <w:spacing w:after="0" w:line="290" w:lineRule="auto"/>
        <w:rPr>
          <w:rFonts w:ascii="Arial" w:cs="Arial" w:eastAsia="Arial" w:hAnsi="Arial"/>
          <w:sz w:val="16"/>
          <w:szCs w:val="16"/>
          <w:color w:val="auto"/>
        </w:rPr>
      </w:pPr>
      <w:r>
        <w:rPr>
          <w:rFonts w:ascii="Arial" w:cs="Arial" w:eastAsia="Arial" w:hAnsi="Arial"/>
          <w:sz w:val="17"/>
          <w:szCs w:val="17"/>
          <w:color w:val="auto"/>
        </w:rPr>
        <w:t>(B) any such Take-out Debt be issued at a price to Borrower (prior to payment of initial purchasers’ discount and underwriting fees) less than 97% or (C) any such Take-out Debt be subject to any financial maintenance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-3523615</wp:posOffset>
            </wp:positionV>
            <wp:extent cx="285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9" w:orient="portrait"/>
          <w:cols w:equalWidth="0" w:num="1">
            <w:col w:w="11400"/>
          </w:cols>
          <w:pgMar w:left="240" w:top="125"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9" w:orient="portrait"/>
          <w:cols w:equalWidth="0" w:num="1">
            <w:col w:w="11400"/>
          </w:cols>
          <w:pgMar w:left="240" w:top="125" w:right="259" w:bottom="0" w:gutter="0" w:footer="0" w:header="0"/>
          <w:type w:val="continuous"/>
        </w:sectPr>
      </w:pPr>
    </w:p>
    <w:bookmarkStart w:id="67" w:name="page68"/>
    <w:bookmarkEnd w:id="67"/>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04" w:right="40" w:hanging="655"/>
        <w:spacing w:after="0" w:line="264" w:lineRule="auto"/>
        <w:tabs>
          <w:tab w:leader="none" w:pos="130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unless otherwise provided for herein, the terms and conditions of the Take-out Debt will be determined by the Take-out Investment Banks in consultation with the Borrower taking account of the then prevailing market conditions and otherwise consistent with Similar Offerings;</w:t>
      </w:r>
    </w:p>
    <w:p>
      <w:pPr>
        <w:spacing w:after="0" w:line="181" w:lineRule="exact"/>
        <w:rPr>
          <w:rFonts w:ascii="Arial" w:cs="Arial" w:eastAsia="Arial" w:hAnsi="Arial"/>
          <w:sz w:val="18"/>
          <w:szCs w:val="18"/>
          <w:color w:val="auto"/>
        </w:rPr>
      </w:pPr>
    </w:p>
    <w:p>
      <w:pPr>
        <w:ind w:left="1304" w:right="280" w:hanging="655"/>
        <w:spacing w:after="0" w:line="277" w:lineRule="auto"/>
        <w:tabs>
          <w:tab w:leader="none" w:pos="129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Take-out Debt, if guaranteed, will be guaranteed only by the guarantors required to guarantee the Facility and on such terms and conditions (including release conditions) as are customary for Similar Offerings;</w:t>
      </w:r>
    </w:p>
    <w:p>
      <w:pPr>
        <w:spacing w:after="0" w:line="170" w:lineRule="exact"/>
        <w:rPr>
          <w:rFonts w:ascii="Arial" w:cs="Arial" w:eastAsia="Arial" w:hAnsi="Arial"/>
          <w:sz w:val="18"/>
          <w:szCs w:val="18"/>
          <w:color w:val="auto"/>
        </w:rPr>
      </w:pPr>
    </w:p>
    <w:p>
      <w:pPr>
        <w:ind w:left="1304" w:right="160" w:hanging="655"/>
        <w:spacing w:after="0" w:line="279" w:lineRule="auto"/>
        <w:tabs>
          <w:tab w:leader="none" w:pos="1286"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Take-out Debt will be senior unsecured notes issued by Borrower (with no rights of conversion to any other security), and the maturities of any of such Take-out Debt shall be not less than five years, with optional redemption by the Borrower not subject to any non-call period and with a customary T+25 make-whole for Take-out Debt with maturity of less than ten years and a customary T+30 make-whole for Take-out Debt with maturity of ten years or more;</w:t>
      </w:r>
    </w:p>
    <w:p>
      <w:pPr>
        <w:spacing w:after="0" w:line="171" w:lineRule="exact"/>
        <w:rPr>
          <w:rFonts w:ascii="Arial" w:cs="Arial" w:eastAsia="Arial" w:hAnsi="Arial"/>
          <w:sz w:val="17"/>
          <w:szCs w:val="17"/>
          <w:color w:val="auto"/>
        </w:rPr>
      </w:pPr>
    </w:p>
    <w:p>
      <w:pPr>
        <w:ind w:left="1304" w:right="160" w:hanging="655"/>
        <w:spacing w:after="0" w:line="277" w:lineRule="auto"/>
        <w:tabs>
          <w:tab w:leader="none" w:pos="129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aggregate amount of net proceeds of the Take-out Debt shall not exceed an amount sufficient to repay all the then outstanding principal and other amounts payable under the Facility;</w:t>
      </w:r>
    </w:p>
    <w:p>
      <w:pPr>
        <w:spacing w:after="0" w:line="170" w:lineRule="exact"/>
        <w:rPr>
          <w:rFonts w:ascii="Arial" w:cs="Arial" w:eastAsia="Arial" w:hAnsi="Arial"/>
          <w:sz w:val="18"/>
          <w:szCs w:val="18"/>
          <w:color w:val="auto"/>
        </w:rPr>
      </w:pPr>
    </w:p>
    <w:p>
      <w:pPr>
        <w:ind w:left="1304" w:right="160" w:hanging="655"/>
        <w:spacing w:after="0" w:line="277" w:lineRule="auto"/>
        <w:tabs>
          <w:tab w:leader="none" w:pos="130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offering of such Take-out Debt shall be in a face amount of such amount as would yield the net proceeds amount described in the preceding clause (vi);</w:t>
      </w:r>
    </w:p>
    <w:p>
      <w:pPr>
        <w:spacing w:after="0" w:line="170" w:lineRule="exact"/>
        <w:rPr>
          <w:rFonts w:ascii="Arial" w:cs="Arial" w:eastAsia="Arial" w:hAnsi="Arial"/>
          <w:sz w:val="18"/>
          <w:szCs w:val="18"/>
          <w:color w:val="auto"/>
        </w:rPr>
      </w:pPr>
    </w:p>
    <w:p>
      <w:pPr>
        <w:ind w:left="1304" w:right="60" w:hanging="655"/>
        <w:spacing w:after="0" w:line="277" w:lineRule="auto"/>
        <w:tabs>
          <w:tab w:leader="none" w:pos="132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more than two Take-out Debt Demands shall be made and the amount specified in each Take-out Debt Demand shall be no less than US$50,000,000; and</w:t>
      </w:r>
    </w:p>
    <w:p>
      <w:pPr>
        <w:spacing w:after="0" w:line="170" w:lineRule="exact"/>
        <w:rPr>
          <w:rFonts w:ascii="Arial" w:cs="Arial" w:eastAsia="Arial" w:hAnsi="Arial"/>
          <w:sz w:val="18"/>
          <w:szCs w:val="18"/>
          <w:color w:val="auto"/>
        </w:rPr>
      </w:pPr>
    </w:p>
    <w:p>
      <w:pPr>
        <w:ind w:left="1304" w:right="100" w:hanging="655"/>
        <w:spacing w:after="0" w:line="308" w:lineRule="auto"/>
        <w:tabs>
          <w:tab w:leader="none" w:pos="129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no Take-out Debt Demand may be made (a) during the period from the initial announcement of a Take-out Debt Offering until the completion or abandonment of such a Take-out Debt offering or (b) after the Facility has been repaid in full.</w:t>
      </w:r>
    </w:p>
    <w:p>
      <w:pPr>
        <w:spacing w:after="0" w:line="143" w:lineRule="exact"/>
        <w:rPr>
          <w:sz w:val="20"/>
          <w:szCs w:val="20"/>
          <w:color w:val="auto"/>
        </w:rPr>
      </w:pPr>
    </w:p>
    <w:p>
      <w:pPr>
        <w:ind w:left="644"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U.S. Treasury security selected by the Majority Lenders as having a maturity that would be utilised, at the time of selection and in accordance with customary financial practice, in pricing new issues of corporate debt securities with a maturity equal to the maturity of the Take-Out Debt or the Demand Failure Exchange Notes (as applicable).</w:t>
      </w:r>
    </w:p>
    <w:p>
      <w:pPr>
        <w:spacing w:after="0" w:line="158" w:lineRule="exact"/>
        <w:rPr>
          <w:sz w:val="20"/>
          <w:szCs w:val="20"/>
          <w:color w:val="auto"/>
        </w:rPr>
      </w:pPr>
    </w:p>
    <w:p>
      <w:pPr>
        <w:ind w:left="64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Demand Termination Date</w:t>
      </w:r>
      <w:r>
        <w:rPr>
          <w:rFonts w:ascii="Arial" w:cs="Arial" w:eastAsia="Arial" w:hAnsi="Arial"/>
          <w:sz w:val="18"/>
          <w:szCs w:val="18"/>
          <w:color w:val="auto"/>
        </w:rPr>
        <w:t>” means the earlier to occur of: (a) the date on which the Facility has been repaid in full; and (b) the date on which all amount outstanding under the Facility have been converted into the Demand Failure Take-out Instruments (defined below).</w:t>
      </w:r>
    </w:p>
    <w:p>
      <w:pPr>
        <w:spacing w:after="0" w:line="17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w:t>
      </w:r>
      <w:r>
        <w:rPr>
          <w:rFonts w:ascii="Arial" w:cs="Arial" w:eastAsia="Arial" w:hAnsi="Arial"/>
          <w:sz w:val="18"/>
          <w:szCs w:val="18"/>
          <w:color w:val="auto"/>
        </w:rPr>
        <w:t>” means:</w:t>
      </w:r>
    </w:p>
    <w:p>
      <w:pPr>
        <w:spacing w:after="0" w:line="229" w:lineRule="exact"/>
        <w:rPr>
          <w:sz w:val="20"/>
          <w:szCs w:val="20"/>
          <w:color w:val="auto"/>
        </w:rPr>
      </w:pPr>
    </w:p>
    <w:p>
      <w:pPr>
        <w:ind w:left="1304" w:right="300" w:hanging="655"/>
        <w:spacing w:after="0" w:line="277" w:lineRule="auto"/>
        <w:tabs>
          <w:tab w:leader="none" w:pos="128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relation to the Take-out Debt and the Demand Failure Exchange Notes, the aggregate of 3.25 per cent. per annum and the US Treasury Benchmark Rate; or</w:t>
      </w:r>
    </w:p>
    <w:p>
      <w:pPr>
        <w:spacing w:after="0" w:line="17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4" w:hanging="635"/>
        <w:spacing w:after="0"/>
        <w:tabs>
          <w:tab w:leader="none" w:pos="128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relation to the Demand Failure Take-out Term Loan, the aggregate of 2.90 per cent. per annum and LIBOR.</w:t>
      </w:r>
    </w:p>
    <w:p>
      <w:pPr>
        <w:spacing w:after="0" w:line="221" w:lineRule="exact"/>
        <w:rPr>
          <w:sz w:val="20"/>
          <w:szCs w:val="20"/>
          <w:color w:val="auto"/>
        </w:rPr>
      </w:pPr>
    </w:p>
    <w:p>
      <w:pPr>
        <w:ind w:left="644"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Treasury Benchmark Rate</w:t>
      </w:r>
      <w:r>
        <w:rPr>
          <w:rFonts w:ascii="Arial" w:cs="Arial" w:eastAsia="Arial" w:hAnsi="Arial"/>
          <w:sz w:val="18"/>
          <w:szCs w:val="18"/>
          <w:color w:val="auto"/>
        </w:rPr>
        <w:t>” means the rate in per cent per annum equal to the semi-annual equivalent yield to maturity of the Comparable Treasury Issue.</w:t>
      </w:r>
    </w:p>
    <w:p>
      <w:pPr>
        <w:spacing w:after="0" w:line="166" w:lineRule="exact"/>
        <w:rPr>
          <w:sz w:val="20"/>
          <w:szCs w:val="20"/>
          <w:color w:val="auto"/>
        </w:rPr>
      </w:pPr>
    </w:p>
    <w:p>
      <w:pPr>
        <w:ind w:left="644" w:right="60" w:hanging="644"/>
        <w:spacing w:after="0" w:line="270" w:lineRule="auto"/>
        <w:tabs>
          <w:tab w:leader="none" w:pos="616"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Take-out Debt issued to, or held by, a Lender or investors affiliated with a Lender (other than asset management affiliates purchasing the Take-out Debt in the ordinary course of their business as part of a regular distribution of the Take-out Debt (“</w:t>
      </w:r>
      <w:r>
        <w:rPr>
          <w:rFonts w:ascii="Arial" w:cs="Arial" w:eastAsia="Arial" w:hAnsi="Arial"/>
          <w:sz w:val="17"/>
          <w:szCs w:val="17"/>
          <w:b w:val="1"/>
          <w:bCs w:val="1"/>
          <w:color w:val="auto"/>
        </w:rPr>
        <w:t>Asset 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Affiliates</w:t>
      </w:r>
      <w:r>
        <w:rPr>
          <w:rFonts w:ascii="Arial" w:cs="Arial" w:eastAsia="Arial" w:hAnsi="Arial"/>
          <w:sz w:val="17"/>
          <w:szCs w:val="17"/>
          <w:color w:val="auto"/>
        </w:rPr>
        <w:t>”), and excluding Take-out Debt acquired pursuant to bona fide open market purchases from third parties or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market making activities (“</w:t>
      </w:r>
      <w:r>
        <w:rPr>
          <w:rFonts w:ascii="Arial" w:cs="Arial" w:eastAsia="Arial" w:hAnsi="Arial"/>
          <w:sz w:val="17"/>
          <w:szCs w:val="17"/>
          <w:b w:val="1"/>
          <w:bCs w:val="1"/>
          <w:color w:val="auto"/>
        </w:rPr>
        <w:t>Repurchased Take-out Debt</w:t>
      </w:r>
      <w:r>
        <w:rPr>
          <w:rFonts w:ascii="Arial" w:cs="Arial" w:eastAsia="Arial" w:hAnsi="Arial"/>
          <w:sz w:val="17"/>
          <w:szCs w:val="17"/>
          <w:color w:val="auto"/>
        </w:rPr>
        <w:t xml:space="preserve">”)) shall be prepayable and/or subject to redemption at the original issue price plus accrued interest and accreted OID (if any) (and for the avoidance of doubt, without premium or penalty of any kind) for so long as such Take-out Debt are held by them. The redemption provisions of the Take-out Debt will provide for non-ratable voluntary redemptions of Take-out Debt (other than Repurchased Take-out Debt) held by a Lender and its affiliates (other than Asset Management Affiliates) at such prices for so long as such Take-out Debt are held by them;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any such redemptions shall be made on a pro rata basis among any Take-out Investment Banks (or their affiliates). For the avoidance of doubt, the Investment Bank may re-offer the Take-out Debt to investors at a price below or above the proceeds to Borrower.</w:t>
      </w:r>
    </w:p>
    <w:p>
      <w:pPr>
        <w:spacing w:after="0" w:line="177" w:lineRule="exact"/>
        <w:rPr>
          <w:rFonts w:ascii="Arial" w:cs="Arial" w:eastAsia="Arial" w:hAnsi="Arial"/>
          <w:sz w:val="17"/>
          <w:szCs w:val="17"/>
          <w:color w:val="auto"/>
        </w:rPr>
      </w:pPr>
    </w:p>
    <w:p>
      <w:pPr>
        <w:ind w:left="644" w:right="180" w:hanging="644"/>
        <w:spacing w:after="0" w:line="259" w:lineRule="auto"/>
        <w:tabs>
          <w:tab w:leader="none" w:pos="62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the Borrower fails to execute a Take-out Debt Offering and apply the net proceeds thereof (net of all issuance costs) to the repayment of all amounts outstanding under the Facility in accordance with clause (b) above (a “</w:t>
      </w:r>
      <w:r>
        <w:rPr>
          <w:rFonts w:ascii="Arial" w:cs="Arial" w:eastAsia="Arial" w:hAnsi="Arial"/>
          <w:sz w:val="18"/>
          <w:szCs w:val="18"/>
          <w:b w:val="1"/>
          <w:bCs w:val="1"/>
          <w:color w:val="auto"/>
        </w:rPr>
        <w:t>Demand Failure Event</w:t>
      </w:r>
      <w:r>
        <w:rPr>
          <w:rFonts w:ascii="Arial" w:cs="Arial" w:eastAsia="Arial" w:hAnsi="Arial"/>
          <w:sz w:val="18"/>
          <w:szCs w:val="18"/>
          <w:color w:val="auto"/>
        </w:rPr>
        <w:t>”), then a “</w:t>
      </w:r>
      <w:r>
        <w:rPr>
          <w:rFonts w:ascii="Arial" w:cs="Arial" w:eastAsia="Arial" w:hAnsi="Arial"/>
          <w:sz w:val="18"/>
          <w:szCs w:val="18"/>
          <w:b w:val="1"/>
          <w:bCs w:val="1"/>
          <w:color w:val="auto"/>
        </w:rPr>
        <w:t>Take-out Debt</w:t>
      </w:r>
      <w:r>
        <w:rPr>
          <w:rFonts w:ascii="Arial" w:cs="Arial" w:eastAsia="Arial" w:hAnsi="Arial"/>
          <w:sz w:val="18"/>
          <w:szCs w:val="18"/>
          <w:color w:val="auto"/>
        </w:rPr>
        <w:t xml:space="preserve"> </w:t>
      </w:r>
      <w:r>
        <w:rPr>
          <w:rFonts w:ascii="Arial" w:cs="Arial" w:eastAsia="Arial" w:hAnsi="Arial"/>
          <w:sz w:val="18"/>
          <w:szCs w:val="18"/>
          <w:b w:val="1"/>
          <w:bCs w:val="1"/>
          <w:color w:val="auto"/>
        </w:rPr>
        <w:t>Failure Date</w:t>
      </w:r>
      <w:r>
        <w:rPr>
          <w:rFonts w:ascii="Arial" w:cs="Arial" w:eastAsia="Arial" w:hAnsi="Arial"/>
          <w:sz w:val="18"/>
          <w:szCs w:val="18"/>
          <w:color w:val="auto"/>
        </w:rPr>
        <w:t>” shall be deemed to occur if such failure continues for five Business Days after written notice thereof is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by Majority Lenders.</w:t>
      </w:r>
    </w:p>
    <w:p>
      <w:pPr>
        <w:spacing w:after="0" w:line="186" w:lineRule="exact"/>
        <w:rPr>
          <w:rFonts w:ascii="Arial" w:cs="Arial" w:eastAsia="Arial" w:hAnsi="Arial"/>
          <w:sz w:val="18"/>
          <w:szCs w:val="18"/>
          <w:color w:val="auto"/>
        </w:rPr>
      </w:pPr>
    </w:p>
    <w:p>
      <w:pPr>
        <w:ind w:left="624" w:hanging="624"/>
        <w:spacing w:after="0"/>
        <w:tabs>
          <w:tab w:leader="none" w:pos="62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During the period after any Take-out Debt Failure Date, any amount outstanding under the Facility may be converted into term loans (the</w:t>
      </w:r>
    </w:p>
    <w:p>
      <w:pPr>
        <w:spacing w:after="0" w:line="46" w:lineRule="exact"/>
        <w:rPr>
          <w:sz w:val="20"/>
          <w:szCs w:val="20"/>
          <w:color w:val="auto"/>
        </w:rPr>
      </w:pPr>
    </w:p>
    <w:p>
      <w:pPr>
        <w:ind w:left="6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Demand Failure Take-out Term Loans</w:t>
      </w:r>
      <w:r>
        <w:rPr>
          <w:rFonts w:ascii="Arial" w:cs="Arial" w:eastAsia="Arial" w:hAnsi="Arial"/>
          <w:sz w:val="17"/>
          <w:szCs w:val="17"/>
          <w:color w:val="auto"/>
        </w:rPr>
        <w:t>”) and/or debt securities (the “</w:t>
      </w:r>
      <w:r>
        <w:rPr>
          <w:rFonts w:ascii="Arial" w:cs="Arial" w:eastAsia="Arial" w:hAnsi="Arial"/>
          <w:sz w:val="17"/>
          <w:szCs w:val="17"/>
          <w:b w:val="1"/>
          <w:bCs w:val="1"/>
          <w:color w:val="auto"/>
        </w:rPr>
        <w:t>Demand Failure Exchange Notes</w:t>
      </w:r>
      <w:r>
        <w:rPr>
          <w:rFonts w:ascii="Arial" w:cs="Arial" w:eastAsia="Arial" w:hAnsi="Arial"/>
          <w:sz w:val="17"/>
          <w:szCs w:val="17"/>
          <w:color w:val="auto"/>
        </w:rPr>
        <w:t>”) (the Demand Failure Take-out Term Loans and the Demand Failure Exchange Notes, collectively “</w:t>
      </w:r>
      <w:r>
        <w:rPr>
          <w:rFonts w:ascii="Arial" w:cs="Arial" w:eastAsia="Arial" w:hAnsi="Arial"/>
          <w:sz w:val="17"/>
          <w:szCs w:val="17"/>
          <w:b w:val="1"/>
          <w:bCs w:val="1"/>
          <w:color w:val="auto"/>
        </w:rPr>
        <w:t>Demand Failure Take-out Instruments</w:t>
      </w:r>
      <w:r>
        <w:rPr>
          <w:rFonts w:ascii="Arial" w:cs="Arial" w:eastAsia="Arial" w:hAnsi="Arial"/>
          <w:sz w:val="17"/>
          <w:szCs w:val="17"/>
          <w:color w:val="auto"/>
        </w:rPr>
        <w:t>”) at, a fixed or (in the case of the Demand Failure Take-out Term Loans only) floating interest rate equal to the Total Cap, and, save as amended or varied by this clause (e) and subject to clause (g) below, otherwise on the terms of the Take-out Investments Banks’ proposal specified in the Take-out Debt Demand and subject to the restrictions set forth in clause (b) above (but in the case of the Demand Failure Take-out Term Loans, with the restrictions set forth in clause (b) above be interpreted with necessary changes to reflect the nature of term loans), at the sole discretion of the Majority Lenders and at a time the Majority Lenders deem appropriate.</w:t>
      </w:r>
    </w:p>
    <w:p>
      <w:pPr>
        <w:spacing w:after="0" w:line="181" w:lineRule="exact"/>
        <w:rPr>
          <w:sz w:val="20"/>
          <w:szCs w:val="20"/>
          <w:color w:val="auto"/>
        </w:rPr>
      </w:pPr>
    </w:p>
    <w:p>
      <w:pPr>
        <w:ind w:left="644" w:right="100" w:hanging="644"/>
        <w:spacing w:after="0" w:line="342" w:lineRule="auto"/>
        <w:tabs>
          <w:tab w:leader="none" w:pos="63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Demand Failure Take-out Term Loans shall be prepayable at any time at the option of the Borrower, without penalty, for principal plus accrued and unpaid interest (if any) plus break costs calculated as per standard APLMA language but excluding the margin in such</w:t>
      </w:r>
    </w:p>
    <w:p>
      <w:pPr>
        <w:sectPr>
          <w:pgSz w:w="11900" w:h="16867" w:orient="portrait"/>
          <w:cols w:equalWidth="0" w:num="1">
            <w:col w:w="10764"/>
          </w:cols>
          <w:pgMar w:left="896" w:top="733" w:right="239" w:bottom="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calculation.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740" w:hanging="644"/>
        <w:spacing w:after="0" w:line="264" w:lineRule="auto"/>
        <w:tabs>
          <w:tab w:leader="none" w:pos="128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Demand Failure Take-out Instruments may be a Demand Failure Take-out Term Loan, a Demand Failure Exchange Note or a combination thereof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principal amount for any such a Demand Failure Take-out Instrument shall be no less than US$50,000,000.</w:t>
      </w:r>
    </w:p>
    <w:p>
      <w:pPr>
        <w:spacing w:after="0" w:line="181" w:lineRule="exact"/>
        <w:rPr>
          <w:rFonts w:ascii="Arial" w:cs="Arial" w:eastAsia="Arial" w:hAnsi="Arial"/>
          <w:sz w:val="18"/>
          <w:szCs w:val="18"/>
          <w:color w:val="auto"/>
        </w:rPr>
      </w:pPr>
    </w:p>
    <w:p>
      <w:pPr>
        <w:ind w:left="1300" w:right="60" w:hanging="644"/>
        <w:spacing w:after="0" w:line="257" w:lineRule="auto"/>
        <w:tabs>
          <w:tab w:leader="none" w:pos="128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anything to the contrary in any Finance Document, if the Majority Lenders in their sole discretion require any of the Demand Failure Take-out Instruments to be in the form of one or more Demand Failure Take-out Term Loans, the Majority Lenders may in their sole discretion, but after consultation with the Borrower, make any of the following changes to the terms of any such Demand Failure Take-out Term Loans that are reasonably necessary or advisable to place the Demand Failure Take-out Term Loans with bona fide third party investors (including Asset Management Affiliates):</w:t>
      </w:r>
    </w:p>
    <w:p>
      <w:pPr>
        <w:spacing w:after="0" w:line="188" w:lineRule="exact"/>
        <w:rPr>
          <w:rFonts w:ascii="Arial" w:cs="Arial" w:eastAsia="Arial" w:hAnsi="Arial"/>
          <w:sz w:val="18"/>
          <w:szCs w:val="18"/>
          <w:color w:val="auto"/>
        </w:rPr>
      </w:pPr>
    </w:p>
    <w:p>
      <w:pPr>
        <w:ind w:left="1940" w:hanging="635"/>
        <w:spacing w:after="0"/>
        <w:tabs>
          <w:tab w:leader="none" w:pos="19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changing the tenor of the Demand Failure Take-out Term Loans to 3 years or longer;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requiring one or more financial covenants that are substantially similar to those included in the main body of this Agreement.</w:t>
      </w:r>
    </w:p>
    <w:p>
      <w:pPr>
        <w:spacing w:after="0" w:line="236" w:lineRule="exact"/>
        <w:rPr>
          <w:rFonts w:ascii="Arial" w:cs="Arial" w:eastAsia="Arial" w:hAnsi="Arial"/>
          <w:sz w:val="17"/>
          <w:szCs w:val="17"/>
          <w:color w:val="auto"/>
        </w:rPr>
      </w:pPr>
    </w:p>
    <w:p>
      <w:pPr>
        <w:ind w:left="1300" w:hanging="644"/>
        <w:spacing w:after="0" w:line="257" w:lineRule="auto"/>
        <w:tabs>
          <w:tab w:leader="none" w:pos="128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shall use its commercially reasonable best efforts to cooperate in full with the Take-out Investment Banks to create an offering memorandum (in respect of any Demand Failure Exchange Notes) or information memorandum (in respect of any Demand Failure Take-out Term Loans), and to otherwise do all things reasonably necessary to facilitate one or more placements of any such Demand Failure Take-out Instruments with third parties, it being understood that “commercially reasonable best efforts” does not require registering an offer of securities with any securities regulatory agency.</w:t>
      </w:r>
    </w:p>
    <w:p>
      <w:pPr>
        <w:spacing w:after="0" w:line="188" w:lineRule="exact"/>
        <w:rPr>
          <w:rFonts w:ascii="Arial" w:cs="Arial" w:eastAsia="Arial" w:hAnsi="Arial"/>
          <w:sz w:val="18"/>
          <w:szCs w:val="18"/>
          <w:color w:val="auto"/>
        </w:rPr>
      </w:pPr>
    </w:p>
    <w:p>
      <w:pPr>
        <w:ind w:left="1300" w:right="40" w:hanging="644"/>
        <w:spacing w:after="0" w:line="264" w:lineRule="auto"/>
        <w:tabs>
          <w:tab w:leader="none" w:pos="128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and the Guarantors shall enter into any document, or do any such acts or things, as are necessary or desirable to give effect to the adjustments and/or changes as determined by the Majority Lenders in accordance with paragraphs (e), (h) and (i) above or for the effectiveness of the Demand Failure Take-out Instruments.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7</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TIMETABLES</w:t>
      </w:r>
    </w:p>
    <w:p>
      <w:pPr>
        <w:sectPr>
          <w:pgSz w:w="11900" w:h="16838" w:orient="portrait"/>
          <w:cols w:equalWidth="0" w:num="1">
            <w:col w:w="11400"/>
          </w:cols>
          <w:pgMar w:left="240" w:top="125" w:right="259" w:bottom="0" w:gutter="0" w:footer="0" w:header="0"/>
        </w:sect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Delivery of a duly completed Utilisation Request (Clause 5.1 (</w:t>
      </w:r>
      <w:r>
        <w:rPr>
          <w:rFonts w:ascii="Arial" w:cs="Arial" w:eastAsia="Arial" w:hAnsi="Arial"/>
          <w:sz w:val="18"/>
          <w:szCs w:val="18"/>
          <w:i w:val="1"/>
          <w:iCs w:val="1"/>
          <w:color w:val="auto"/>
        </w:rPr>
        <w:t>Delivery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1 p.m., 15 March 2017, Hong Kong/Singapore time</w:t>
      </w:r>
    </w:p>
    <w:p>
      <w:pPr>
        <w:spacing w:after="0" w:line="463" w:lineRule="exact"/>
        <w:rPr>
          <w:sz w:val="20"/>
          <w:szCs w:val="20"/>
          <w:color w:val="auto"/>
        </w:rPr>
      </w:pPr>
    </w:p>
    <w:p>
      <w:pPr>
        <w:sectPr>
          <w:pgSz w:w="11900" w:h="16838" w:orient="portrait"/>
          <w:cols w:equalWidth="0" w:num="2">
            <w:col w:w="5580" w:space="240"/>
            <w:col w:w="5580"/>
          </w:cols>
          <w:pgMar w:left="240" w:top="125" w:right="259" w:bottom="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 xml:space="preserve">Agent notifies the Lenders of the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1.30 p.m., 15 March 2017, Hong Kong/Singapore time</w:t>
      </w:r>
    </w:p>
    <w:p>
      <w:pPr>
        <w:spacing w:after="0" w:line="463" w:lineRule="exact"/>
        <w:rPr>
          <w:sz w:val="20"/>
          <w:szCs w:val="20"/>
          <w:color w:val="auto"/>
        </w:rPr>
      </w:pPr>
    </w:p>
    <w:p>
      <w:pPr>
        <w:sectPr>
          <w:pgSz w:w="11900" w:h="16838" w:orient="portrait"/>
          <w:cols w:equalWidth="0" w:num="2">
            <w:col w:w="5100" w:space="720"/>
            <w:col w:w="5580"/>
          </w:cols>
          <w:pgMar w:left="240" w:top="125" w:right="259" w:bottom="0" w:gutter="0" w:footer="0" w:header="0"/>
          <w:type w:val="continuous"/>
        </w:sectPr>
      </w:pPr>
    </w:p>
    <w:p>
      <w:pPr>
        <w:spacing w:after="0"/>
        <w:rPr>
          <w:sz w:val="20"/>
          <w:szCs w:val="20"/>
          <w:color w:val="auto"/>
        </w:rPr>
      </w:pPr>
      <w:r>
        <w:rPr>
          <w:rFonts w:ascii="Arial" w:cs="Arial" w:eastAsia="Arial" w:hAnsi="Arial"/>
          <w:sz w:val="17"/>
          <w:szCs w:val="17"/>
          <w:color w:val="auto"/>
        </w:rPr>
        <w:t>LIBOR is fixed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Quotation Day as at 11 a.m. London time</w:t>
      </w:r>
    </w:p>
    <w:p>
      <w:pPr>
        <w:spacing w:after="0" w:line="211" w:lineRule="exact"/>
        <w:rPr>
          <w:sz w:val="20"/>
          <w:szCs w:val="20"/>
          <w:color w:val="auto"/>
        </w:rPr>
      </w:pPr>
    </w:p>
    <w:p>
      <w:pPr>
        <w:sectPr>
          <w:pgSz w:w="11900" w:h="16838" w:orient="portrait"/>
          <w:cols w:equalWidth="0" w:num="2">
            <w:col w:w="5100" w:space="720"/>
            <w:col w:w="5580"/>
          </w:cols>
          <w:pgMar w:left="240" w:top="125" w:right="259" w:bottom="0" w:gutter="0" w:footer="0" w:header="0"/>
          <w:type w:val="continuous"/>
        </w:sectPr>
      </w:pP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VIPSHOP HOLDINGS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Donghao Yang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Donghao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Address: No. 20 Huahai Street, Liwan District, Guangzhou 510370, People’s Republic of China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number: +86 (20) 2233-0111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Millicent Tu</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ectPr>
          <w:pgSz w:w="11900" w:h="16838" w:orient="portrait"/>
          <w:cols w:equalWidth="0" w:num="1">
            <w:col w:w="11400"/>
          </w:cols>
          <w:pgMar w:left="240" w:top="125" w:right="259" w:bottom="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VIPSHOP INTERNATIONAL HOLDINGS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Ya Shen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Ya Shen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Address: No. 20 Huahai Street, Liwan District, Guangzhou 510370, People’s Republic of China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number: +86 (20) 2233-0111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Millicent Tu</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AG, SINGAPORE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Colleen Reid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Colleen Reid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General Counsel Division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Karen Yap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Karen Yap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Address: 1 Changi Business Park Central 1, #01-101 ONE@Changi City, Singapore 486036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number: +65 6212 2709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Singapore Loan Operations</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SENIOR FUNDING,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1585 Broadway, 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number: +852 3748 1119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loansagencyhk</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AG, SINGAPORE BRANCH</w:t>
      </w:r>
    </w:p>
    <w:p>
      <w:pPr>
        <w:sectPr>
          <w:pgSz w:w="11900" w:h="16838" w:orient="portrait"/>
          <w:cols w:equalWidth="0" w:num="1">
            <w:col w:w="10219"/>
          </w:cols>
          <w:pgMar w:left="240" w:top="121" w:right="1440" w:bottom="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Colleen Reid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Colleen Reid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General Counsel Division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Karen Yap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Karen Yap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Address: 1 Changi Business Park Central 1, #01-101 ONE@Changi City, Singapore 486036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number: +65 6212 2709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Singapore Loan Operations</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SENIOR FUNDING,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Michael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1585 Broadway, 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number: +852 3748 0884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aploanservicing</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SENIOR FUNDING,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1585 Broadway, 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number: +852 3748 1119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loansagencyhk</w:t>
      </w:r>
    </w:p>
    <w:p>
      <w:pPr>
        <w:spacing w:after="0" w:line="211"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[Signature page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4939A3"/>
    <w:multiLevelType w:val="hybridMultilevel"/>
    <w:lvl w:ilvl="0">
      <w:lvlJc w:val="left"/>
      <w:lvlText w:val="(%1)"/>
      <w:numFmt w:val="decimal"/>
      <w:start w:val="1"/>
    </w:lvl>
  </w:abstractNum>
  <w:abstractNum w:abstractNumId="1">
    <w:nsid w:val="4FA0D2E3"/>
    <w:multiLevelType w:val="hybridMultilevel"/>
    <w:lvl w:ilvl="0">
      <w:lvlJc w:val="left"/>
      <w:lvlText w:val="x"/>
      <w:numFmt w:val="bullet"/>
      <w:start w:val="1"/>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o"/>
      <w:numFmt w:val="bullet"/>
      <w:start w:val="1"/>
    </w:lvl>
  </w:abstractNum>
  <w:abstractNum w:abstractNumId="4">
    <w:nsid w:val="3F7F5DD9"/>
    <w:multiLevelType w:val="hybridMultilevel"/>
    <w:lvl w:ilvl="0">
      <w:lvlJc w:val="left"/>
      <w:lvlText w:val="o"/>
      <w:numFmt w:val="bullet"/>
      <w:start w:val="1"/>
    </w:lvl>
  </w:abstractNum>
  <w:abstractNum w:abstractNumId="5">
    <w:nsid w:val="2AE05A34"/>
    <w:multiLevelType w:val="hybridMultilevel"/>
    <w:lvl w:ilvl="0">
      <w:lvlJc w:val="left"/>
      <w:lvlText w:val="(%1)"/>
      <w:numFmt w:val="lowerLetter"/>
      <w:start w:val="7"/>
    </w:lvl>
  </w:abstractNum>
  <w:abstractNum w:abstractNumId="6">
    <w:nsid w:val="32794FF7"/>
    <w:multiLevelType w:val="hybridMultilevel"/>
    <w:lvl w:ilvl="0">
      <w:lvlJc w:val="left"/>
      <w:lvlText w:val="*"/>
      <w:numFmt w:val="bullet"/>
      <w:start w:val="1"/>
    </w:lvl>
  </w:abstractNum>
  <w:abstractNum w:abstractNumId="7">
    <w:nsid w:val="5454945E"/>
    <w:multiLevelType w:val="hybridMultilevel"/>
    <w:lvl w:ilvl="0">
      <w:lvlJc w:val="left"/>
      <w:lvlText w:val="*"/>
      <w:numFmt w:val="bullet"/>
      <w:start w:val="1"/>
    </w:lvl>
  </w:abstractNum>
  <w:abstractNum w:abstractNumId="8">
    <w:nsid w:val="4DEFDFA0"/>
    <w:multiLevelType w:val="hybridMultilevel"/>
    <w:lvl w:ilvl="0">
      <w:lvlJc w:val="left"/>
      <w:lvlText w:val="(%1)"/>
      <w:numFmt w:val="decimal"/>
      <w:start w:val="1"/>
    </w:lvl>
  </w:abstractNum>
  <w:abstractNum w:abstractNumId="9">
    <w:nsid w:val="2123D5F2"/>
    <w:multiLevelType w:val="hybridMultilevel"/>
    <w:lvl w:ilvl="0">
      <w:lvlJc w:val="left"/>
      <w:lvlText w:val="%1."/>
      <w:numFmt w:val="decimal"/>
      <w:start w:val="1"/>
    </w:lvl>
  </w:abstractNum>
  <w:abstractNum w:abstractNumId="10">
    <w:nsid w:val="135B8110"/>
    <w:multiLevelType w:val="hybridMultilevel"/>
    <w:lvl w:ilvl="0">
      <w:lvlJc w:val="left"/>
      <w:lvlText w:val="(%1)"/>
      <w:numFmt w:val="lowerLetter"/>
      <w:start w:val="1"/>
    </w:lvl>
  </w:abstractNum>
  <w:abstractNum w:abstractNumId="11">
    <w:nsid w:val="94927A8"/>
    <w:multiLevelType w:val="hybridMultilevel"/>
    <w:lvl w:ilvl="0">
      <w:lvlJc w:val="left"/>
      <w:lvlText w:val="(%1)"/>
      <w:numFmt w:val="lowerLetter"/>
      <w:start w:val="1"/>
    </w:lvl>
  </w:abstractNum>
  <w:abstractNum w:abstractNumId="12">
    <w:nsid w:val="DCDF8F6"/>
    <w:multiLevelType w:val="hybridMultilevel"/>
    <w:lvl w:ilvl="0">
      <w:lvlJc w:val="left"/>
      <w:lvlText w:val="(%1)"/>
      <w:numFmt w:val="lowerLetter"/>
      <w:start w:val="2"/>
    </w:lvl>
  </w:abstractNum>
  <w:abstractNum w:abstractNumId="13">
    <w:nsid w:val="52D7B105"/>
    <w:multiLevelType w:val="hybridMultilevel"/>
    <w:lvl w:ilvl="0">
      <w:lvlJc w:val="left"/>
      <w:lvlText w:val="(%1)"/>
      <w:numFmt w:val="lowerLetter"/>
      <w:start w:val="1"/>
    </w:lvl>
  </w:abstractNum>
  <w:abstractNum w:abstractNumId="14">
    <w:nsid w:val="2E8A6394"/>
    <w:multiLevelType w:val="hybridMultilevel"/>
    <w:lvl w:ilvl="0">
      <w:lvlJc w:val="left"/>
      <w:lvlText w:val="(%1)"/>
      <w:numFmt w:val="lowerLetter"/>
      <w:start w:val="1"/>
    </w:lvl>
  </w:abstractNum>
  <w:abstractNum w:abstractNumId="15">
    <w:nsid w:val="24E60401"/>
    <w:multiLevelType w:val="hybridMultilevel"/>
    <w:lvl w:ilvl="0">
      <w:lvlJc w:val="left"/>
      <w:lvlText w:val="(%1)"/>
      <w:numFmt w:val="lowerRoman"/>
      <w:start w:val="1"/>
    </w:lvl>
  </w:abstractNum>
  <w:abstractNum w:abstractNumId="16">
    <w:nsid w:val="2A6AD9BE"/>
    <w:multiLevelType w:val="hybridMultilevel"/>
    <w:lvl w:ilvl="0">
      <w:lvlJc w:val="left"/>
      <w:lvlText w:val="(%1)"/>
      <w:numFmt w:val="upperLetter"/>
      <w:start w:val="1"/>
    </w:lvl>
  </w:abstractNum>
  <w:abstractNum w:abstractNumId="17">
    <w:nsid w:val="BAAC1B4"/>
    <w:multiLevelType w:val="hybridMultilevel"/>
    <w:lvl w:ilvl="0">
      <w:lvlJc w:val="left"/>
      <w:lvlText w:val="%1"/>
      <w:numFmt w:val="lowerLetter"/>
      <w:start w:val="1"/>
    </w:lvl>
    <w:lvl w:ilvl="1">
      <w:lvlJc w:val="left"/>
      <w:lvlText w:val="(%2)"/>
      <w:numFmt w:val="lowerLetter"/>
      <w:start w:val="35"/>
    </w:lvl>
  </w:abstractNum>
  <w:abstractNum w:abstractNumId="18">
    <w:nsid w:val="36B2ACBC"/>
    <w:multiLevelType w:val="hybridMultilevel"/>
    <w:lvl w:ilvl="0">
      <w:lvlJc w:val="left"/>
      <w:lvlText w:val="(%1)"/>
      <w:numFmt w:val="lowerLetter"/>
      <w:start w:val="1"/>
    </w:lvl>
    <w:lvl w:ilvl="1">
      <w:lvlJc w:val="left"/>
      <w:lvlText w:val="%2"/>
      <w:numFmt w:val="lowerLetter"/>
      <w:start w:val="1"/>
    </w:lvl>
  </w:abstractNum>
  <w:abstractNum w:abstractNumId="19">
    <w:nsid w:val="779D8544"/>
    <w:multiLevelType w:val="hybridMultilevel"/>
    <w:lvl w:ilvl="0">
      <w:lvlJc w:val="left"/>
      <w:lvlText w:val="(%1)"/>
      <w:numFmt w:val="lowerLetter"/>
      <w:start w:val="2"/>
    </w:lvl>
    <w:lvl w:ilvl="1">
      <w:lvlJc w:val="left"/>
      <w:lvlText w:val="(%2)"/>
      <w:numFmt w:val="lowerRoman"/>
      <w:start w:val="1"/>
    </w:lvl>
  </w:abstractNum>
  <w:abstractNum w:abstractNumId="20">
    <w:nsid w:val="4AB26E78"/>
    <w:multiLevelType w:val="hybridMultilevel"/>
    <w:lvl w:ilvl="0">
      <w:lvlJc w:val="left"/>
      <w:lvlText w:val="(%1)"/>
      <w:numFmt w:val="lowerLetter"/>
      <w:start w:val="1"/>
    </w:lvl>
    <w:lvl w:ilvl="1">
      <w:lvlJc w:val="left"/>
      <w:lvlText w:val="(%2)"/>
      <w:numFmt w:val="lowerLetter"/>
      <w:start w:val="1"/>
    </w:lvl>
  </w:abstractNum>
  <w:abstractNum w:abstractNumId="21">
    <w:nsid w:val="21FAA2FA"/>
    <w:multiLevelType w:val="hybridMultilevel"/>
    <w:lvl w:ilvl="0">
      <w:lvlJc w:val="left"/>
      <w:lvlText w:val="(%1)"/>
      <w:numFmt w:val="lowerLetter"/>
      <w:start w:val="1"/>
    </w:lvl>
  </w:abstractNum>
  <w:abstractNum w:abstractNumId="22">
    <w:nsid w:val="5451CF49"/>
    <w:multiLevelType w:val="hybridMultilevel"/>
    <w:lvl w:ilvl="0">
      <w:lvlJc w:val="left"/>
      <w:lvlText w:val="(%1)"/>
      <w:numFmt w:val="lowerLetter"/>
      <w:start w:val="1"/>
    </w:lvl>
  </w:abstractNum>
  <w:abstractNum w:abstractNumId="23">
    <w:nsid w:val="6181EF69"/>
    <w:multiLevelType w:val="hybridMultilevel"/>
    <w:lvl w:ilvl="0">
      <w:lvlJc w:val="left"/>
      <w:lvlText w:val="(%1)"/>
      <w:numFmt w:val="lowerLetter"/>
      <w:start w:val="1"/>
    </w:lvl>
  </w:abstractNum>
  <w:abstractNum w:abstractNumId="24">
    <w:nsid w:val="3E6400E6"/>
    <w:multiLevelType w:val="hybridMultilevel"/>
    <w:lvl w:ilvl="0">
      <w:lvlJc w:val="left"/>
      <w:lvlText w:val="(%1)"/>
      <w:numFmt w:val="lowerLetter"/>
      <w:start w:val="2"/>
    </w:lvl>
  </w:abstractNum>
  <w:abstractNum w:abstractNumId="25">
    <w:nsid w:val="14217E23"/>
    <w:multiLevelType w:val="hybridMultilevel"/>
    <w:lvl w:ilvl="0">
      <w:lvlJc w:val="left"/>
      <w:lvlText w:val="(%1)"/>
      <w:numFmt w:val="lowerLetter"/>
      <w:start w:val="1"/>
    </w:lvl>
  </w:abstractNum>
  <w:abstractNum w:abstractNumId="26">
    <w:nsid w:val="710757D0"/>
    <w:multiLevelType w:val="hybridMultilevel"/>
    <w:lvl w:ilvl="0">
      <w:lvlJc w:val="left"/>
      <w:lvlText w:val="(%1)"/>
      <w:numFmt w:val="lowerLetter"/>
      <w:start w:val="1"/>
    </w:lvl>
  </w:abstractNum>
  <w:abstractNum w:abstractNumId="27">
    <w:nsid w:val="5015CD1A"/>
    <w:multiLevelType w:val="hybridMultilevel"/>
    <w:lvl w:ilvl="0">
      <w:lvlJc w:val="left"/>
      <w:lvlText w:val="(%1)"/>
      <w:numFmt w:val="lowerLetter"/>
      <w:start w:val="1"/>
    </w:lvl>
  </w:abstractNum>
  <w:abstractNum w:abstractNumId="28">
    <w:nsid w:val="424479DA"/>
    <w:multiLevelType w:val="hybridMultilevel"/>
    <w:lvl w:ilvl="0">
      <w:lvlJc w:val="left"/>
      <w:lvlText w:val="(%1)"/>
      <w:numFmt w:val="lowerLetter"/>
      <w:start w:val="1"/>
    </w:lvl>
  </w:abstractNum>
  <w:abstractNum w:abstractNumId="29">
    <w:nsid w:val="1A9A9E69"/>
    <w:multiLevelType w:val="hybridMultilevel"/>
    <w:lvl w:ilvl="0">
      <w:lvlJc w:val="left"/>
      <w:lvlText w:val="(%1)"/>
      <w:numFmt w:val="lowerLetter"/>
      <w:start w:val="1"/>
    </w:lvl>
  </w:abstractNum>
  <w:abstractNum w:abstractNumId="30">
    <w:nsid w:val="475E256A"/>
    <w:multiLevelType w:val="hybridMultilevel"/>
    <w:lvl w:ilvl="0">
      <w:lvlJc w:val="left"/>
      <w:lvlText w:val="(%1)"/>
      <w:numFmt w:val="lowerLetter"/>
      <w:start w:val="3"/>
    </w:lvl>
  </w:abstractNum>
  <w:abstractNum w:abstractNumId="31">
    <w:nsid w:val="368DB37E"/>
    <w:multiLevelType w:val="hybridMultilevel"/>
    <w:lvl w:ilvl="0">
      <w:lvlJc w:val="left"/>
      <w:lvlText w:val="(%1)"/>
      <w:numFmt w:val="lowerLetter"/>
      <w:start w:val="1"/>
    </w:lvl>
  </w:abstractNum>
  <w:abstractNum w:abstractNumId="32">
    <w:nsid w:val="6A3B714C"/>
    <w:multiLevelType w:val="hybridMultilevel"/>
    <w:lvl w:ilvl="0">
      <w:lvlJc w:val="left"/>
      <w:lvlText w:val="(%1)"/>
      <w:numFmt w:val="lowerLetter"/>
      <w:start w:val="1"/>
    </w:lvl>
  </w:abstractNum>
  <w:abstractNum w:abstractNumId="33">
    <w:nsid w:val="327B517E"/>
    <w:multiLevelType w:val="hybridMultilevel"/>
    <w:lvl w:ilvl="0">
      <w:lvlJc w:val="left"/>
      <w:lvlText w:val="(%1)"/>
      <w:numFmt w:val="lowerLetter"/>
      <w:start w:val="1"/>
    </w:lvl>
  </w:abstractNum>
  <w:abstractNum w:abstractNumId="34">
    <w:nsid w:val="1F461B51"/>
    <w:multiLevelType w:val="hybridMultilevel"/>
    <w:lvl w:ilvl="0">
      <w:lvlJc w:val="left"/>
      <w:lvlText w:val="(%1)"/>
      <w:numFmt w:val="lowerLetter"/>
      <w:start w:val="7"/>
    </w:lvl>
  </w:abstractNum>
  <w:abstractNum w:abstractNumId="35">
    <w:nsid w:val="29BACF25"/>
    <w:multiLevelType w:val="hybridMultilevel"/>
    <w:lvl w:ilvl="0">
      <w:lvlJc w:val="left"/>
      <w:lvlText w:val="(%1)"/>
      <w:numFmt w:val="lowerLetter"/>
      <w:start w:val="1"/>
    </w:lvl>
  </w:abstractNum>
  <w:abstractNum w:abstractNumId="36">
    <w:nsid w:val="5D5BABB3"/>
    <w:multiLevelType w:val="hybridMultilevel"/>
    <w:lvl w:ilvl="0">
      <w:lvlJc w:val="left"/>
      <w:lvlText w:val="(%1)"/>
      <w:numFmt w:val="lowerLetter"/>
      <w:start w:val="1"/>
    </w:lvl>
  </w:abstractNum>
  <w:abstractNum w:abstractNumId="37">
    <w:nsid w:val="51BF6B48"/>
    <w:multiLevelType w:val="hybridMultilevel"/>
    <w:lvl w:ilvl="0">
      <w:lvlJc w:val="left"/>
      <w:lvlText w:val="(%1)"/>
      <w:numFmt w:val="lowerLetter"/>
      <w:start w:val="1"/>
    </w:lvl>
  </w:abstractNum>
  <w:abstractNum w:abstractNumId="38">
    <w:nsid w:val="7E0F6384"/>
    <w:multiLevelType w:val="hybridMultilevel"/>
    <w:lvl w:ilvl="0">
      <w:lvlJc w:val="left"/>
      <w:lvlText w:val="(%1)"/>
      <w:numFmt w:val="lowerLetter"/>
      <w:start w:val="1"/>
    </w:lvl>
    <w:lvl w:ilvl="1">
      <w:lvlJc w:val="left"/>
      <w:lvlText w:val="(%2)"/>
      <w:numFmt w:val="lowerRoman"/>
      <w:start w:val="1"/>
    </w:lvl>
  </w:abstractNum>
  <w:abstractNum w:abstractNumId="39">
    <w:nsid w:val="2B4B8B53"/>
    <w:multiLevelType w:val="hybridMultilevel"/>
    <w:lvl w:ilvl="0">
      <w:lvlJc w:val="left"/>
      <w:lvlText w:val="(%1)"/>
      <w:numFmt w:val="lowerLetter"/>
      <w:start w:val="5"/>
    </w:lvl>
  </w:abstractNum>
  <w:abstractNum w:abstractNumId="40">
    <w:nsid w:val="72E3413A"/>
    <w:multiLevelType w:val="hybridMultilevel"/>
    <w:lvl w:ilvl="0">
      <w:lvlJc w:val="left"/>
      <w:lvlText w:val="(%1)"/>
      <w:numFmt w:val="lowerLetter"/>
      <w:start w:val="8"/>
    </w:lvl>
  </w:abstractNum>
  <w:abstractNum w:abstractNumId="41">
    <w:nsid w:val="116AE494"/>
    <w:multiLevelType w:val="hybridMultilevel"/>
    <w:lvl w:ilvl="0">
      <w:lvlJc w:val="left"/>
      <w:lvlText w:val="(%1)"/>
      <w:numFmt w:val="lowerLetter"/>
      <w:start w:val="1"/>
    </w:lvl>
  </w:abstractNum>
  <w:abstractNum w:abstractNumId="42">
    <w:nsid w:val="3494B2FB"/>
    <w:multiLevelType w:val="hybridMultilevel"/>
    <w:lvl w:ilvl="0">
      <w:lvlJc w:val="left"/>
      <w:lvlText w:val="(%1)"/>
      <w:numFmt w:val="lowerLetter"/>
      <w:start w:val="1"/>
    </w:lvl>
  </w:abstractNum>
  <w:abstractNum w:abstractNumId="43">
    <w:nsid w:val="B13A31"/>
    <w:multiLevelType w:val="hybridMultilevel"/>
    <w:lvl w:ilvl="0">
      <w:lvlJc w:val="left"/>
      <w:lvlText w:val="(%1)"/>
      <w:numFmt w:val="lowerLetter"/>
      <w:start w:val="1"/>
    </w:lvl>
  </w:abstractNum>
  <w:abstractNum w:abstractNumId="44">
    <w:nsid w:val="64429599"/>
    <w:multiLevelType w:val="hybridMultilevel"/>
    <w:lvl w:ilvl="0">
      <w:lvlJc w:val="left"/>
      <w:lvlText w:val="(%1)"/>
      <w:numFmt w:val="lowerLetter"/>
      <w:start w:val="1"/>
    </w:lvl>
  </w:abstractNum>
  <w:abstractNum w:abstractNumId="45">
    <w:nsid w:val="631F1690"/>
    <w:multiLevelType w:val="hybridMultilevel"/>
    <w:lvl w:ilvl="0">
      <w:lvlJc w:val="left"/>
      <w:lvlText w:val="(%1)"/>
      <w:numFmt w:val="lowerLetter"/>
      <w:start w:val="2"/>
    </w:lvl>
  </w:abstractNum>
  <w:abstractNum w:abstractNumId="46">
    <w:nsid w:val="25973E32"/>
    <w:multiLevelType w:val="hybridMultilevel"/>
    <w:lvl w:ilvl="0">
      <w:lvlJc w:val="left"/>
      <w:lvlText w:val="(%1)"/>
      <w:numFmt w:val="lowerLetter"/>
      <w:start w:val="1"/>
    </w:lvl>
  </w:abstractNum>
  <w:abstractNum w:abstractNumId="47">
    <w:nsid w:val="EAD6F57"/>
    <w:multiLevelType w:val="hybridMultilevel"/>
    <w:lvl w:ilvl="0">
      <w:lvlJc w:val="left"/>
      <w:lvlText w:val="(%1)"/>
      <w:numFmt w:val="lowerRoman"/>
      <w:start w:val="1"/>
    </w:lvl>
  </w:abstractNum>
  <w:abstractNum w:abstractNumId="48">
    <w:nsid w:val="6EC9D844"/>
    <w:multiLevelType w:val="hybridMultilevel"/>
    <w:lvl w:ilvl="0">
      <w:lvlJc w:val="left"/>
      <w:lvlText w:val="(%1)"/>
      <w:numFmt w:val="lowerRoman"/>
      <w:start w:val="2"/>
    </w:lvl>
  </w:abstractNum>
  <w:abstractNum w:abstractNumId="49">
    <w:nsid w:val="5C49EAEE"/>
    <w:multiLevelType w:val="hybridMultilevel"/>
    <w:lvl w:ilvl="0">
      <w:lvlJc w:val="left"/>
      <w:lvlText w:val="%1"/>
      <w:numFmt w:val="lowerLetter"/>
      <w:start w:val="1"/>
    </w:lvl>
    <w:lvl w:ilvl="1">
      <w:lvlJc w:val="left"/>
      <w:lvlText w:val="(%2)"/>
      <w:numFmt w:val="lowerRoman"/>
      <w:start w:val="7"/>
    </w:lvl>
  </w:abstractNum>
  <w:abstractNum w:abstractNumId="50">
    <w:nsid w:val="64AF49B"/>
    <w:multiLevelType w:val="hybridMultilevel"/>
    <w:lvl w:ilvl="0">
      <w:lvlJc w:val="left"/>
      <w:lvlText w:val="(%1)"/>
      <w:numFmt w:val="lowerLetter"/>
      <w:start w:val="2"/>
    </w:lvl>
    <w:lvl w:ilvl="1">
      <w:lvlJc w:val="left"/>
      <w:lvlText w:val="%2"/>
      <w:numFmt w:val="lowerRoman"/>
      <w:start w:val="1"/>
    </w:lvl>
  </w:abstractNum>
  <w:abstractNum w:abstractNumId="51">
    <w:nsid w:val="397C46BC"/>
    <w:multiLevelType w:val="hybridMultilevel"/>
    <w:lvl w:ilvl="0">
      <w:lvlJc w:val="left"/>
      <w:lvlText w:val="(%1)"/>
      <w:numFmt w:val="lowerLetter"/>
      <w:start w:val="1"/>
    </w:lvl>
  </w:abstractNum>
  <w:abstractNum w:abstractNumId="52">
    <w:nsid w:val="7E448DE9"/>
    <w:multiLevelType w:val="hybridMultilevel"/>
    <w:lvl w:ilvl="0">
      <w:lvlJc w:val="left"/>
      <w:lvlText w:val="(%1)"/>
      <w:numFmt w:val="lowerLetter"/>
      <w:start w:val="2"/>
    </w:lvl>
  </w:abstractNum>
  <w:abstractNum w:abstractNumId="53">
    <w:nsid w:val="5A9CC3E5"/>
    <w:multiLevelType w:val="hybridMultilevel"/>
    <w:lvl w:ilvl="0">
      <w:lvlJc w:val="left"/>
      <w:lvlText w:val="%1."/>
      <w:numFmt w:val="decimal"/>
      <w:start w:val="2"/>
    </w:lvl>
  </w:abstractNum>
  <w:abstractNum w:abstractNumId="54">
    <w:nsid w:val="1AFE3625"/>
    <w:multiLevelType w:val="hybridMultilevel"/>
    <w:lvl w:ilvl="0">
      <w:lvlJc w:val="left"/>
      <w:lvlText w:val="(%1)"/>
      <w:numFmt w:val="lowerLetter"/>
      <w:start w:val="1"/>
    </w:lvl>
  </w:abstractNum>
  <w:abstractNum w:abstractNumId="55">
    <w:nsid w:val="3CA88ECF"/>
    <w:multiLevelType w:val="hybridMultilevel"/>
    <w:lvl w:ilvl="0">
      <w:lvlJc w:val="left"/>
      <w:lvlText w:val="%1."/>
      <w:numFmt w:val="decimal"/>
      <w:start w:val="3"/>
    </w:lvl>
  </w:abstractNum>
  <w:abstractNum w:abstractNumId="56">
    <w:nsid w:val="6EBE4208"/>
    <w:multiLevelType w:val="hybridMultilevel"/>
    <w:lvl w:ilvl="0">
      <w:lvlJc w:val="left"/>
      <w:lvlText w:val="(%1)"/>
      <w:numFmt w:val="lowerLetter"/>
      <w:start w:val="1"/>
    </w:lvl>
  </w:abstractNum>
  <w:abstractNum w:abstractNumId="57">
    <w:nsid w:val="C058DF5"/>
    <w:multiLevelType w:val="hybridMultilevel"/>
    <w:lvl w:ilvl="0">
      <w:lvlJc w:val="left"/>
      <w:lvlText w:val="%1."/>
      <w:numFmt w:val="decimal"/>
      <w:start w:val="4"/>
    </w:lvl>
  </w:abstractNum>
  <w:abstractNum w:abstractNumId="58">
    <w:nsid w:val="CBE5BE9"/>
    <w:multiLevelType w:val="hybridMultilevel"/>
    <w:lvl w:ilvl="0">
      <w:lvlJc w:val="left"/>
      <w:lvlText w:val="(%1)"/>
      <w:numFmt w:val="lowerLetter"/>
      <w:start w:val="1"/>
    </w:lvl>
  </w:abstractNum>
  <w:abstractNum w:abstractNumId="59">
    <w:nsid w:val="3102BBE2"/>
    <w:multiLevelType w:val="hybridMultilevel"/>
    <w:lvl w:ilvl="0">
      <w:lvlJc w:val="left"/>
      <w:lvlText w:val="(%1)"/>
      <w:numFmt w:val="lowerLetter"/>
      <w:start w:val="1"/>
    </w:lvl>
  </w:abstractNum>
  <w:abstractNum w:abstractNumId="60">
    <w:nsid w:val="26A02C5E"/>
    <w:multiLevelType w:val="hybridMultilevel"/>
    <w:lvl w:ilvl="0">
      <w:lvlJc w:val="left"/>
      <w:lvlText w:val="%1."/>
      <w:numFmt w:val="decimal"/>
      <w:start w:val="5"/>
    </w:lvl>
  </w:abstractNum>
  <w:abstractNum w:abstractNumId="61">
    <w:nsid w:val="541C8153"/>
    <w:multiLevelType w:val="hybridMultilevel"/>
    <w:lvl w:ilvl="0">
      <w:lvlJc w:val="left"/>
      <w:lvlText w:val="(%1)"/>
      <w:numFmt w:val="lowerLetter"/>
      <w:start w:val="1"/>
    </w:lvl>
    <w:lvl w:ilvl="1">
      <w:lvlJc w:val="left"/>
      <w:lvlText w:val="(%2)"/>
      <w:numFmt w:val="lowerRoman"/>
      <w:start w:val="1"/>
    </w:lvl>
  </w:abstractNum>
  <w:abstractNum w:abstractNumId="62">
    <w:nsid w:val="67906F6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10DB9DAA"/>
    <w:multiLevelType w:val="hybridMultilevel"/>
    <w:lvl w:ilvl="0">
      <w:lvlJc w:val="left"/>
      <w:lvlText w:val="(%1)"/>
      <w:numFmt w:val="lowerLetter"/>
      <w:start w:val="1"/>
    </w:lvl>
  </w:abstractNum>
  <w:abstractNum w:abstractNumId="64">
    <w:nsid w:val="697D2D2"/>
    <w:multiLevelType w:val="hybridMultilevel"/>
    <w:lvl w:ilvl="0">
      <w:lvlJc w:val="left"/>
      <w:lvlText w:val="(%1)"/>
      <w:numFmt w:val="lowerLetter"/>
      <w:start w:val="2"/>
    </w:lvl>
  </w:abstractNum>
  <w:abstractNum w:abstractNumId="65">
    <w:nsid w:val="6D68AB2"/>
    <w:multiLevelType w:val="hybridMultilevel"/>
    <w:lvl w:ilvl="0">
      <w:lvlJc w:val="left"/>
      <w:lvlText w:val="%1."/>
      <w:numFmt w:val="decimal"/>
      <w:start w:val="6"/>
    </w:lvl>
  </w:abstractNum>
  <w:abstractNum w:abstractNumId="66">
    <w:nsid w:val="3A966CD0"/>
    <w:multiLevelType w:val="hybridMultilevel"/>
    <w:lvl w:ilvl="0">
      <w:lvlJc w:val="left"/>
      <w:lvlText w:val="%1."/>
      <w:numFmt w:val="decimal"/>
      <w:start w:val="7"/>
    </w:lvl>
  </w:abstractNum>
  <w:abstractNum w:abstractNumId="67">
    <w:nsid w:val="63F37E85"/>
    <w:multiLevelType w:val="hybridMultilevel"/>
    <w:lvl w:ilvl="0">
      <w:lvlJc w:val="left"/>
      <w:lvlText w:val="(%1)"/>
      <w:numFmt w:val="lowerLetter"/>
      <w:start w:val="1"/>
    </w:lvl>
  </w:abstractNum>
  <w:abstractNum w:abstractNumId="68">
    <w:nsid w:val="5895F5FA"/>
    <w:multiLevelType w:val="hybridMultilevel"/>
    <w:lvl w:ilvl="0">
      <w:lvlJc w:val="left"/>
      <w:lvlText w:val="(%1)"/>
      <w:numFmt w:val="lowerLetter"/>
      <w:start w:val="1"/>
    </w:lvl>
  </w:abstractNum>
  <w:abstractNum w:abstractNumId="69">
    <w:nsid w:val="38A5D054"/>
    <w:multiLevelType w:val="hybridMultilevel"/>
    <w:lvl w:ilvl="0">
      <w:lvlJc w:val="left"/>
      <w:lvlText w:val="(%1)"/>
      <w:numFmt w:val="lowerRoman"/>
      <w:start w:val="1"/>
    </w:lvl>
  </w:abstractNum>
  <w:abstractNum w:abstractNumId="70">
    <w:nsid w:val="F3F09D8"/>
    <w:multiLevelType w:val="hybridMultilevel"/>
    <w:lvl w:ilvl="0">
      <w:lvlJc w:val="left"/>
      <w:lvlText w:val="(%1)"/>
      <w:numFmt w:val="lowerLetter"/>
      <w:start w:val="1"/>
    </w:lvl>
  </w:abstractNum>
  <w:abstractNum w:abstractNumId="71">
    <w:nsid w:val="4B793735"/>
    <w:multiLevelType w:val="hybridMultilevel"/>
    <w:lvl w:ilvl="0">
      <w:lvlJc w:val="left"/>
      <w:lvlText w:val="(%1)"/>
      <w:numFmt w:val="lowerRoman"/>
      <w:start w:val="1"/>
    </w:lvl>
  </w:abstractNum>
  <w:abstractNum w:abstractNumId="72">
    <w:nsid w:val="4A10B4E8"/>
    <w:multiLevelType w:val="hybridMultilevel"/>
    <w:lvl w:ilvl="0">
      <w:lvlJc w:val="left"/>
      <w:lvlText w:val="(%1)"/>
      <w:numFmt w:val="lowerRoman"/>
      <w:start w:val="1"/>
    </w:lvl>
  </w:abstractNum>
  <w:abstractNum w:abstractNumId="73">
    <w:nsid w:val="43D3BCD4"/>
    <w:multiLevelType w:val="hybridMultilevel"/>
    <w:lvl w:ilvl="0">
      <w:lvlJc w:val="left"/>
      <w:lvlText w:val="(%1)"/>
      <w:numFmt w:val="lowerRoman"/>
      <w:start w:val="2"/>
    </w:lvl>
  </w:abstractNum>
  <w:abstractNum w:abstractNumId="74">
    <w:nsid w:val="4C2A7166"/>
    <w:multiLevelType w:val="hybridMultilevel"/>
    <w:lvl w:ilvl="0">
      <w:lvlJc w:val="left"/>
      <w:lvlText w:val="(%1)"/>
      <w:numFmt w:val="lowerRoman"/>
      <w:start w:val="1"/>
    </w:lvl>
  </w:abstractNum>
  <w:abstractNum w:abstractNumId="75">
    <w:nsid w:val="2E534A82"/>
    <w:multiLevelType w:val="hybridMultilevel"/>
    <w:lvl w:ilvl="0">
      <w:lvlJc w:val="left"/>
      <w:lvlText w:val="(%1)"/>
      <w:numFmt w:val="lowerLetter"/>
      <w:start w:val="2"/>
    </w:lvl>
    <w:lvl w:ilvl="1">
      <w:lvlJc w:val="left"/>
      <w:lvlText w:val="(%2)"/>
      <w:numFmt w:val="lowerRoman"/>
      <w:start w:val="1"/>
    </w:lvl>
  </w:abstractNum>
  <w:abstractNum w:abstractNumId="76">
    <w:nsid w:val="26F2D364"/>
    <w:multiLevelType w:val="hybridMultilevel"/>
    <w:lvl w:ilvl="0">
      <w:lvlJc w:val="left"/>
      <w:lvlText w:val="(%1)"/>
      <w:numFmt w:val="lowerLetter"/>
      <w:start w:val="1"/>
    </w:lvl>
  </w:abstractNum>
  <w:abstractNum w:abstractNumId="77">
    <w:nsid w:val="71C1AF98"/>
    <w:multiLevelType w:val="hybridMultilevel"/>
    <w:lvl w:ilvl="0">
      <w:lvlJc w:val="left"/>
      <w:lvlText w:val="(%1)"/>
      <w:numFmt w:val="lowerRoman"/>
      <w:start w:val="1"/>
    </w:lvl>
  </w:abstractNum>
  <w:abstractNum w:abstractNumId="78">
    <w:nsid w:val="3D00B9D9"/>
    <w:multiLevelType w:val="hybridMultilevel"/>
    <w:lvl w:ilvl="0">
      <w:lvlJc w:val="left"/>
      <w:lvlText w:val="(%1)"/>
      <w:numFmt w:val="lowerRoman"/>
      <w:start w:val="4"/>
    </w:lvl>
  </w:abstractNum>
  <w:abstractNum w:abstractNumId="79">
    <w:nsid w:val="15BCABA8"/>
    <w:multiLevelType w:val="hybridMultilevel"/>
    <w:lvl w:ilvl="0">
      <w:lvlJc w:val="left"/>
      <w:lvlText w:val="(%1)"/>
      <w:numFmt w:val="lowerLetter"/>
      <w:start w:val="1"/>
    </w:lvl>
  </w:abstractNum>
  <w:abstractNum w:abstractNumId="80">
    <w:nsid w:val="4E0B9A87"/>
    <w:multiLevelType w:val="hybridMultilevel"/>
    <w:lvl w:ilvl="0">
      <w:lvlJc w:val="left"/>
      <w:lvlText w:val="(%1)"/>
      <w:numFmt w:val="lowerLetter"/>
      <w:start w:val="1"/>
    </w:lvl>
    <w:lvl w:ilvl="1">
      <w:lvlJc w:val="left"/>
      <w:lvlText w:val="(%2)"/>
      <w:numFmt w:val="lowerRoman"/>
      <w:start w:val="1"/>
    </w:lvl>
  </w:abstractNum>
  <w:abstractNum w:abstractNumId="81">
    <w:nsid w:val="434BAE75"/>
    <w:multiLevelType w:val="hybridMultilevel"/>
    <w:lvl w:ilvl="0">
      <w:lvlJc w:val="left"/>
      <w:lvlText w:val="(%1)"/>
      <w:numFmt w:val="lowerLetter"/>
      <w:start w:val="1"/>
    </w:lvl>
  </w:abstractNum>
  <w:abstractNum w:abstractNumId="82">
    <w:nsid w:val="4F38F265"/>
    <w:multiLevelType w:val="hybridMultilevel"/>
    <w:lvl w:ilvl="0">
      <w:lvlJc w:val="left"/>
      <w:lvlText w:val="(%1)"/>
      <w:numFmt w:val="lowerLetter"/>
      <w:start w:val="2"/>
    </w:lvl>
  </w:abstractNum>
  <w:abstractNum w:abstractNumId="83">
    <w:nsid w:val="4C502870"/>
    <w:multiLevelType w:val="hybridMultilevel"/>
    <w:lvl w:ilvl="0">
      <w:lvlJc w:val="left"/>
      <w:lvlText w:val="(%1)"/>
      <w:numFmt w:val="lowerLetter"/>
      <w:start w:val="1"/>
    </w:lvl>
    <w:lvl w:ilvl="1">
      <w:lvlJc w:val="left"/>
      <w:lvlText w:val="(%2)"/>
      <w:numFmt w:val="lowerRoman"/>
      <w:start w:val="1"/>
    </w:lvl>
  </w:abstractNum>
  <w:abstractNum w:abstractNumId="84">
    <w:nsid w:val="1DE8725A"/>
    <w:multiLevelType w:val="hybridMultilevel"/>
    <w:lvl w:ilvl="0">
      <w:lvlJc w:val="left"/>
      <w:lvlText w:val="(%1)"/>
      <w:numFmt w:val="lowerLetter"/>
      <w:start w:val="2"/>
    </w:lvl>
    <w:lvl w:ilvl="1">
      <w:lvlJc w:val="left"/>
      <w:lvlText w:val="(%2)"/>
      <w:numFmt w:val="lowerRoman"/>
      <w:start w:val="1"/>
    </w:lvl>
  </w:abstractNum>
  <w:abstractNum w:abstractNumId="85">
    <w:nsid w:val="6A37288A"/>
    <w:multiLevelType w:val="hybridMultilevel"/>
    <w:lvl w:ilvl="0">
      <w:lvlJc w:val="left"/>
      <w:lvlText w:val="(%1)"/>
      <w:numFmt w:val="lowerLetter"/>
      <w:start w:val="5"/>
    </w:lvl>
    <w:lvl w:ilvl="1">
      <w:lvlJc w:val="left"/>
      <w:lvlText w:val="(%2)"/>
      <w:numFmt w:val="lowerRoman"/>
      <w:start w:val="1"/>
    </w:lvl>
  </w:abstractNum>
  <w:abstractNum w:abstractNumId="86">
    <w:nsid w:val="8F8B73F"/>
    <w:multiLevelType w:val="hybridMultilevel"/>
    <w:lvl w:ilvl="0">
      <w:lvlJc w:val="left"/>
      <w:lvlText w:val="(%1)"/>
      <w:numFmt w:val="lowerLetter"/>
      <w:start w:val="1"/>
    </w:lvl>
  </w:abstractNum>
  <w:abstractNum w:abstractNumId="87">
    <w:nsid w:val="CA6B462"/>
    <w:multiLevelType w:val="hybridMultilevel"/>
    <w:lvl w:ilvl="0">
      <w:lvlJc w:val="left"/>
      <w:lvlText w:val="(%1)"/>
      <w:numFmt w:val="lowerLetter"/>
      <w:start w:val="1"/>
    </w:lvl>
  </w:abstractNum>
  <w:abstractNum w:abstractNumId="88">
    <w:nsid w:val="763CB680"/>
    <w:multiLevelType w:val="hybridMultilevel"/>
    <w:lvl w:ilvl="0">
      <w:lvlJc w:val="left"/>
      <w:lvlText w:val="(%1)"/>
      <w:numFmt w:val="lowerLetter"/>
      <w:start w:val="4"/>
    </w:lvl>
  </w:abstractNum>
  <w:abstractNum w:abstractNumId="89">
    <w:nsid w:val="15B71329"/>
    <w:multiLevelType w:val="hybridMultilevel"/>
    <w:lvl w:ilvl="0">
      <w:lvlJc w:val="left"/>
      <w:lvlText w:val="%1."/>
      <w:numFmt w:val="decimal"/>
      <w:start w:val="8"/>
    </w:lvl>
  </w:abstractNum>
  <w:abstractNum w:abstractNumId="90">
    <w:nsid w:val="3DA97044"/>
    <w:multiLevelType w:val="hybridMultilevel"/>
    <w:lvl w:ilvl="0">
      <w:lvlJc w:val="left"/>
      <w:lvlText w:val="(%1)"/>
      <w:numFmt w:val="lowerLetter"/>
      <w:start w:val="1"/>
    </w:lvl>
  </w:abstractNum>
  <w:abstractNum w:abstractNumId="91">
    <w:nsid w:val="1CDCE2DE"/>
    <w:multiLevelType w:val="hybridMultilevel"/>
    <w:lvl w:ilvl="0">
      <w:lvlJc w:val="left"/>
      <w:lvlText w:val="(%1)"/>
      <w:numFmt w:val="lowerLetter"/>
      <w:start w:val="1"/>
    </w:lvl>
    <w:lvl w:ilvl="1">
      <w:lvlJc w:val="left"/>
      <w:lvlText w:val="(%2)"/>
      <w:numFmt w:val="lowerRoman"/>
      <w:start w:val="1"/>
    </w:lvl>
  </w:abstractNum>
  <w:abstractNum w:abstractNumId="92">
    <w:nsid w:val="69D3947C"/>
    <w:multiLevelType w:val="hybridMultilevel"/>
    <w:lvl w:ilvl="0">
      <w:lvlJc w:val="left"/>
      <w:lvlText w:val="(%1)"/>
      <w:numFmt w:val="lowerLetter"/>
      <w:start w:val="1"/>
    </w:lvl>
  </w:abstractNum>
  <w:abstractNum w:abstractNumId="93">
    <w:nsid w:val="2539DFA5"/>
    <w:multiLevelType w:val="hybridMultilevel"/>
    <w:lvl w:ilvl="0">
      <w:lvlJc w:val="left"/>
      <w:lvlText w:val="%1."/>
      <w:numFmt w:val="decimal"/>
      <w:start w:val="9"/>
    </w:lvl>
  </w:abstractNum>
  <w:abstractNum w:abstractNumId="94">
    <w:nsid w:val="2DB88089"/>
    <w:multiLevelType w:val="hybridMultilevel"/>
    <w:lvl w:ilvl="0">
      <w:lvlJc w:val="left"/>
      <w:lvlText w:val="(%1)"/>
      <w:numFmt w:val="lowerLetter"/>
      <w:start w:val="1"/>
    </w:lvl>
  </w:abstractNum>
  <w:abstractNum w:abstractNumId="95">
    <w:nsid w:val="706B674E"/>
    <w:multiLevelType w:val="hybridMultilevel"/>
    <w:lvl w:ilvl="0">
      <w:lvlJc w:val="left"/>
      <w:lvlText w:val="(%1)"/>
      <w:numFmt w:val="lowerLetter"/>
      <w:start w:val="2"/>
    </w:lvl>
  </w:abstractNum>
  <w:abstractNum w:abstractNumId="96">
    <w:nsid w:val="2C106A57"/>
    <w:multiLevelType w:val="hybridMultilevel"/>
    <w:lvl w:ilvl="0">
      <w:lvlJc w:val="left"/>
      <w:lvlText w:val="%1."/>
      <w:numFmt w:val="decimal"/>
      <w:start w:val="10"/>
    </w:lvl>
  </w:abstractNum>
  <w:abstractNum w:abstractNumId="97">
    <w:nsid w:val="684EED59"/>
    <w:multiLevelType w:val="hybridMultilevel"/>
    <w:lvl w:ilvl="0">
      <w:lvlJc w:val="left"/>
      <w:lvlText w:val="(%1)"/>
      <w:numFmt w:val="lowerLetter"/>
      <w:start w:val="1"/>
    </w:lvl>
    <w:lvl w:ilvl="1">
      <w:lvlJc w:val="left"/>
      <w:lvlText w:val="(%2)"/>
      <w:numFmt w:val="lowerRoman"/>
      <w:start w:val="1"/>
    </w:lvl>
  </w:abstractNum>
  <w:abstractNum w:abstractNumId="98">
    <w:nsid w:val="545EE5D3"/>
    <w:multiLevelType w:val="hybridMultilevel"/>
    <w:lvl w:ilvl="0">
      <w:lvlJc w:val="left"/>
      <w:lvlText w:val="(%1)"/>
      <w:numFmt w:val="lowerLetter"/>
      <w:start w:val="1"/>
    </w:lvl>
    <w:lvl w:ilvl="1">
      <w:lvlJc w:val="left"/>
      <w:lvlText w:val="(%2)"/>
      <w:numFmt w:val="lowerRoman"/>
      <w:start w:val="1"/>
    </w:lvl>
  </w:abstractNum>
  <w:abstractNum w:abstractNumId="99">
    <w:nsid w:val="4A66051"/>
    <w:multiLevelType w:val="hybridMultilevel"/>
    <w:lvl w:ilvl="0">
      <w:lvlJc w:val="left"/>
      <w:lvlText w:val="%1"/>
      <w:numFmt w:val="decimal"/>
      <w:start w:val="1"/>
    </w:lvl>
    <w:lvl w:ilvl="1">
      <w:lvlJc w:val="left"/>
      <w:lvlText w:val="(%2)"/>
      <w:numFmt w:val="lowerLetter"/>
      <w:start w:val="1"/>
    </w:lvl>
  </w:abstractNum>
  <w:abstractNum w:abstractNumId="100">
    <w:nsid w:val="20F4BDAD"/>
    <w:multiLevelType w:val="hybridMultilevel"/>
    <w:lvl w:ilvl="0">
      <w:lvlJc w:val="left"/>
      <w:lvlText w:val="%1."/>
      <w:numFmt w:val="decimal"/>
      <w:start w:val="11"/>
    </w:lvl>
    <w:lvl w:ilvl="1">
      <w:lvlJc w:val="left"/>
      <w:lvlText w:val="%2"/>
      <w:numFmt w:val="lowerLetter"/>
      <w:start w:val="1"/>
    </w:lvl>
  </w:abstractNum>
  <w:abstractNum w:abstractNumId="101">
    <w:nsid w:val="639DEFAC"/>
    <w:multiLevelType w:val="hybridMultilevel"/>
    <w:lvl w:ilvl="0">
      <w:lvlJc w:val="left"/>
      <w:lvlText w:val="%1."/>
      <w:numFmt w:val="decimal"/>
      <w:start w:val="12"/>
    </w:lvl>
  </w:abstractNum>
  <w:abstractNum w:abstractNumId="102">
    <w:nsid w:val="501F9786"/>
    <w:multiLevelType w:val="hybridMultilevel"/>
    <w:lvl w:ilvl="0">
      <w:lvlJc w:val="left"/>
      <w:lvlText w:val="(%1)"/>
      <w:numFmt w:val="lowerLetter"/>
      <w:start w:val="1"/>
    </w:lvl>
  </w:abstractNum>
  <w:abstractNum w:abstractNumId="103">
    <w:nsid w:val="6B057295"/>
    <w:multiLevelType w:val="hybridMultilevel"/>
    <w:lvl w:ilvl="0">
      <w:lvlJc w:val="left"/>
      <w:lvlText w:val="(%1)"/>
      <w:numFmt w:val="lowerLetter"/>
      <w:start w:val="1"/>
    </w:lvl>
  </w:abstractNum>
  <w:abstractNum w:abstractNumId="104">
    <w:nsid w:val="2771AC80"/>
    <w:multiLevelType w:val="hybridMultilevel"/>
    <w:lvl w:ilvl="0">
      <w:lvlJc w:val="left"/>
      <w:lvlText w:val="(%1)"/>
      <w:numFmt w:val="lowerLetter"/>
      <w:start w:val="1"/>
    </w:lvl>
    <w:lvl w:ilvl="1">
      <w:lvlJc w:val="left"/>
      <w:lvlText w:val="(%2)"/>
      <w:numFmt w:val="lowerRoman"/>
      <w:start w:val="1"/>
    </w:lvl>
  </w:abstractNum>
  <w:abstractNum w:abstractNumId="105">
    <w:nsid w:val="1C4A08EC"/>
    <w:multiLevelType w:val="hybridMultilevel"/>
    <w:lvl w:ilvl="0">
      <w:lvlJc w:val="left"/>
      <w:lvlText w:val="%1"/>
      <w:numFmt w:val="lowerLetter"/>
      <w:start w:val="1"/>
    </w:lvl>
    <w:lvl w:ilvl="1">
      <w:lvlJc w:val="left"/>
      <w:lvlText w:val="(%2)"/>
      <w:numFmt w:val="lowerLetter"/>
      <w:start w:val="61"/>
    </w:lvl>
  </w:abstractNum>
  <w:abstractNum w:abstractNumId="106">
    <w:nsid w:val="1958BD17"/>
    <w:multiLevelType w:val="hybridMultilevel"/>
    <w:lvl w:ilvl="0">
      <w:lvlJc w:val="left"/>
      <w:lvlText w:val="(%1)"/>
      <w:numFmt w:val="lowerLetter"/>
      <w:start w:val="2"/>
    </w:lvl>
    <w:lvl w:ilvl="1">
      <w:lvlJc w:val="left"/>
      <w:lvlText w:val="%2"/>
      <w:numFmt w:val="lowerLetter"/>
      <w:start w:val="1"/>
    </w:lvl>
  </w:abstractNum>
  <w:abstractNum w:abstractNumId="107">
    <w:nsid w:val="4E647FE4"/>
    <w:multiLevelType w:val="hybridMultilevel"/>
    <w:lvl w:ilvl="0">
      <w:lvlJc w:val="left"/>
      <w:lvlText w:val="(%1)"/>
      <w:numFmt w:val="lowerLetter"/>
      <w:start w:val="1"/>
    </w:lvl>
  </w:abstractNum>
  <w:abstractNum w:abstractNumId="108">
    <w:nsid w:val="E0BB885"/>
    <w:multiLevelType w:val="hybridMultilevel"/>
    <w:lvl w:ilvl="0">
      <w:lvlJc w:val="left"/>
      <w:lvlText w:val="(%1)"/>
      <w:numFmt w:val="lowerLetter"/>
      <w:start w:val="1"/>
    </w:lvl>
  </w:abstractNum>
  <w:abstractNum w:abstractNumId="109">
    <w:nsid w:val="565976F1"/>
    <w:multiLevelType w:val="hybridMultilevel"/>
    <w:lvl w:ilvl="0">
      <w:lvlJc w:val="left"/>
      <w:lvlText w:val="(%1)"/>
      <w:numFmt w:val="lowerLetter"/>
      <w:start w:val="1"/>
    </w:lvl>
  </w:abstractNum>
  <w:abstractNum w:abstractNumId="110">
    <w:nsid w:val="64212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5C17530C"/>
    <w:multiLevelType w:val="hybridMultilevel"/>
    <w:lvl w:ilvl="0">
      <w:lvlJc w:val="left"/>
      <w:lvlText w:val="(%1)"/>
      <w:numFmt w:val="lowerLetter"/>
      <w:start w:val="3"/>
    </w:lvl>
    <w:lvl w:ilvl="1">
      <w:lvlJc w:val="left"/>
      <w:lvlText w:val="(%2)"/>
      <w:numFmt w:val="lowerRoman"/>
      <w:start w:val="1"/>
    </w:lvl>
  </w:abstractNum>
  <w:abstractNum w:abstractNumId="112">
    <w:nsid w:val="19A52566"/>
    <w:multiLevelType w:val="hybridMultilevel"/>
    <w:lvl w:ilvl="0">
      <w:lvlJc w:val="left"/>
      <w:lvlText w:val="%1"/>
      <w:numFmt w:val="lowerLetter"/>
      <w:start w:val="1"/>
    </w:lvl>
    <w:lvl w:ilvl="1">
      <w:lvlJc w:val="left"/>
      <w:lvlText w:val="(%2)"/>
      <w:numFmt w:val="lowerLetter"/>
      <w:start w:val="61"/>
    </w:lvl>
  </w:abstractNum>
  <w:abstractNum w:abstractNumId="113">
    <w:nsid w:val="335A1DF1"/>
    <w:multiLevelType w:val="hybridMultilevel"/>
    <w:lvl w:ilvl="0">
      <w:lvlJc w:val="left"/>
      <w:lvlText w:val="(%1)"/>
      <w:numFmt w:val="lowerLetter"/>
      <w:start w:val="4"/>
    </w:lvl>
    <w:lvl w:ilvl="1">
      <w:lvlJc w:val="left"/>
      <w:lvlText w:val="%2"/>
      <w:numFmt w:val="lowerLetter"/>
      <w:start w:val="1"/>
    </w:lvl>
  </w:abstractNum>
  <w:abstractNum w:abstractNumId="114">
    <w:nsid w:val="28677B7C"/>
    <w:multiLevelType w:val="hybridMultilevel"/>
    <w:lvl w:ilvl="0">
      <w:lvlJc w:val="left"/>
      <w:lvlText w:val="%1"/>
      <w:numFmt w:val="decimal"/>
      <w:start w:val="1"/>
    </w:lvl>
    <w:lvl w:ilvl="1">
      <w:lvlJc w:val="left"/>
      <w:lvlText w:val="(%2)"/>
      <w:numFmt w:val="lowerLetter"/>
      <w:start w:val="1"/>
    </w:lvl>
  </w:abstractNum>
  <w:abstractNum w:abstractNumId="115">
    <w:nsid w:val="378D97C0"/>
    <w:multiLevelType w:val="hybridMultilevel"/>
    <w:lvl w:ilvl="0">
      <w:lvlJc w:val="left"/>
      <w:lvlText w:val="%1."/>
      <w:numFmt w:val="decimal"/>
      <w:start w:val="13"/>
    </w:lvl>
    <w:lvl w:ilvl="1">
      <w:lvlJc w:val="left"/>
      <w:lvlText w:val="%2"/>
      <w:numFmt w:val="lowerLetter"/>
      <w:start w:val="1"/>
    </w:lvl>
  </w:abstractNum>
  <w:abstractNum w:abstractNumId="116">
    <w:nsid w:val="1D91467C"/>
    <w:multiLevelType w:val="hybridMultilevel"/>
    <w:lvl w:ilvl="0">
      <w:lvlJc w:val="left"/>
      <w:lvlText w:val="(%1)"/>
      <w:numFmt w:val="lowerLetter"/>
      <w:start w:val="1"/>
    </w:lvl>
    <w:lvl w:ilvl="1">
      <w:lvlJc w:val="left"/>
      <w:lvlText w:val="(%2)"/>
      <w:numFmt w:val="lowerRoman"/>
      <w:start w:val="1"/>
    </w:lvl>
  </w:abstractNum>
  <w:abstractNum w:abstractNumId="117">
    <w:nsid w:val="316032BB"/>
    <w:multiLevelType w:val="hybridMultilevel"/>
    <w:lvl w:ilvl="0">
      <w:lvlJc w:val="left"/>
      <w:lvlText w:val="(%1)"/>
      <w:numFmt w:val="lowerLetter"/>
      <w:start w:val="2"/>
    </w:lvl>
    <w:lvl w:ilvl="1">
      <w:lvlJc w:val="left"/>
      <w:lvlText w:val="(%2)"/>
      <w:numFmt w:val="lowerRoman"/>
      <w:start w:val="1"/>
    </w:lvl>
  </w:abstractNum>
  <w:abstractNum w:abstractNumId="118">
    <w:nsid w:val="44344C22"/>
    <w:multiLevelType w:val="hybridMultilevel"/>
    <w:lvl w:ilvl="0">
      <w:lvlJc w:val="left"/>
      <w:lvlText w:val="(%1)"/>
      <w:numFmt w:val="lowerRoman"/>
      <w:start w:val="4"/>
    </w:lvl>
  </w:abstractNum>
  <w:abstractNum w:abstractNumId="119">
    <w:nsid w:val="13CDFCFC"/>
    <w:multiLevelType w:val="hybridMultilevel"/>
    <w:lvl w:ilvl="0">
      <w:lvlJc w:val="left"/>
      <w:lvlText w:val="(%1)"/>
      <w:numFmt w:val="lowerRoman"/>
      <w:start w:val="6"/>
    </w:lvl>
  </w:abstractNum>
  <w:abstractNum w:abstractNumId="120">
    <w:nsid w:val="471745E4"/>
    <w:multiLevelType w:val="hybridMultilevel"/>
    <w:lvl w:ilvl="0">
      <w:lvlJc w:val="left"/>
      <w:lvlText w:val="(%1)"/>
      <w:numFmt w:val="lowerLetter"/>
      <w:start w:val="1"/>
    </w:lvl>
  </w:abstractNum>
  <w:abstractNum w:abstractNumId="121">
    <w:nsid w:val="1DDBC66"/>
    <w:multiLevelType w:val="hybridMultilevel"/>
    <w:lvl w:ilvl="0">
      <w:lvlJc w:val="left"/>
      <w:lvlText w:val="%1"/>
      <w:numFmt w:val="decimal"/>
      <w:start w:val="1"/>
    </w:lvl>
    <w:lvl w:ilvl="1">
      <w:lvlJc w:val="left"/>
      <w:lvlText w:val="(%2)"/>
      <w:numFmt w:val="lowerLetter"/>
      <w:start w:val="1"/>
    </w:lvl>
  </w:abstractNum>
  <w:abstractNum w:abstractNumId="122">
    <w:nsid w:val="30AADFDA"/>
    <w:multiLevelType w:val="hybridMultilevel"/>
    <w:lvl w:ilvl="0">
      <w:lvlJc w:val="left"/>
      <w:lvlText w:val="%1."/>
      <w:numFmt w:val="decimal"/>
      <w:start w:val="14"/>
    </w:lvl>
    <w:lvl w:ilvl="1">
      <w:lvlJc w:val="left"/>
      <w:lvlText w:val="%2"/>
      <w:numFmt w:val="lowerLetter"/>
      <w:start w:val="1"/>
    </w:lvl>
  </w:abstractNum>
  <w:abstractNum w:abstractNumId="123">
    <w:nsid w:val="30EADA61"/>
    <w:multiLevelType w:val="hybridMultilevel"/>
    <w:lvl w:ilvl="0">
      <w:lvlJc w:val="left"/>
      <w:lvlText w:val="(%1)"/>
      <w:numFmt w:val="lowerLetter"/>
      <w:start w:val="1"/>
    </w:lvl>
    <w:lvl w:ilvl="1">
      <w:lvlJc w:val="left"/>
      <w:lvlText w:val="(%2)"/>
      <w:numFmt w:val="lowerRoman"/>
      <w:start w:val="1"/>
    </w:lvl>
  </w:abstractNum>
  <w:abstractNum w:abstractNumId="124">
    <w:nsid w:val="27179C0B"/>
    <w:multiLevelType w:val="hybridMultilevel"/>
    <w:lvl w:ilvl="0">
      <w:lvlJc w:val="left"/>
      <w:lvlText w:val="(%1)"/>
      <w:numFmt w:val="lowerLetter"/>
      <w:start w:val="2"/>
    </w:lvl>
  </w:abstractNum>
  <w:abstractNum w:abstractNumId="125">
    <w:nsid w:val="5E636063"/>
    <w:multiLevelType w:val="hybridMultilevel"/>
    <w:lvl w:ilvl="0">
      <w:lvlJc w:val="left"/>
      <w:lvlText w:val="(%1)"/>
      <w:numFmt w:val="lowerLetter"/>
      <w:start w:val="1"/>
    </w:lvl>
  </w:abstractNum>
  <w:abstractNum w:abstractNumId="126">
    <w:nsid w:val="215641AF"/>
    <w:multiLevelType w:val="hybridMultilevel"/>
    <w:lvl w:ilvl="0">
      <w:lvlJc w:val="left"/>
      <w:lvlText w:val="(%1)"/>
      <w:numFmt w:val="lowerLetter"/>
      <w:start w:val="1"/>
    </w:lvl>
  </w:abstractNum>
  <w:abstractNum w:abstractNumId="127">
    <w:nsid w:val="53280662"/>
    <w:multiLevelType w:val="hybridMultilevel"/>
    <w:lvl w:ilvl="0">
      <w:lvlJc w:val="left"/>
      <w:lvlText w:val="%1."/>
      <w:numFmt w:val="decimal"/>
      <w:start w:val="15"/>
    </w:lvl>
  </w:abstractNum>
  <w:abstractNum w:abstractNumId="128">
    <w:nsid w:val="46B24DBC"/>
    <w:multiLevelType w:val="hybridMultilevel"/>
    <w:lvl w:ilvl="0">
      <w:lvlJc w:val="left"/>
      <w:lvlText w:val="(%1)"/>
      <w:numFmt w:val="lowerLetter"/>
      <w:start w:val="1"/>
    </w:lvl>
    <w:lvl w:ilvl="1">
      <w:lvlJc w:val="left"/>
      <w:lvlText w:val="(%2)"/>
      <w:numFmt w:val="lowerRoman"/>
      <w:start w:val="1"/>
    </w:lvl>
  </w:abstractNum>
  <w:abstractNum w:abstractNumId="129">
    <w:nsid w:val="75B52783"/>
    <w:multiLevelType w:val="hybridMultilevel"/>
    <w:lvl w:ilvl="0">
      <w:lvlJc w:val="left"/>
      <w:lvlText w:val="(%1)"/>
      <w:numFmt w:val="lowerLetter"/>
      <w:start w:val="2"/>
    </w:lvl>
  </w:abstractNum>
  <w:abstractNum w:abstractNumId="130">
    <w:nsid w:val="57CE66B4"/>
    <w:multiLevelType w:val="hybridMultilevel"/>
    <w:lvl w:ilvl="0">
      <w:lvlJc w:val="left"/>
      <w:lvlText w:val="(%1)"/>
      <w:numFmt w:val="lowerLetter"/>
      <w:start w:val="1"/>
    </w:lvl>
  </w:abstractNum>
  <w:abstractNum w:abstractNumId="131">
    <w:nsid w:val="67A70B69"/>
    <w:multiLevelType w:val="hybridMultilevel"/>
    <w:lvl w:ilvl="0">
      <w:lvlJc w:val="left"/>
      <w:lvlText w:val="%1"/>
      <w:numFmt w:val="decimal"/>
      <w:start w:val="1"/>
    </w:lvl>
    <w:lvl w:ilvl="1">
      <w:lvlJc w:val="left"/>
      <w:lvlText w:val="(%2)"/>
      <w:numFmt w:val="lowerLetter"/>
      <w:start w:val="1"/>
    </w:lvl>
  </w:abstractNum>
  <w:abstractNum w:abstractNumId="132">
    <w:nsid w:val="5953172F"/>
    <w:multiLevelType w:val="hybridMultilevel"/>
    <w:lvl w:ilvl="0">
      <w:lvlJc w:val="left"/>
      <w:lvlText w:val="%1."/>
      <w:numFmt w:val="decimal"/>
      <w:start w:val="16"/>
    </w:lvl>
    <w:lvl w:ilvl="1">
      <w:lvlJc w:val="left"/>
      <w:lvlText w:val="%2"/>
      <w:numFmt w:val="lowerLetter"/>
      <w:start w:val="1"/>
    </w:lvl>
  </w:abstractNum>
  <w:abstractNum w:abstractNumId="133">
    <w:nsid w:val="27EDFE3A"/>
    <w:multiLevelType w:val="hybridMultilevel"/>
    <w:lvl w:ilvl="0">
      <w:lvlJc w:val="left"/>
      <w:lvlText w:val="(%1)"/>
      <w:numFmt w:val="lowerLetter"/>
      <w:start w:val="1"/>
    </w:lvl>
  </w:abstractNum>
  <w:abstractNum w:abstractNumId="134">
    <w:nsid w:val="52AC7DFF"/>
    <w:multiLevelType w:val="hybridMultilevel"/>
    <w:lvl w:ilvl="0">
      <w:lvlJc w:val="left"/>
      <w:lvlText w:val="(%1)"/>
      <w:numFmt w:val="lowerLetter"/>
      <w:start w:val="1"/>
    </w:lvl>
  </w:abstractNum>
  <w:abstractNum w:abstractNumId="135">
    <w:nsid w:val="C4C3AF"/>
    <w:multiLevelType w:val="hybridMultilevel"/>
    <w:lvl w:ilvl="0">
      <w:lvlJc w:val="left"/>
      <w:lvlText w:val="%1."/>
      <w:numFmt w:val="decimal"/>
      <w:start w:val="17"/>
    </w:lvl>
  </w:abstractNum>
  <w:abstractNum w:abstractNumId="136">
    <w:nsid w:val="44380727"/>
    <w:multiLevelType w:val="hybridMultilevel"/>
    <w:lvl w:ilvl="0">
      <w:lvlJc w:val="left"/>
      <w:lvlText w:val="(%1)"/>
      <w:numFmt w:val="lowerLetter"/>
      <w:start w:val="1"/>
    </w:lvl>
  </w:abstractNum>
  <w:abstractNum w:abstractNumId="137">
    <w:nsid w:val="6C053B16"/>
    <w:multiLevelType w:val="hybridMultilevel"/>
    <w:lvl w:ilvl="0">
      <w:lvlJc w:val="left"/>
      <w:lvlText w:val="(%1)"/>
      <w:numFmt w:val="lowerLetter"/>
      <w:start w:val="1"/>
    </w:lvl>
  </w:abstractNum>
  <w:abstractNum w:abstractNumId="138">
    <w:nsid w:val="4F294393"/>
    <w:multiLevelType w:val="hybridMultilevel"/>
    <w:lvl w:ilvl="0">
      <w:lvlJc w:val="left"/>
      <w:lvlText w:val="(%1)"/>
      <w:numFmt w:val="lowerLetter"/>
      <w:start w:val="1"/>
    </w:lvl>
  </w:abstractNum>
  <w:abstractNum w:abstractNumId="139">
    <w:nsid w:val="5243BFAC"/>
    <w:multiLevelType w:val="hybridMultilevel"/>
    <w:lvl w:ilvl="0">
      <w:lvlJc w:val="left"/>
      <w:lvlText w:val="(%1)"/>
      <w:numFmt w:val="lowerLetter"/>
      <w:start w:val="1"/>
    </w:lvl>
  </w:abstractNum>
  <w:abstractNum w:abstractNumId="140">
    <w:nsid w:val="425EB207"/>
    <w:multiLevelType w:val="hybridMultilevel"/>
    <w:lvl w:ilvl="0">
      <w:lvlJc w:val="left"/>
      <w:lvlText w:val="%1."/>
      <w:numFmt w:val="decimal"/>
      <w:start w:val="18"/>
    </w:lvl>
  </w:abstractNum>
  <w:abstractNum w:abstractNumId="141">
    <w:nsid w:val="334A6F1F"/>
    <w:multiLevelType w:val="hybridMultilevel"/>
    <w:lvl w:ilvl="0">
      <w:lvlJc w:val="left"/>
      <w:lvlText w:val="(%1)"/>
      <w:numFmt w:val="lowerLetter"/>
      <w:start w:val="1"/>
    </w:lvl>
  </w:abstractNum>
  <w:abstractNum w:abstractNumId="142">
    <w:nsid w:val="2E5B12B8"/>
    <w:multiLevelType w:val="hybridMultilevel"/>
    <w:lvl w:ilvl="0">
      <w:lvlJc w:val="left"/>
      <w:lvlText w:val="(%1)"/>
      <w:numFmt w:val="lowerLetter"/>
      <w:start w:val="1"/>
    </w:lvl>
  </w:abstractNum>
  <w:abstractNum w:abstractNumId="143">
    <w:nsid w:val="5C03D76D"/>
    <w:multiLevelType w:val="hybridMultilevel"/>
    <w:lvl w:ilvl="0">
      <w:lvlJc w:val="left"/>
      <w:lvlText w:val="(%1)"/>
      <w:numFmt w:val="lowerLetter"/>
      <w:start w:val="1"/>
    </w:lvl>
  </w:abstractNum>
  <w:abstractNum w:abstractNumId="144">
    <w:nsid w:val="66A48D11"/>
    <w:multiLevelType w:val="hybridMultilevel"/>
    <w:lvl w:ilvl="0">
      <w:lvlJc w:val="left"/>
      <w:lvlText w:val="(%1)"/>
      <w:numFmt w:val="lowerLetter"/>
      <w:start w:val="1"/>
    </w:lvl>
  </w:abstractNum>
  <w:abstractNum w:abstractNumId="145">
    <w:nsid w:val="56C28E34"/>
    <w:multiLevelType w:val="hybridMultilevel"/>
    <w:lvl w:ilvl="0">
      <w:lvlJc w:val="left"/>
      <w:lvlText w:val="(%1)"/>
      <w:numFmt w:val="lowerLetter"/>
      <w:start w:val="1"/>
    </w:lvl>
  </w:abstractNum>
  <w:abstractNum w:abstractNumId="146">
    <w:nsid w:val="13916F2D"/>
    <w:multiLevelType w:val="hybridMultilevel"/>
    <w:lvl w:ilvl="0">
      <w:lvlJc w:val="left"/>
      <w:lvlText w:val="(%1)"/>
      <w:numFmt w:val="lowerLetter"/>
      <w:start w:val="1"/>
    </w:lvl>
  </w:abstractNum>
  <w:abstractNum w:abstractNumId="147">
    <w:nsid w:val="435D38D"/>
    <w:multiLevelType w:val="hybridMultilevel"/>
    <w:lvl w:ilvl="0">
      <w:lvlJc w:val="left"/>
      <w:lvlText w:val="(%1)"/>
      <w:numFmt w:val="lowerLetter"/>
      <w:start w:val="1"/>
    </w:lvl>
  </w:abstractNum>
  <w:abstractNum w:abstractNumId="148">
    <w:nsid w:val="822C0EF"/>
    <w:multiLevelType w:val="hybridMultilevel"/>
    <w:lvl w:ilvl="0">
      <w:lvlJc w:val="left"/>
      <w:lvlText w:val="(%1)"/>
      <w:numFmt w:val="lowerLetter"/>
      <w:start w:val="1"/>
    </w:lvl>
  </w:abstractNum>
  <w:abstractNum w:abstractNumId="149">
    <w:nsid w:val="57C5BB4F"/>
    <w:multiLevelType w:val="hybridMultilevel"/>
    <w:lvl w:ilvl="0">
      <w:lvlJc w:val="left"/>
      <w:lvlText w:val="(%1)"/>
      <w:numFmt w:val="lowerLetter"/>
      <w:start w:val="1"/>
    </w:lvl>
  </w:abstractNum>
  <w:abstractNum w:abstractNumId="150">
    <w:nsid w:val="1803D089"/>
    <w:multiLevelType w:val="hybridMultilevel"/>
    <w:lvl w:ilvl="0">
      <w:lvlJc w:val="left"/>
      <w:lvlText w:val="(%1)"/>
      <w:numFmt w:val="lowerLetter"/>
      <w:start w:val="1"/>
    </w:lvl>
  </w:abstractNum>
  <w:abstractNum w:abstractNumId="151">
    <w:nsid w:val="4F3A06D4"/>
    <w:multiLevelType w:val="hybridMultilevel"/>
    <w:lvl w:ilvl="0">
      <w:lvlJc w:val="left"/>
      <w:lvlText w:val="(%1)"/>
      <w:numFmt w:val="lowerLetter"/>
      <w:start w:val="2"/>
    </w:lvl>
  </w:abstractNum>
  <w:abstractNum w:abstractNumId="152">
    <w:nsid w:val="59A377B6"/>
    <w:multiLevelType w:val="hybridMultilevel"/>
    <w:lvl w:ilvl="0">
      <w:lvlJc w:val="left"/>
      <w:lvlText w:val="(%1)"/>
      <w:numFmt w:val="lowerLetter"/>
      <w:start w:val="1"/>
    </w:lvl>
  </w:abstractNum>
  <w:abstractNum w:abstractNumId="153">
    <w:nsid w:val="48AEB063"/>
    <w:multiLevelType w:val="hybridMultilevel"/>
    <w:lvl w:ilvl="0">
      <w:lvlJc w:val="left"/>
      <w:lvlText w:val="(%1)"/>
      <w:numFmt w:val="lowerLetter"/>
      <w:start w:val="1"/>
    </w:lvl>
  </w:abstractNum>
  <w:abstractNum w:abstractNumId="154">
    <w:nsid w:val="24E135"/>
    <w:multiLevelType w:val="hybridMultilevel"/>
    <w:lvl w:ilvl="0">
      <w:lvlJc w:val="left"/>
      <w:lvlText w:val="%1."/>
      <w:numFmt w:val="decimal"/>
      <w:start w:val="19"/>
    </w:lvl>
  </w:abstractNum>
  <w:abstractNum w:abstractNumId="155">
    <w:nsid w:val="BB13C1"/>
    <w:multiLevelType w:val="hybridMultilevel"/>
    <w:lvl w:ilvl="0">
      <w:lvlJc w:val="left"/>
      <w:lvlText w:val="(%1)"/>
      <w:numFmt w:val="lowerLetter"/>
      <w:start w:val="1"/>
    </w:lvl>
  </w:abstractNum>
  <w:abstractNum w:abstractNumId="156">
    <w:nsid w:val="271210C7"/>
    <w:multiLevelType w:val="hybridMultilevel"/>
    <w:lvl w:ilvl="0">
      <w:lvlJc w:val="left"/>
      <w:lvlText w:val="(%1)"/>
      <w:numFmt w:val="lowerLetter"/>
      <w:start w:val="1"/>
    </w:lvl>
  </w:abstractNum>
  <w:abstractNum w:abstractNumId="157">
    <w:nsid w:val="217B22E4"/>
    <w:multiLevelType w:val="hybridMultilevel"/>
    <w:lvl w:ilvl="0">
      <w:lvlJc w:val="left"/>
      <w:lvlText w:val="(%1)"/>
      <w:numFmt w:val="lowerLetter"/>
      <w:start w:val="1"/>
    </w:lvl>
  </w:abstractNum>
  <w:abstractNum w:abstractNumId="158">
    <w:nsid w:val="53E31A24"/>
    <w:multiLevelType w:val="hybridMultilevel"/>
    <w:lvl w:ilvl="0">
      <w:lvlJc w:val="left"/>
      <w:lvlText w:val="(%1)"/>
      <w:numFmt w:val="lowerLetter"/>
      <w:start w:val="2"/>
    </w:lvl>
  </w:abstractNum>
  <w:abstractNum w:abstractNumId="159">
    <w:nsid w:val="6DC45E83"/>
    <w:multiLevelType w:val="hybridMultilevel"/>
    <w:lvl w:ilvl="0">
      <w:lvlJc w:val="left"/>
      <w:lvlText w:val="(%1)"/>
      <w:numFmt w:val="lowerRoman"/>
      <w:start w:val="1"/>
    </w:lvl>
  </w:abstractNum>
  <w:abstractNum w:abstractNumId="160">
    <w:nsid w:val="17304A67"/>
    <w:multiLevelType w:val="hybridMultilevel"/>
    <w:lvl w:ilvl="0">
      <w:lvlJc w:val="left"/>
      <w:lvlText w:val="(%1)"/>
      <w:numFmt w:val="lowerLetter"/>
      <w:start w:val="1"/>
    </w:lvl>
    <w:lvl w:ilvl="1">
      <w:lvlJc w:val="left"/>
      <w:lvlText w:val="(%2)"/>
      <w:numFmt w:val="lowerRoman"/>
      <w:start w:val="1"/>
    </w:lvl>
  </w:abstractNum>
  <w:abstractNum w:abstractNumId="161">
    <w:nsid w:val="2BB180D8"/>
    <w:multiLevelType w:val="hybridMultilevel"/>
    <w:lvl w:ilvl="0">
      <w:lvlJc w:val="left"/>
      <w:lvlText w:val="(%1)"/>
      <w:numFmt w:val="lowerLetter"/>
      <w:start w:val="1"/>
    </w:lvl>
  </w:abstractNum>
  <w:abstractNum w:abstractNumId="162">
    <w:nsid w:val="556B69ED"/>
    <w:multiLevelType w:val="hybridMultilevel"/>
    <w:lvl w:ilvl="0">
      <w:lvlJc w:val="left"/>
      <w:lvlText w:val="(%1)"/>
      <w:numFmt w:val="lowerLetter"/>
      <w:start w:val="1"/>
    </w:lvl>
    <w:lvl w:ilvl="1">
      <w:lvlJc w:val="left"/>
      <w:lvlText w:val="(%2)"/>
      <w:numFmt w:val="lowerLetter"/>
      <w:start w:val="9"/>
    </w:lvl>
  </w:abstractNum>
  <w:abstractNum w:abstractNumId="163">
    <w:nsid w:val="70836196"/>
    <w:multiLevelType w:val="hybridMultilevel"/>
    <w:lvl w:ilvl="0">
      <w:lvlJc w:val="left"/>
      <w:lvlText w:val="(%1)"/>
      <w:numFmt w:val="lowerRoman"/>
      <w:start w:val="2"/>
    </w:lvl>
  </w:abstractNum>
  <w:abstractNum w:abstractNumId="164">
    <w:nsid w:val="539F7F12"/>
    <w:multiLevelType w:val="hybridMultilevel"/>
    <w:lvl w:ilvl="0">
      <w:lvlJc w:val="left"/>
      <w:lvlText w:val="(%1)"/>
      <w:numFmt w:val="lowerLetter"/>
      <w:start w:val="2"/>
    </w:lvl>
  </w:abstractNum>
  <w:abstractNum w:abstractNumId="165">
    <w:nsid w:val="2817E7EC"/>
    <w:multiLevelType w:val="hybridMultilevel"/>
    <w:lvl w:ilvl="0">
      <w:lvlJc w:val="left"/>
      <w:lvlText w:val="(%1)"/>
      <w:numFmt w:val="lowerLetter"/>
      <w:start w:val="3"/>
    </w:lvl>
    <w:lvl w:ilvl="1">
      <w:lvlJc w:val="left"/>
      <w:lvlText w:val="(%2)"/>
      <w:numFmt w:val="lowerRoman"/>
      <w:start w:val="1"/>
    </w:lvl>
  </w:abstractNum>
  <w:abstractNum w:abstractNumId="166">
    <w:nsid w:val="71482545"/>
    <w:multiLevelType w:val="hybridMultilevel"/>
    <w:lvl w:ilvl="0">
      <w:lvlJc w:val="left"/>
      <w:lvlText w:val="(%1)"/>
      <w:numFmt w:val="lowerLetter"/>
      <w:start w:val="4"/>
    </w:lvl>
  </w:abstractNum>
  <w:abstractNum w:abstractNumId="167">
    <w:nsid w:val="17D78639"/>
    <w:multiLevelType w:val="hybridMultilevel"/>
    <w:lvl w:ilvl="0">
      <w:lvlJc w:val="left"/>
      <w:lvlText w:val="%1"/>
      <w:numFmt w:val="decimal"/>
      <w:start w:val="1"/>
    </w:lvl>
    <w:lvl w:ilvl="1">
      <w:lvlJc w:val="left"/>
      <w:lvlText w:val="(%2)"/>
      <w:numFmt w:val="lowerLetter"/>
      <w:start w:val="1"/>
    </w:lvl>
  </w:abstractNum>
  <w:abstractNum w:abstractNumId="168">
    <w:nsid w:val="141D2302"/>
    <w:multiLevelType w:val="hybridMultilevel"/>
    <w:lvl w:ilvl="0">
      <w:lvlJc w:val="left"/>
      <w:lvlText w:val="%1."/>
      <w:numFmt w:val="decimal"/>
      <w:start w:val="20"/>
    </w:lvl>
    <w:lvl w:ilvl="1">
      <w:lvlJc w:val="left"/>
      <w:lvlText w:val="%2"/>
      <w:numFmt w:val="lowerLetter"/>
      <w:start w:val="1"/>
    </w:lvl>
  </w:abstractNum>
  <w:abstractNum w:abstractNumId="169">
    <w:nsid w:val="407168D8"/>
    <w:multiLevelType w:val="hybridMultilevel"/>
    <w:lvl w:ilvl="0">
      <w:lvlJc w:val="left"/>
      <w:lvlText w:val="(%1)"/>
      <w:numFmt w:val="lowerLetter"/>
      <w:start w:val="1"/>
    </w:lvl>
  </w:abstractNum>
  <w:abstractNum w:abstractNumId="170">
    <w:nsid w:val="6A1B45E5"/>
    <w:multiLevelType w:val="hybridMultilevel"/>
    <w:lvl w:ilvl="0">
      <w:lvlJc w:val="left"/>
      <w:lvlText w:val="(%1)"/>
      <w:numFmt w:val="lowerLetter"/>
      <w:start w:val="1"/>
    </w:lvl>
  </w:abstractNum>
  <w:abstractNum w:abstractNumId="171">
    <w:nsid w:val="567BD50A"/>
    <w:multiLevelType w:val="hybridMultilevel"/>
    <w:lvl w:ilvl="0">
      <w:lvlJc w:val="left"/>
      <w:lvlText w:val="(%1)"/>
      <w:numFmt w:val="lowerLetter"/>
      <w:start w:val="1"/>
    </w:lvl>
  </w:abstractNum>
  <w:abstractNum w:abstractNumId="172">
    <w:nsid w:val="73BBD7F8"/>
    <w:multiLevelType w:val="hybridMultilevel"/>
    <w:lvl w:ilvl="0">
      <w:lvlJc w:val="left"/>
      <w:lvlText w:val="(%1)"/>
      <w:numFmt w:val="lowerLetter"/>
      <w:start w:val="1"/>
    </w:lvl>
  </w:abstractNum>
  <w:abstractNum w:abstractNumId="173">
    <w:nsid w:val="1876589D"/>
    <w:multiLevelType w:val="hybridMultilevel"/>
    <w:lvl w:ilvl="0">
      <w:lvlJc w:val="left"/>
      <w:lvlText w:val="(%1)"/>
      <w:numFmt w:val="lowerLetter"/>
      <w:start w:val="1"/>
    </w:lvl>
  </w:abstractNum>
  <w:abstractNum w:abstractNumId="174">
    <w:nsid w:val="327FAC77"/>
    <w:multiLevelType w:val="hybridMultilevel"/>
    <w:lvl w:ilvl="0">
      <w:lvlJc w:val="left"/>
      <w:lvlText w:val="%1."/>
      <w:numFmt w:val="decimal"/>
      <w:start w:val="21"/>
    </w:lvl>
  </w:abstractNum>
  <w:abstractNum w:abstractNumId="175">
    <w:nsid w:val="5A606509"/>
    <w:multiLevelType w:val="hybridMultilevel"/>
    <w:lvl w:ilvl="0">
      <w:lvlJc w:val="left"/>
      <w:lvlText w:val="(%1)"/>
      <w:numFmt w:val="lowerLetter"/>
      <w:start w:val="1"/>
    </w:lvl>
  </w:abstractNum>
  <w:abstractNum w:abstractNumId="176">
    <w:nsid w:val="6F38E6D1"/>
    <w:multiLevelType w:val="hybridMultilevel"/>
    <w:lvl w:ilvl="0">
      <w:lvlJc w:val="left"/>
      <w:lvlText w:val="(%1)"/>
      <w:numFmt w:val="lowerLetter"/>
      <w:start w:val="1"/>
    </w:lvl>
    <w:lvl w:ilvl="1">
      <w:lvlJc w:val="left"/>
      <w:lvlText w:val="(%2)"/>
      <w:numFmt w:val="lowerLetter"/>
      <w:start w:val="9"/>
    </w:lvl>
  </w:abstractNum>
  <w:abstractNum w:abstractNumId="177">
    <w:nsid w:val="46111BA5"/>
    <w:multiLevelType w:val="hybridMultilevel"/>
    <w:lvl w:ilvl="0">
      <w:lvlJc w:val="left"/>
      <w:lvlText w:val="%1"/>
      <w:numFmt w:val="lowerLetter"/>
      <w:start w:val="1"/>
    </w:lvl>
    <w:lvl w:ilvl="1">
      <w:lvlJc w:val="left"/>
      <w:lvlText w:val="(%2)"/>
      <w:numFmt w:val="lowerRoman"/>
      <w:start w:val="2"/>
    </w:lvl>
  </w:abstractNum>
  <w:abstractNum w:abstractNumId="178">
    <w:nsid w:val="5E963896"/>
    <w:multiLevelType w:val="hybridMultilevel"/>
    <w:lvl w:ilvl="0">
      <w:lvlJc w:val="left"/>
      <w:lvlText w:val="(%1)"/>
      <w:numFmt w:val="lowerLetter"/>
      <w:start w:val="2"/>
    </w:lvl>
    <w:lvl w:ilvl="1">
      <w:lvlJc w:val="left"/>
      <w:lvlText w:val="%2"/>
      <w:numFmt w:val="lowerRoman"/>
      <w:start w:val="1"/>
    </w:lvl>
  </w:abstractNum>
  <w:abstractNum w:abstractNumId="179">
    <w:nsid w:val="775BA7C1"/>
    <w:multiLevelType w:val="hybridMultilevel"/>
    <w:lvl w:ilvl="0">
      <w:lvlJc w:val="left"/>
      <w:lvlText w:val="(%1)"/>
      <w:numFmt w:val="lowerLetter"/>
      <w:start w:val="1"/>
    </w:lvl>
    <w:lvl w:ilvl="1">
      <w:lvlJc w:val="left"/>
      <w:lvlText w:val="(%2)"/>
      <w:numFmt w:val="lowerRoman"/>
      <w:start w:val="1"/>
    </w:lvl>
  </w:abstractNum>
  <w:abstractNum w:abstractNumId="180">
    <w:nsid w:val="1DD6D6F4"/>
    <w:multiLevelType w:val="hybridMultilevel"/>
    <w:lvl w:ilvl="0">
      <w:lvlJc w:val="left"/>
      <w:lvlText w:val="(%1)"/>
      <w:numFmt w:val="lowerRoman"/>
      <w:start w:val="5"/>
    </w:lvl>
  </w:abstractNum>
  <w:abstractNum w:abstractNumId="181">
    <w:nsid w:val="769A091F"/>
    <w:multiLevelType w:val="hybridMultilevel"/>
    <w:lvl w:ilvl="0">
      <w:lvlJc w:val="left"/>
      <w:lvlText w:val="(%1)"/>
      <w:numFmt w:val="lowerLetter"/>
      <w:start w:val="3"/>
    </w:lvl>
  </w:abstractNum>
  <w:abstractNum w:abstractNumId="182">
    <w:nsid w:val="4695AE95"/>
    <w:multiLevelType w:val="hybridMultilevel"/>
    <w:lvl w:ilvl="0">
      <w:lvlJc w:val="left"/>
      <w:lvlText w:val="(%1)"/>
      <w:numFmt w:val="lowerLetter"/>
      <w:start w:val="1"/>
    </w:lvl>
  </w:abstractNum>
  <w:abstractNum w:abstractNumId="183">
    <w:nsid w:val="777A4EAA"/>
    <w:multiLevelType w:val="hybridMultilevel"/>
    <w:lvl w:ilvl="0">
      <w:lvlJc w:val="left"/>
      <w:lvlText w:val="(%1)"/>
      <w:numFmt w:val="lowerLetter"/>
      <w:start w:val="1"/>
    </w:lvl>
  </w:abstractNum>
  <w:abstractNum w:abstractNumId="184">
    <w:nsid w:val="3F48B982"/>
    <w:multiLevelType w:val="hybridMultilevel"/>
    <w:lvl w:ilvl="0">
      <w:lvlJc w:val="left"/>
      <w:lvlText w:val="(%1)"/>
      <w:numFmt w:val="lowerLetter"/>
      <w:start w:val="1"/>
    </w:lvl>
  </w:abstractNum>
  <w:abstractNum w:abstractNumId="185">
    <w:nsid w:val="46BA8FCA"/>
    <w:multiLevelType w:val="hybridMultilevel"/>
    <w:lvl w:ilvl="0">
      <w:lvlJc w:val="left"/>
      <w:lvlText w:val="(%1)"/>
      <w:numFmt w:val="lowerLetter"/>
      <w:start w:val="1"/>
    </w:lvl>
    <w:lvl w:ilvl="1">
      <w:lvlJc w:val="left"/>
      <w:lvlText w:val="(%2)"/>
      <w:numFmt w:val="lowerRoman"/>
      <w:start w:val="1"/>
    </w:lvl>
  </w:abstractNum>
  <w:abstractNum w:abstractNumId="186">
    <w:nsid w:val="7835626C"/>
    <w:multiLevelType w:val="hybridMultilevel"/>
    <w:lvl w:ilvl="0">
      <w:lvlJc w:val="left"/>
      <w:lvlText w:val="(%1)"/>
      <w:numFmt w:val="lowerRoman"/>
      <w:start w:val="1"/>
    </w:lvl>
  </w:abstractNum>
  <w:abstractNum w:abstractNumId="187">
    <w:nsid w:val="665ACA49"/>
    <w:multiLevelType w:val="hybridMultilevel"/>
    <w:lvl w:ilvl="0">
      <w:lvlJc w:val="left"/>
      <w:lvlText w:val="(%1)"/>
      <w:numFmt w:val="lowerLetter"/>
      <w:start w:val="1"/>
    </w:lvl>
    <w:lvl w:ilvl="1">
      <w:lvlJc w:val="left"/>
      <w:lvlText w:val="(%2)"/>
      <w:numFmt w:val="lowerRoman"/>
      <w:start w:val="1"/>
    </w:lvl>
  </w:abstractNum>
  <w:abstractNum w:abstractNumId="188">
    <w:nsid w:val="6835B2AE"/>
    <w:multiLevelType w:val="hybridMultilevel"/>
    <w:lvl w:ilvl="0">
      <w:lvlJc w:val="left"/>
      <w:lvlText w:val="(%1)"/>
      <w:numFmt w:val="lowerLetter"/>
      <w:start w:val="1"/>
    </w:lvl>
  </w:abstractNum>
  <w:abstractNum w:abstractNumId="189">
    <w:nsid w:val="4C187C90"/>
    <w:multiLevelType w:val="hybridMultilevel"/>
    <w:lvl w:ilvl="0">
      <w:lvlJc w:val="left"/>
      <w:lvlText w:val="(%1)"/>
      <w:numFmt w:val="lowerLetter"/>
      <w:start w:val="1"/>
    </w:lvl>
  </w:abstractNum>
  <w:abstractNum w:abstractNumId="190">
    <w:nsid w:val="541F28CD"/>
    <w:multiLevelType w:val="hybridMultilevel"/>
    <w:lvl w:ilvl="0">
      <w:lvlJc w:val="left"/>
      <w:lvlText w:val="(%1)"/>
      <w:numFmt w:val="lowerLetter"/>
      <w:start w:val="1"/>
    </w:lvl>
  </w:abstractNum>
  <w:abstractNum w:abstractNumId="191">
    <w:nsid w:val="7F65FD16"/>
    <w:multiLevelType w:val="hybridMultilevel"/>
    <w:lvl w:ilvl="0">
      <w:lvlJc w:val="left"/>
      <w:lvlText w:val="(%1)"/>
      <w:numFmt w:val="lowerLetter"/>
      <w:start w:val="1"/>
    </w:lvl>
  </w:abstractNum>
  <w:abstractNum w:abstractNumId="192">
    <w:nsid w:val="77C9FD68"/>
    <w:multiLevelType w:val="hybridMultilevel"/>
    <w:lvl w:ilvl="0">
      <w:lvlJc w:val="left"/>
      <w:lvlText w:val="(%1)"/>
      <w:numFmt w:val="lowerLetter"/>
      <w:start w:val="4"/>
    </w:lvl>
  </w:abstractNum>
  <w:abstractNum w:abstractNumId="193">
    <w:nsid w:val="298A92BA"/>
    <w:multiLevelType w:val="hybridMultilevel"/>
    <w:lvl w:ilvl="0">
      <w:lvlJc w:val="left"/>
      <w:lvlText w:val="(%1)"/>
      <w:numFmt w:val="lowerLetter"/>
      <w:start w:val="1"/>
    </w:lvl>
  </w:abstractNum>
  <w:abstractNum w:abstractNumId="194">
    <w:nsid w:val="6FE95EAC"/>
    <w:multiLevelType w:val="hybridMultilevel"/>
    <w:lvl w:ilvl="0">
      <w:lvlJc w:val="left"/>
      <w:lvlText w:val="(%1)"/>
      <w:numFmt w:val="lowerLetter"/>
      <w:start w:val="1"/>
    </w:lvl>
    <w:lvl w:ilvl="1">
      <w:lvlJc w:val="left"/>
      <w:lvlText w:val="(%2)"/>
      <w:numFmt w:val="lowerRoman"/>
      <w:start w:val="1"/>
    </w:lvl>
  </w:abstractNum>
  <w:abstractNum w:abstractNumId="195">
    <w:nsid w:val="4B697C7A"/>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196">
    <w:nsid w:val="51A27AA6"/>
    <w:multiLevelType w:val="hybridMultilevel"/>
    <w:lvl w:ilvl="0">
      <w:lvlJc w:val="left"/>
      <w:lvlText w:val="(%1)"/>
      <w:numFmt w:val="lowerLetter"/>
      <w:start w:val="1"/>
    </w:lvl>
    <w:lvl w:ilvl="1">
      <w:lvlJc w:val="left"/>
      <w:lvlText w:val="(%2)"/>
      <w:numFmt w:val="lowerRoman"/>
      <w:start w:val="1"/>
    </w:lvl>
  </w:abstractNum>
  <w:abstractNum w:abstractNumId="197">
    <w:nsid w:val="613183F2"/>
    <w:multiLevelType w:val="hybridMultilevel"/>
    <w:lvl w:ilvl="0">
      <w:lvlJc w:val="left"/>
      <w:lvlText w:val="(%1)"/>
      <w:numFmt w:val="lowerLetter"/>
      <w:start w:val="1"/>
    </w:lvl>
  </w:abstractNum>
  <w:abstractNum w:abstractNumId="198">
    <w:nsid w:val="634102B4"/>
    <w:multiLevelType w:val="hybridMultilevel"/>
    <w:lvl w:ilvl="0">
      <w:lvlJc w:val="left"/>
      <w:lvlText w:val="(%1)"/>
      <w:numFmt w:val="lowerLetter"/>
      <w:start w:val="1"/>
    </w:lvl>
  </w:abstractNum>
  <w:abstractNum w:abstractNumId="199">
    <w:nsid w:val="65BF9DA8"/>
    <w:multiLevelType w:val="hybridMultilevel"/>
    <w:lvl w:ilvl="0">
      <w:lvlJc w:val="left"/>
      <w:lvlText w:val="(%1)"/>
      <w:numFmt w:val="lowerLetter"/>
      <w:start w:val="1"/>
    </w:lvl>
  </w:abstractNum>
  <w:abstractNum w:abstractNumId="200">
    <w:nsid w:val="21A2ECCA"/>
    <w:multiLevelType w:val="hybridMultilevel"/>
    <w:lvl w:ilvl="0">
      <w:lvlJc w:val="left"/>
      <w:lvlText w:val="(%1)"/>
      <w:numFmt w:val="lowerLetter"/>
      <w:start w:val="1"/>
    </w:lvl>
  </w:abstractNum>
  <w:abstractNum w:abstractNumId="201">
    <w:nsid w:val="4D5C4899"/>
    <w:multiLevelType w:val="hybridMultilevel"/>
    <w:lvl w:ilvl="0">
      <w:lvlJc w:val="left"/>
      <w:lvlText w:val="(%1)"/>
      <w:numFmt w:val="lowerLetter"/>
      <w:start w:val="2"/>
    </w:lvl>
  </w:abstractNum>
  <w:abstractNum w:abstractNumId="202">
    <w:nsid w:val="3C3B72B2"/>
    <w:multiLevelType w:val="hybridMultilevel"/>
    <w:lvl w:ilvl="0">
      <w:lvlJc w:val="left"/>
      <w:lvlText w:val="(%1)"/>
      <w:numFmt w:val="lowerLetter"/>
      <w:start w:val="4"/>
    </w:lvl>
  </w:abstractNum>
  <w:abstractNum w:abstractNumId="203">
    <w:nsid w:val="155EC4C2"/>
    <w:multiLevelType w:val="hybridMultilevel"/>
    <w:lvl w:ilvl="0">
      <w:lvlJc w:val="left"/>
      <w:lvlText w:val="(%1)"/>
      <w:numFmt w:val="lowerLetter"/>
      <w:start w:val="1"/>
    </w:lvl>
  </w:abstractNum>
  <w:abstractNum w:abstractNumId="204">
    <w:nsid w:val="65D2A137"/>
    <w:multiLevelType w:val="hybridMultilevel"/>
    <w:lvl w:ilvl="0">
      <w:lvlJc w:val="left"/>
      <w:lvlText w:val="%1"/>
      <w:numFmt w:val="lowerLetter"/>
      <w:start w:val="1"/>
    </w:lvl>
    <w:lvl w:ilvl="1">
      <w:lvlJc w:val="left"/>
      <w:lvlText w:val="(%2)"/>
      <w:numFmt w:val="lowerRoman"/>
      <w:start w:val="1"/>
    </w:lvl>
  </w:abstractNum>
  <w:abstractNum w:abstractNumId="205">
    <w:nsid w:val="6EBB1F2A"/>
    <w:multiLevelType w:val="hybridMultilevel"/>
    <w:lvl w:ilvl="0">
      <w:lvlJc w:val="left"/>
      <w:lvlText w:val="(%1)"/>
      <w:numFmt w:val="lowerLetter"/>
      <w:start w:val="2"/>
    </w:lvl>
    <w:lvl w:ilvl="1">
      <w:lvlJc w:val="left"/>
      <w:lvlText w:val="%2"/>
      <w:numFmt w:val="lowerRoman"/>
      <w:start w:val="1"/>
    </w:lvl>
  </w:abstractNum>
  <w:abstractNum w:abstractNumId="206">
    <w:nsid w:val="6FBF29CB"/>
    <w:multiLevelType w:val="hybridMultilevel"/>
    <w:lvl w:ilvl="0">
      <w:lvlJc w:val="left"/>
      <w:lvlText w:val="%1."/>
      <w:numFmt w:val="decimal"/>
      <w:start w:val="24"/>
    </w:lvl>
  </w:abstractNum>
  <w:abstractNum w:abstractNumId="207">
    <w:nsid w:val="550B8808"/>
    <w:multiLevelType w:val="hybridMultilevel"/>
    <w:lvl w:ilvl="0">
      <w:lvlJc w:val="left"/>
      <w:lvlText w:val="(%1)"/>
      <w:numFmt w:val="lowerLetter"/>
      <w:start w:val="1"/>
    </w:lvl>
  </w:abstractNum>
  <w:abstractNum w:abstractNumId="208">
    <w:nsid w:val="34CC3ACF"/>
    <w:multiLevelType w:val="hybridMultilevel"/>
    <w:lvl w:ilvl="0">
      <w:lvlJc w:val="left"/>
      <w:lvlText w:val="(%1)"/>
      <w:numFmt w:val="lowerLetter"/>
      <w:start w:val="1"/>
    </w:lvl>
    <w:lvl w:ilvl="1">
      <w:lvlJc w:val="left"/>
      <w:lvlText w:val="(%2)"/>
      <w:numFmt w:val="lowerRoman"/>
      <w:start w:val="1"/>
    </w:lvl>
  </w:abstractNum>
  <w:abstractNum w:abstractNumId="209">
    <w:nsid w:val="4E556261"/>
    <w:multiLevelType w:val="hybridMultilevel"/>
    <w:lvl w:ilvl="0">
      <w:lvlJc w:val="left"/>
      <w:lvlText w:val="(%1)"/>
      <w:numFmt w:val="lowerLetter"/>
      <w:start w:val="1"/>
    </w:lvl>
  </w:abstractNum>
  <w:abstractNum w:abstractNumId="210">
    <w:nsid w:val="4C672FC9"/>
    <w:multiLevelType w:val="hybridMultilevel"/>
    <w:lvl w:ilvl="0">
      <w:lvlJc w:val="left"/>
      <w:lvlText w:val="(%1)"/>
      <w:numFmt w:val="lowerRoman"/>
      <w:start w:val="1"/>
    </w:lvl>
  </w:abstractNum>
  <w:abstractNum w:abstractNumId="211">
    <w:nsid w:val="52A311C3"/>
    <w:multiLevelType w:val="hybridMultilevel"/>
    <w:lvl w:ilvl="0">
      <w:lvlJc w:val="left"/>
      <w:lvlText w:val="(%1)"/>
      <w:numFmt w:val="lowerLetter"/>
      <w:start w:val="2"/>
    </w:lvl>
  </w:abstractNum>
  <w:abstractNum w:abstractNumId="212">
    <w:nsid w:val="44EF6B80"/>
    <w:multiLevelType w:val="hybridMultilevel"/>
    <w:lvl w:ilvl="0">
      <w:lvlJc w:val="left"/>
      <w:lvlText w:val="(%1)"/>
      <w:numFmt w:val="lowerLetter"/>
      <w:start w:val="6"/>
    </w:lvl>
  </w:abstractNum>
  <w:abstractNum w:abstractNumId="213">
    <w:nsid w:val="12FCDE5E"/>
    <w:multiLevelType w:val="hybridMultilevel"/>
    <w:lvl w:ilvl="0">
      <w:lvlJc w:val="left"/>
      <w:lvlText w:val="(%1)"/>
      <w:numFmt w:val="lowerLetter"/>
      <w:start w:val="1"/>
    </w:lvl>
    <w:lvl w:ilvl="1">
      <w:lvlJc w:val="left"/>
      <w:lvlText w:val="(%2)"/>
      <w:numFmt w:val="lowerRoman"/>
      <w:start w:val="1"/>
    </w:lvl>
  </w:abstractNum>
  <w:abstractNum w:abstractNumId="214">
    <w:nsid w:val="4A1D606E"/>
    <w:multiLevelType w:val="hybridMultilevel"/>
    <w:lvl w:ilvl="0">
      <w:lvlJc w:val="left"/>
      <w:lvlText w:val="(%1)"/>
      <w:numFmt w:val="lowerLetter"/>
      <w:start w:val="2"/>
    </w:lvl>
    <w:lvl w:ilvl="1">
      <w:lvlJc w:val="left"/>
      <w:lvlText w:val="(%2)"/>
      <w:numFmt w:val="lowerRoman"/>
      <w:start w:val="1"/>
    </w:lvl>
  </w:abstractNum>
  <w:abstractNum w:abstractNumId="215">
    <w:nsid w:val="4382503"/>
    <w:multiLevelType w:val="hybridMultilevel"/>
    <w:lvl w:ilvl="0">
      <w:lvlJc w:val="left"/>
      <w:lvlText w:val="(%1)"/>
      <w:numFmt w:val="lowerLetter"/>
      <w:start w:val="1"/>
    </w:lvl>
  </w:abstractNum>
  <w:abstractNum w:abstractNumId="216">
    <w:nsid w:val="59B76E28"/>
    <w:multiLevelType w:val="hybridMultilevel"/>
    <w:lvl w:ilvl="0">
      <w:lvlJc w:val="left"/>
      <w:lvlText w:val="(%1)"/>
      <w:numFmt w:val="lowerLetter"/>
      <w:start w:val="3"/>
    </w:lvl>
    <w:lvl w:ilvl="1">
      <w:lvlJc w:val="left"/>
      <w:lvlText w:val="(%2)"/>
      <w:numFmt w:val="lowerRoman"/>
      <w:start w:val="1"/>
    </w:lvl>
  </w:abstractNum>
  <w:abstractNum w:abstractNumId="217">
    <w:nsid w:val="4252C2DA"/>
    <w:multiLevelType w:val="hybridMultilevel"/>
    <w:lvl w:ilvl="0">
      <w:lvlJc w:val="left"/>
      <w:lvlText w:val="(%1)"/>
      <w:numFmt w:val="lowerLetter"/>
      <w:start w:val="1"/>
    </w:lvl>
    <w:lvl w:ilvl="1">
      <w:lvlJc w:val="left"/>
      <w:lvlText w:val="(%2)"/>
      <w:numFmt w:val="lowerRoman"/>
      <w:start w:val="1"/>
    </w:lvl>
  </w:abstractNum>
  <w:abstractNum w:abstractNumId="218">
    <w:nsid w:val="6A92EF4C"/>
    <w:multiLevelType w:val="hybridMultilevel"/>
    <w:lvl w:ilvl="0">
      <w:lvlJc w:val="left"/>
      <w:lvlText w:val="(%1)"/>
      <w:numFmt w:val="lowerLetter"/>
      <w:start w:val="1"/>
    </w:lvl>
  </w:abstractNum>
  <w:abstractNum w:abstractNumId="219">
    <w:nsid w:val="41ED20D7"/>
    <w:multiLevelType w:val="hybridMultilevel"/>
    <w:lvl w:ilvl="0">
      <w:lvlJc w:val="left"/>
      <w:lvlText w:val="(%1)"/>
      <w:numFmt w:val="lowerRoman"/>
      <w:start w:val="1"/>
    </w:lvl>
  </w:abstractNum>
  <w:abstractNum w:abstractNumId="220">
    <w:nsid w:val="E6B3F6A"/>
    <w:multiLevelType w:val="hybridMultilevel"/>
    <w:lvl w:ilvl="0">
      <w:lvlJc w:val="left"/>
      <w:lvlText w:val="(%1)"/>
      <w:numFmt w:val="lowerLetter"/>
      <w:start w:val="1"/>
    </w:lvl>
    <w:lvl w:ilvl="1">
      <w:lvlJc w:val="left"/>
      <w:lvlText w:val="(%2)"/>
      <w:numFmt w:val="lowerRoman"/>
      <w:start w:val="1"/>
    </w:lvl>
  </w:abstractNum>
  <w:abstractNum w:abstractNumId="221">
    <w:nsid w:val="3EB21819"/>
    <w:multiLevelType w:val="hybridMultilevel"/>
    <w:lvl w:ilvl="0">
      <w:lvlJc w:val="left"/>
      <w:lvlText w:val="%1."/>
      <w:numFmt w:val="decimal"/>
      <w:start w:val="25"/>
    </w:lvl>
  </w:abstractNum>
  <w:abstractNum w:abstractNumId="222">
    <w:nsid w:val="41531DED"/>
    <w:multiLevelType w:val="hybridMultilevel"/>
    <w:lvl w:ilvl="0">
      <w:lvlJc w:val="left"/>
      <w:lvlText w:val="%1."/>
      <w:numFmt w:val="decimal"/>
      <w:start w:val="26"/>
    </w:lvl>
  </w:abstractNum>
  <w:abstractNum w:abstractNumId="223">
    <w:nsid w:val="6353CD2"/>
    <w:multiLevelType w:val="hybridMultilevel"/>
    <w:lvl w:ilvl="0">
      <w:lvlJc w:val="left"/>
      <w:lvlText w:val="(%1)"/>
      <w:numFmt w:val="lowerLetter"/>
      <w:start w:val="1"/>
    </w:lvl>
  </w:abstractNum>
  <w:abstractNum w:abstractNumId="224">
    <w:nsid w:val="683CAA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5">
    <w:nsid w:val="313C7C99"/>
    <w:multiLevelType w:val="hybridMultilevel"/>
    <w:lvl w:ilvl="0">
      <w:lvlJc w:val="left"/>
      <w:lvlText w:val="(%1)"/>
      <w:numFmt w:val="lowerLetter"/>
      <w:start w:val="5"/>
    </w:lvl>
  </w:abstractNum>
  <w:abstractNum w:abstractNumId="226">
    <w:nsid w:val="519EB94C"/>
    <w:multiLevelType w:val="hybridMultilevel"/>
    <w:lvl w:ilvl="0">
      <w:lvlJc w:val="left"/>
      <w:lvlText w:val="(%1)"/>
      <w:numFmt w:val="lowerLetter"/>
      <w:start w:val="1"/>
    </w:lvl>
  </w:abstractNum>
  <w:abstractNum w:abstractNumId="227">
    <w:nsid w:val="39DF2579"/>
    <w:multiLevelType w:val="hybridMultilevel"/>
    <w:lvl w:ilvl="0">
      <w:lvlJc w:val="left"/>
      <w:lvlText w:val="(%1)"/>
      <w:numFmt w:val="lowerLetter"/>
      <w:start w:val="1"/>
    </w:lvl>
  </w:abstractNum>
  <w:abstractNum w:abstractNumId="228">
    <w:nsid w:val="126E008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9">
    <w:nsid w:val="34DFBC00"/>
    <w:multiLevelType w:val="hybridMultilevel"/>
    <w:lvl w:ilvl="0">
      <w:lvlJc w:val="left"/>
      <w:lvlText w:val="(%1)"/>
      <w:numFmt w:val="lowerLetter"/>
      <w:start w:val="2"/>
    </w:lvl>
    <w:lvl w:ilvl="1">
      <w:lvlJc w:val="left"/>
      <w:lvlText w:val="(%2)"/>
      <w:numFmt w:val="lowerRoman"/>
      <w:start w:val="1"/>
    </w:lvl>
  </w:abstractNum>
  <w:abstractNum w:abstractNumId="230">
    <w:nsid w:val="1F9EC322"/>
    <w:multiLevelType w:val="hybridMultilevel"/>
    <w:lvl w:ilvl="0">
      <w:lvlJc w:val="left"/>
      <w:lvlText w:val="(%1)"/>
      <w:numFmt w:val="lowerLetter"/>
      <w:start w:val="9"/>
    </w:lvl>
  </w:abstractNum>
  <w:abstractNum w:abstractNumId="231">
    <w:nsid w:val="3410ED56"/>
    <w:multiLevelType w:val="hybridMultilevel"/>
    <w:lvl w:ilvl="0">
      <w:lvlJc w:val="left"/>
      <w:lvlText w:val="(%1)"/>
      <w:numFmt w:val="lowerLetter"/>
      <w:start w:val="1"/>
    </w:lvl>
  </w:abstractNum>
  <w:abstractNum w:abstractNumId="232">
    <w:nsid w:val="23C049A"/>
    <w:multiLevelType w:val="hybridMultilevel"/>
    <w:lvl w:ilvl="0">
      <w:lvlJc w:val="left"/>
      <w:lvlText w:val="(%1)"/>
      <w:numFmt w:val="lowerLetter"/>
      <w:start w:val="1"/>
    </w:lvl>
  </w:abstractNum>
  <w:abstractNum w:abstractNumId="233">
    <w:nsid w:val="5BDA35D4"/>
    <w:multiLevelType w:val="hybridMultilevel"/>
    <w:lvl w:ilvl="0">
      <w:lvlJc w:val="left"/>
      <w:lvlText w:val="(%1)"/>
      <w:numFmt w:val="lowerLetter"/>
      <w:start w:val="1"/>
    </w:lvl>
    <w:lvl w:ilvl="1">
      <w:lvlJc w:val="left"/>
      <w:lvlText w:val="(%2)"/>
      <w:numFmt w:val="lowerRoman"/>
      <w:start w:val="1"/>
    </w:lvl>
  </w:abstractNum>
  <w:abstractNum w:abstractNumId="234">
    <w:nsid w:val="496FB218"/>
    <w:multiLevelType w:val="hybridMultilevel"/>
    <w:lvl w:ilvl="0">
      <w:lvlJc w:val="left"/>
      <w:lvlText w:val="(%1)"/>
      <w:numFmt w:val="lowerRoman"/>
      <w:start w:val="3"/>
    </w:lvl>
    <w:lvl w:ilvl="1">
      <w:lvlJc w:val="left"/>
      <w:lvlText w:val="(%2)"/>
      <w:numFmt w:val="upperLetter"/>
      <w:start w:val="1"/>
    </w:lvl>
  </w:abstractNum>
  <w:abstractNum w:abstractNumId="235">
    <w:nsid w:val="680EA5D1"/>
    <w:multiLevelType w:val="hybridMultilevel"/>
    <w:lvl w:ilvl="0">
      <w:lvlJc w:val="left"/>
      <w:lvlText w:val="(%1)"/>
      <w:numFmt w:val="lowerLetter"/>
      <w:start w:val="2"/>
    </w:lvl>
    <w:lvl w:ilvl="1">
      <w:lvlJc w:val="left"/>
      <w:lvlText w:val="(%2)"/>
      <w:numFmt w:val="lowerRoman"/>
      <w:start w:val="1"/>
    </w:lvl>
  </w:abstractNum>
  <w:abstractNum w:abstractNumId="236">
    <w:nsid w:val="4A9554FE"/>
    <w:multiLevelType w:val="hybridMultilevel"/>
    <w:lvl w:ilvl="0">
      <w:lvlJc w:val="left"/>
      <w:lvlText w:val="(%1)"/>
      <w:numFmt w:val="lowerLetter"/>
      <w:start w:val="5"/>
    </w:lvl>
  </w:abstractNum>
  <w:abstractNum w:abstractNumId="237">
    <w:nsid w:val="392EDBE4"/>
    <w:multiLevelType w:val="hybridMultilevel"/>
    <w:lvl w:ilvl="0">
      <w:lvlJc w:val="left"/>
      <w:lvlText w:val="(%1)"/>
      <w:numFmt w:val="lowerLetter"/>
      <w:start w:val="1"/>
    </w:lvl>
  </w:abstractNum>
  <w:abstractNum w:abstractNumId="238">
    <w:nsid w:val="3D1A2DD9"/>
    <w:multiLevelType w:val="hybridMultilevel"/>
    <w:lvl w:ilvl="0">
      <w:lvlJc w:val="left"/>
      <w:lvlText w:val="(%1)"/>
      <w:numFmt w:val="lowerLetter"/>
      <w:start w:val="5"/>
    </w:lvl>
    <w:lvl w:ilvl="1">
      <w:lvlJc w:val="left"/>
      <w:lvlText w:val="(%2)"/>
      <w:numFmt w:val="lowerLetter"/>
      <w:start w:val="2"/>
    </w:lvl>
  </w:abstractNum>
  <w:abstractNum w:abstractNumId="239">
    <w:nsid w:val="7F618FCD"/>
    <w:multiLevelType w:val="hybridMultilevel"/>
    <w:lvl w:ilvl="0">
      <w:lvlJc w:val="left"/>
      <w:lvlText w:val="%1"/>
      <w:numFmt w:val="lowerLetter"/>
      <w:start w:val="1"/>
    </w:lvl>
    <w:lvl w:ilvl="1">
      <w:lvlJc w:val="left"/>
      <w:lvlText w:val="(%2)"/>
      <w:numFmt w:val="lowerLetter"/>
      <w:start w:val="9"/>
    </w:lvl>
  </w:abstractNum>
  <w:abstractNum w:abstractNumId="240">
    <w:nsid w:val="7843E45"/>
    <w:multiLevelType w:val="hybridMultilevel"/>
    <w:lvl w:ilvl="0">
      <w:lvlJc w:val="left"/>
      <w:lvlText w:val="(%1)"/>
      <w:numFmt w:val="lowerRoman"/>
      <w:start w:val="2"/>
    </w:lvl>
  </w:abstractNum>
  <w:abstractNum w:abstractNumId="241">
    <w:nsid w:val="9815DA3"/>
    <w:multiLevelType w:val="hybridMultilevel"/>
    <w:lvl w:ilvl="0">
      <w:lvlJc w:val="left"/>
      <w:lvlText w:val="(%1)"/>
      <w:numFmt w:val="lowerLetter"/>
      <w:start w:val="1"/>
    </w:lvl>
  </w:abstractNum>
  <w:abstractNum w:abstractNumId="242">
    <w:nsid w:val="5204A191"/>
    <w:multiLevelType w:val="hybridMultilevel"/>
    <w:lvl w:ilvl="0">
      <w:lvlJc w:val="left"/>
      <w:lvlText w:val="(%1)"/>
      <w:numFmt w:val="lowerLetter"/>
      <w:start w:val="1"/>
    </w:lvl>
    <w:lvl w:ilvl="1">
      <w:lvlJc w:val="left"/>
      <w:lvlText w:val="(%2)"/>
      <w:numFmt w:val="lowerRoman"/>
      <w:start w:val="1"/>
    </w:lvl>
  </w:abstractNum>
  <w:abstractNum w:abstractNumId="243">
    <w:nsid w:val="4C73A9C6"/>
    <w:multiLevelType w:val="hybridMultilevel"/>
    <w:lvl w:ilvl="0">
      <w:lvlJc w:val="left"/>
      <w:lvlText w:val="(%1)"/>
      <w:numFmt w:val="lowerLetter"/>
      <w:start w:val="2"/>
    </w:lvl>
  </w:abstractNum>
  <w:abstractNum w:abstractNumId="244">
    <w:nsid w:val="1C7E3C01"/>
    <w:multiLevelType w:val="hybridMultilevel"/>
    <w:lvl w:ilvl="0">
      <w:lvlJc w:val="left"/>
      <w:lvlText w:val="(%1)"/>
      <w:numFmt w:val="lowerLetter"/>
      <w:start w:val="1"/>
    </w:lvl>
  </w:abstractNum>
  <w:abstractNum w:abstractNumId="245">
    <w:nsid w:val="1C2201FF"/>
    <w:multiLevelType w:val="hybridMultilevel"/>
    <w:lvl w:ilvl="0">
      <w:lvlJc w:val="left"/>
      <w:lvlText w:val="%1."/>
      <w:numFmt w:val="decimal"/>
      <w:start w:val="27"/>
    </w:lvl>
  </w:abstractNum>
  <w:abstractNum w:abstractNumId="246">
    <w:nsid w:val="50ABCEC9"/>
    <w:multiLevelType w:val="hybridMultilevel"/>
    <w:lvl w:ilvl="0">
      <w:lvlJc w:val="left"/>
      <w:lvlText w:val="(%1)"/>
      <w:numFmt w:val="lowerLetter"/>
      <w:start w:val="1"/>
    </w:lvl>
  </w:abstractNum>
  <w:abstractNum w:abstractNumId="247">
    <w:nsid w:val="7635AA2A"/>
    <w:multiLevelType w:val="hybridMultilevel"/>
    <w:lvl w:ilvl="0">
      <w:lvlJc w:val="left"/>
      <w:lvlText w:val="(%1)"/>
      <w:numFmt w:val="lowerLetter"/>
      <w:start w:val="1"/>
    </w:lvl>
  </w:abstractNum>
  <w:abstractNum w:abstractNumId="248">
    <w:nsid w:val="5E74C4D9"/>
    <w:multiLevelType w:val="hybridMultilevel"/>
    <w:lvl w:ilvl="0">
      <w:lvlJc w:val="left"/>
      <w:lvlText w:val="(%1)"/>
      <w:numFmt w:val="lowerLetter"/>
      <w:start w:val="1"/>
    </w:lvl>
  </w:abstractNum>
  <w:abstractNum w:abstractNumId="249">
    <w:nsid w:val="3B3EBE15"/>
    <w:multiLevelType w:val="hybridMultilevel"/>
    <w:lvl w:ilvl="0">
      <w:lvlJc w:val="left"/>
      <w:lvlText w:val="(%1)"/>
      <w:numFmt w:val="lowerLetter"/>
      <w:start w:val="1"/>
    </w:lvl>
    <w:lvl w:ilvl="1">
      <w:lvlJc w:val="left"/>
      <w:lvlText w:val="(%2)"/>
      <w:numFmt w:val="lowerRoman"/>
      <w:start w:val="1"/>
    </w:lvl>
  </w:abstractNum>
  <w:abstractNum w:abstractNumId="250">
    <w:nsid w:val="3822CB01"/>
    <w:multiLevelType w:val="hybridMultilevel"/>
    <w:lvl w:ilvl="0">
      <w:lvlJc w:val="left"/>
      <w:lvlText w:val="%1."/>
      <w:numFmt w:val="decimal"/>
      <w:start w:val="28"/>
    </w:lvl>
  </w:abstractNum>
  <w:abstractNum w:abstractNumId="251">
    <w:nsid w:val="6CE00443"/>
    <w:multiLevelType w:val="hybridMultilevel"/>
    <w:lvl w:ilvl="0">
      <w:lvlJc w:val="left"/>
      <w:lvlText w:val="(%1)"/>
      <w:numFmt w:val="lowerLetter"/>
      <w:start w:val="1"/>
    </w:lvl>
  </w:abstractNum>
  <w:abstractNum w:abstractNumId="252">
    <w:nsid w:val="79F0D62F"/>
    <w:multiLevelType w:val="hybridMultilevel"/>
    <w:lvl w:ilvl="0">
      <w:lvlJc w:val="left"/>
      <w:lvlText w:val="(%1)"/>
      <w:numFmt w:val="lowerLetter"/>
      <w:start w:val="1"/>
    </w:lvl>
  </w:abstractNum>
  <w:abstractNum w:abstractNumId="253">
    <w:nsid w:val="7975E8EE"/>
    <w:multiLevelType w:val="hybridMultilevel"/>
    <w:lvl w:ilvl="0">
      <w:lvlJc w:val="left"/>
      <w:lvlText w:val="(%1)"/>
      <w:numFmt w:val="lowerLetter"/>
      <w:start w:val="1"/>
    </w:lvl>
  </w:abstractNum>
  <w:abstractNum w:abstractNumId="254">
    <w:nsid w:val="73154115"/>
    <w:multiLevelType w:val="hybridMultilevel"/>
    <w:lvl w:ilvl="0">
      <w:lvlJc w:val="left"/>
      <w:lvlText w:val="(%1)"/>
      <w:numFmt w:val="lowerLetter"/>
      <w:start w:val="2"/>
    </w:lvl>
    <w:lvl w:ilvl="1">
      <w:lvlJc w:val="left"/>
      <w:lvlText w:val="(%2)"/>
      <w:numFmt w:val="lowerRoman"/>
      <w:start w:val="1"/>
    </w:lvl>
  </w:abstractNum>
  <w:abstractNum w:abstractNumId="255">
    <w:nsid w:val="622D8102"/>
    <w:multiLevelType w:val="hybridMultilevel"/>
    <w:lvl w:ilvl="0">
      <w:lvlJc w:val="left"/>
      <w:lvlText w:val="(%1)"/>
      <w:numFmt w:val="lowerLetter"/>
      <w:start w:val="1"/>
    </w:lvl>
    <w:lvl w:ilvl="1">
      <w:lvlJc w:val="left"/>
      <w:lvlText w:val="(%2)"/>
      <w:numFmt w:val="lowerRoman"/>
      <w:start w:val="1"/>
    </w:lvl>
  </w:abstractNum>
  <w:abstractNum w:abstractNumId="256">
    <w:nsid w:val="2AB26587"/>
    <w:multiLevelType w:val="hybridMultilevel"/>
    <w:lvl w:ilvl="0">
      <w:lvlJc w:val="left"/>
      <w:lvlText w:val="(%1)"/>
      <w:numFmt w:val="lowerLetter"/>
      <w:start w:val="1"/>
    </w:lvl>
  </w:abstractNum>
  <w:abstractNum w:abstractNumId="257">
    <w:nsid w:val="44B3FA61"/>
    <w:multiLevelType w:val="hybridMultilevel"/>
    <w:lvl w:ilvl="0">
      <w:lvlJc w:val="left"/>
      <w:lvlText w:val="(%1)"/>
      <w:numFmt w:val="lowerLetter"/>
      <w:start w:val="1"/>
    </w:lvl>
  </w:abstractNum>
  <w:abstractNum w:abstractNumId="258">
    <w:nsid w:val="1C0CA67C"/>
    <w:multiLevelType w:val="hybridMultilevel"/>
    <w:lvl w:ilvl="0">
      <w:lvlJc w:val="left"/>
      <w:lvlText w:val="(%1)"/>
      <w:numFmt w:val="lowerLetter"/>
      <w:start w:val="1"/>
    </w:lvl>
    <w:lvl w:ilvl="1">
      <w:lvlJc w:val="left"/>
      <w:lvlText w:val="(%2)"/>
      <w:numFmt w:val="lowerRoman"/>
      <w:start w:val="1"/>
    </w:lvl>
  </w:abstractNum>
  <w:abstractNum w:abstractNumId="259">
    <w:nsid w:val="3D206613"/>
    <w:multiLevelType w:val="hybridMultilevel"/>
    <w:lvl w:ilvl="0">
      <w:lvlJc w:val="left"/>
      <w:lvlText w:val="%1"/>
      <w:numFmt w:val="decimal"/>
      <w:start w:val="1"/>
    </w:lvl>
    <w:lvl w:ilvl="1">
      <w:lvlJc w:val="left"/>
      <w:lvlText w:val="(%2)"/>
      <w:numFmt w:val="lowerLetter"/>
      <w:start w:val="1"/>
    </w:lvl>
  </w:abstractNum>
  <w:abstractNum w:abstractNumId="260">
    <w:nsid w:val="7993B662"/>
    <w:multiLevelType w:val="hybridMultilevel"/>
    <w:lvl w:ilvl="0">
      <w:lvlJc w:val="left"/>
      <w:lvlText w:val="%1."/>
      <w:numFmt w:val="decimal"/>
      <w:start w:val="29"/>
    </w:lvl>
    <w:lvl w:ilvl="1">
      <w:lvlJc w:val="left"/>
      <w:lvlText w:val="%2"/>
      <w:numFmt w:val="lowerLetter"/>
      <w:start w:val="1"/>
    </w:lvl>
  </w:abstractNum>
  <w:abstractNum w:abstractNumId="261">
    <w:nsid w:val="3BAB699E"/>
    <w:multiLevelType w:val="hybridMultilevel"/>
    <w:lvl w:ilvl="0">
      <w:lvlJc w:val="left"/>
      <w:lvlText w:val="%1."/>
      <w:numFmt w:val="decimal"/>
      <w:start w:val="30"/>
    </w:lvl>
  </w:abstractNum>
  <w:abstractNum w:abstractNumId="262">
    <w:nsid w:val="71315369"/>
    <w:multiLevelType w:val="hybridMultilevel"/>
    <w:lvl w:ilvl="0">
      <w:lvlJc w:val="left"/>
      <w:lvlText w:val="(%1)"/>
      <w:numFmt w:val="lowerLetter"/>
      <w:start w:val="1"/>
    </w:lvl>
  </w:abstractNum>
  <w:abstractNum w:abstractNumId="263">
    <w:nsid w:val="7BCFBAFC"/>
    <w:multiLevelType w:val="hybridMultilevel"/>
    <w:lvl w:ilvl="0">
      <w:lvlJc w:val="left"/>
      <w:lvlText w:val="(%1)"/>
      <w:numFmt w:val="lowerLetter"/>
      <w:start w:val="1"/>
    </w:lvl>
  </w:abstractNum>
  <w:abstractNum w:abstractNumId="264">
    <w:nsid w:val="17859F72"/>
    <w:multiLevelType w:val="hybridMultilevel"/>
    <w:lvl w:ilvl="0">
      <w:lvlJc w:val="left"/>
      <w:lvlText w:val="(%1)"/>
      <w:numFmt w:val="lowerLetter"/>
      <w:start w:val="1"/>
    </w:lvl>
    <w:lvl w:ilvl="1">
      <w:lvlJc w:val="left"/>
      <w:lvlText w:val="(%2)"/>
      <w:numFmt w:val="lowerRoman"/>
      <w:start w:val="1"/>
    </w:lvl>
  </w:abstractNum>
  <w:abstractNum w:abstractNumId="265">
    <w:nsid w:val="3AA10581"/>
    <w:multiLevelType w:val="hybridMultilevel"/>
    <w:lvl w:ilvl="0">
      <w:lvlJc w:val="left"/>
      <w:lvlText w:val="(%1)"/>
      <w:numFmt w:val="lowerLetter"/>
      <w:start w:val="2"/>
    </w:lvl>
  </w:abstractNum>
  <w:abstractNum w:abstractNumId="266">
    <w:nsid w:val="63DE60CD"/>
    <w:multiLevelType w:val="hybridMultilevel"/>
    <w:lvl w:ilvl="0">
      <w:lvlJc w:val="left"/>
      <w:lvlText w:val="(%1)"/>
      <w:numFmt w:val="lowerLetter"/>
      <w:start w:val="3"/>
    </w:lvl>
  </w:abstractNum>
  <w:abstractNum w:abstractNumId="267">
    <w:nsid w:val="621AF471"/>
    <w:multiLevelType w:val="hybridMultilevel"/>
    <w:lvl w:ilvl="0">
      <w:lvlJc w:val="left"/>
      <w:lvlText w:val="(%1)"/>
      <w:numFmt w:val="lowerLetter"/>
      <w:start w:val="1"/>
    </w:lvl>
    <w:lvl w:ilvl="1">
      <w:lvlJc w:val="left"/>
      <w:lvlText w:val="(%2)"/>
      <w:numFmt w:val="lowerRoman"/>
      <w:start w:val="1"/>
    </w:lvl>
  </w:abstractNum>
  <w:abstractNum w:abstractNumId="268">
    <w:nsid w:val="73CFE165"/>
    <w:multiLevelType w:val="hybridMultilevel"/>
    <w:lvl w:ilvl="0">
      <w:lvlJc w:val="left"/>
      <w:lvlText w:val="(%1)"/>
      <w:numFmt w:val="lowerLetter"/>
      <w:start w:val="3"/>
    </w:lvl>
  </w:abstractNum>
  <w:abstractNum w:abstractNumId="269">
    <w:nsid w:val="20F88EA6"/>
    <w:multiLevelType w:val="hybridMultilevel"/>
    <w:lvl w:ilvl="0">
      <w:lvlJc w:val="left"/>
      <w:lvlText w:val="(%1)"/>
      <w:numFmt w:val="lowerLetter"/>
      <w:start w:val="1"/>
    </w:lvl>
    <w:lvl w:ilvl="1">
      <w:lvlJc w:val="left"/>
      <w:lvlText w:val="(%2)"/>
      <w:numFmt w:val="lowerRoman"/>
      <w:start w:val="1"/>
    </w:lvl>
  </w:abstractNum>
  <w:abstractNum w:abstractNumId="270">
    <w:nsid w:val="617C843E"/>
    <w:multiLevelType w:val="hybridMultilevel"/>
    <w:lvl w:ilvl="0">
      <w:lvlJc w:val="left"/>
      <w:lvlText w:val="%1."/>
      <w:numFmt w:val="decimal"/>
      <w:start w:val="31"/>
    </w:lvl>
  </w:abstractNum>
  <w:abstractNum w:abstractNumId="271">
    <w:nsid w:val="7B541FAB"/>
    <w:multiLevelType w:val="hybridMultilevel"/>
    <w:lvl w:ilvl="0">
      <w:lvlJc w:val="left"/>
      <w:lvlText w:val="%1."/>
      <w:numFmt w:val="decimal"/>
      <w:start w:val="32"/>
    </w:lvl>
  </w:abstractNum>
  <w:abstractNum w:abstractNumId="272">
    <w:nsid w:val="2A79EC49"/>
    <w:multiLevelType w:val="hybridMultilevel"/>
    <w:lvl w:ilvl="0">
      <w:lvlJc w:val="left"/>
      <w:lvlText w:val="%1."/>
      <w:numFmt w:val="decimal"/>
      <w:start w:val="34"/>
    </w:lvl>
  </w:abstractNum>
  <w:abstractNum w:abstractNumId="273">
    <w:nsid w:val="338125CF"/>
    <w:multiLevelType w:val="hybridMultilevel"/>
    <w:lvl w:ilvl="0">
      <w:lvlJc w:val="left"/>
      <w:lvlText w:val="(%1)"/>
      <w:numFmt w:val="lowerLetter"/>
      <w:start w:val="1"/>
    </w:lvl>
  </w:abstractNum>
  <w:abstractNum w:abstractNumId="274">
    <w:nsid w:val="47C7C971"/>
    <w:multiLevelType w:val="hybridMultilevel"/>
    <w:lvl w:ilvl="0">
      <w:lvlJc w:val="left"/>
      <w:lvlText w:val="(%1)"/>
      <w:numFmt w:val="lowerLetter"/>
      <w:start w:val="1"/>
    </w:lvl>
  </w:abstractNum>
  <w:abstractNum w:abstractNumId="275">
    <w:nsid w:val="46F8284B"/>
    <w:multiLevelType w:val="hybridMultilevel"/>
    <w:lvl w:ilvl="0">
      <w:lvlJc w:val="left"/>
      <w:lvlText w:val="(%1)"/>
      <w:numFmt w:val="lowerLetter"/>
      <w:start w:val="1"/>
    </w:lvl>
  </w:abstractNum>
  <w:abstractNum w:abstractNumId="276">
    <w:nsid w:val="4FA327CE"/>
    <w:multiLevelType w:val="hybridMultilevel"/>
    <w:lvl w:ilvl="0">
      <w:lvlJc w:val="left"/>
      <w:lvlText w:val="(%1)"/>
      <w:numFmt w:val="lowerLetter"/>
      <w:start w:val="1"/>
    </w:lvl>
    <w:lvl w:ilvl="1">
      <w:lvlJc w:val="left"/>
      <w:lvlText w:val="(%2)"/>
      <w:numFmt w:val="lowerRoman"/>
      <w:start w:val="1"/>
    </w:lvl>
  </w:abstractNum>
  <w:abstractNum w:abstractNumId="277">
    <w:nsid w:val="1873983A"/>
    <w:multiLevelType w:val="hybridMultilevel"/>
    <w:lvl w:ilvl="0">
      <w:lvlJc w:val="left"/>
      <w:lvlText w:val="(%1)"/>
      <w:numFmt w:val="lowerLetter"/>
      <w:start w:val="2"/>
    </w:lvl>
    <w:lvl w:ilvl="1">
      <w:lvlJc w:val="left"/>
      <w:lvlText w:val="(%2)"/>
      <w:numFmt w:val="lowerRoman"/>
      <w:start w:val="1"/>
    </w:lvl>
  </w:abstractNum>
  <w:abstractNum w:abstractNumId="278">
    <w:nsid w:val="3D2DD275"/>
    <w:multiLevelType w:val="hybridMultilevel"/>
    <w:lvl w:ilvl="0">
      <w:lvlJc w:val="left"/>
      <w:lvlText w:val="%1"/>
      <w:numFmt w:val="lowerLetter"/>
      <w:start w:val="1"/>
    </w:lvl>
    <w:lvl w:ilvl="1">
      <w:lvlJc w:val="left"/>
      <w:lvlText w:val="(%2)"/>
      <w:numFmt w:val="lowerRoman"/>
      <w:start w:val="4"/>
    </w:lvl>
  </w:abstractNum>
  <w:abstractNum w:abstractNumId="279">
    <w:nsid w:val="2E17ECA7"/>
    <w:multiLevelType w:val="hybridMultilevel"/>
    <w:lvl w:ilvl="0">
      <w:lvlJc w:val="left"/>
      <w:lvlText w:val="(%1)"/>
      <w:numFmt w:val="lowerLetter"/>
      <w:start w:val="3"/>
    </w:lvl>
    <w:lvl w:ilvl="1">
      <w:lvlJc w:val="left"/>
      <w:lvlText w:val="(%2)"/>
      <w:numFmt w:val="lowerRoman"/>
      <w:start w:val="1"/>
    </w:lvl>
  </w:abstractNum>
  <w:abstractNum w:abstractNumId="280">
    <w:nsid w:val="53B256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1">
    <w:nsid w:val="75509D76"/>
    <w:multiLevelType w:val="hybridMultilevel"/>
    <w:lvl w:ilvl="0">
      <w:lvlJc w:val="left"/>
      <w:lvlText w:val="(%1)"/>
      <w:numFmt w:val="lowerLetter"/>
      <w:start w:val="2"/>
    </w:lvl>
    <w:lvl w:ilvl="1">
      <w:lvlJc w:val="left"/>
      <w:lvlText w:val="(%2)"/>
      <w:numFmt w:val="lowerRoman"/>
      <w:start w:val="1"/>
    </w:lvl>
  </w:abstractNum>
  <w:abstractNum w:abstractNumId="282">
    <w:nsid w:val="1AF7F0EA"/>
    <w:multiLevelType w:val="hybridMultilevel"/>
    <w:lvl w:ilvl="0">
      <w:lvlJc w:val="left"/>
      <w:lvlText w:val="(%1)"/>
      <w:numFmt w:val="lowerLetter"/>
      <w:start w:val="1"/>
    </w:lvl>
    <w:lvl w:ilvl="1">
      <w:lvlJc w:val="left"/>
      <w:lvlText w:val="(%2)"/>
      <w:numFmt w:val="lowerRoman"/>
      <w:start w:val="1"/>
    </w:lvl>
  </w:abstractNum>
  <w:abstractNum w:abstractNumId="283">
    <w:nsid w:val="4DA32C7E"/>
    <w:multiLevelType w:val="hybridMultilevel"/>
    <w:lvl w:ilvl="0">
      <w:lvlJc w:val="left"/>
      <w:lvlText w:val="%1"/>
      <w:numFmt w:val="decimal"/>
      <w:start w:val="1"/>
    </w:lvl>
    <w:lvl w:ilvl="1">
      <w:lvlJc w:val="left"/>
      <w:lvlText w:val="(%2)"/>
      <w:numFmt w:val="lowerLetter"/>
      <w:start w:val="3"/>
    </w:lvl>
  </w:abstractNum>
  <w:abstractNum w:abstractNumId="284">
    <w:nsid w:val="6EC68664"/>
    <w:multiLevelType w:val="hybridMultilevel"/>
    <w:lvl w:ilvl="0">
      <w:lvlJc w:val="left"/>
      <w:lvlText w:val="%1."/>
      <w:numFmt w:val="decimal"/>
      <w:start w:val="35"/>
    </w:lvl>
    <w:lvl w:ilvl="1">
      <w:lvlJc w:val="left"/>
      <w:lvlText w:val="%2"/>
      <w:numFmt w:val="lowerLetter"/>
      <w:start w:val="1"/>
    </w:lvl>
  </w:abstractNum>
  <w:abstractNum w:abstractNumId="285">
    <w:nsid w:val="E0D31FF"/>
    <w:multiLevelType w:val="hybridMultilevel"/>
    <w:lvl w:ilvl="0">
      <w:lvlJc w:val="left"/>
      <w:lvlText w:val="(%1)"/>
      <w:numFmt w:val="lowerLetter"/>
      <w:start w:val="1"/>
    </w:lvl>
    <w:lvl w:ilvl="1">
      <w:lvlJc w:val="left"/>
      <w:lvlText w:val="(%2)"/>
      <w:numFmt w:val="lowerRoman"/>
      <w:start w:val="1"/>
    </w:lvl>
  </w:abstractNum>
  <w:abstractNum w:abstractNumId="286">
    <w:nsid w:val="2FD0AD81"/>
    <w:multiLevelType w:val="hybridMultilevel"/>
    <w:lvl w:ilvl="0">
      <w:lvlJc w:val="left"/>
      <w:lvlText w:val="(%1)"/>
      <w:numFmt w:val="lowerRoman"/>
      <w:start w:val="8"/>
    </w:lvl>
  </w:abstractNum>
  <w:abstractNum w:abstractNumId="287">
    <w:nsid w:val="1978EBEB"/>
    <w:multiLevelType w:val="hybridMultilevel"/>
    <w:lvl w:ilvl="0">
      <w:lvlJc w:val="left"/>
      <w:lvlText w:val="%1"/>
      <w:numFmt w:val="lowerLetter"/>
      <w:start w:val="1"/>
    </w:lvl>
    <w:lvl w:ilvl="1">
      <w:lvlJc w:val="left"/>
      <w:lvlText w:val="(%2)"/>
      <w:numFmt w:val="lowerRoman"/>
      <w:start w:val="11"/>
    </w:lvl>
    <w:lvl w:ilvl="2">
      <w:lvlJc w:val="left"/>
      <w:lvlText w:val="%3"/>
      <w:numFmt w:val="upperLetter"/>
      <w:start w:val="1"/>
    </w:lvl>
  </w:abstractNum>
  <w:abstractNum w:abstractNumId="288">
    <w:nsid w:val="52C12C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9">
    <w:nsid w:val="4BDD53FD"/>
    <w:multiLevelType w:val="hybridMultilevel"/>
    <w:lvl w:ilvl="0">
      <w:lvlJc w:val="left"/>
      <w:lvlText w:val="(%1)"/>
      <w:numFmt w:val="lowerLetter"/>
      <w:start w:val="3"/>
    </w:lvl>
  </w:abstractNum>
  <w:abstractNum w:abstractNumId="290">
    <w:nsid w:val="569951FE"/>
    <w:multiLevelType w:val="hybridMultilevel"/>
    <w:lvl w:ilvl="0">
      <w:lvlJc w:val="left"/>
      <w:lvlText w:val="(%1)"/>
      <w:numFmt w:val="lowerLetter"/>
      <w:start w:val="4"/>
    </w:lvl>
  </w:abstractNum>
  <w:abstractNum w:abstractNumId="291">
    <w:nsid w:val="4C54E2C3"/>
    <w:multiLevelType w:val="hybridMultilevel"/>
    <w:lvl w:ilvl="0">
      <w:lvlJc w:val="left"/>
      <w:lvlText w:val="(%1)"/>
      <w:numFmt w:val="lowerLetter"/>
      <w:start w:val="1"/>
    </w:lvl>
    <w:lvl w:ilvl="1">
      <w:lvlJc w:val="left"/>
      <w:lvlText w:val="(%2)"/>
      <w:numFmt w:val="lowerRoman"/>
      <w:start w:val="1"/>
    </w:lvl>
  </w:abstractNum>
  <w:abstractNum w:abstractNumId="292">
    <w:nsid w:val="788BD9B"/>
    <w:multiLevelType w:val="hybridMultilevel"/>
    <w:lvl w:ilvl="0">
      <w:lvlJc w:val="left"/>
      <w:lvlText w:val="(%1)"/>
      <w:numFmt w:val="lowerLetter"/>
      <w:start w:val="2"/>
    </w:lvl>
  </w:abstractNum>
  <w:abstractNum w:abstractNumId="293">
    <w:nsid w:val="47CAA567"/>
    <w:multiLevelType w:val="hybridMultilevel"/>
    <w:lvl w:ilvl="0">
      <w:lvlJc w:val="left"/>
      <w:lvlText w:val="(%1)"/>
      <w:numFmt w:val="lowerLetter"/>
      <w:start w:val="3"/>
    </w:lvl>
    <w:lvl w:ilvl="1">
      <w:lvlJc w:val="left"/>
      <w:lvlText w:val="(%2)"/>
      <w:numFmt w:val="lowerRoman"/>
      <w:start w:val="1"/>
    </w:lvl>
  </w:abstractNum>
  <w:abstractNum w:abstractNumId="294">
    <w:nsid w:val="48249DBF"/>
    <w:multiLevelType w:val="hybridMultilevel"/>
    <w:lvl w:ilvl="0">
      <w:lvlJc w:val="left"/>
      <w:lvlText w:val="(%1)"/>
      <w:numFmt w:val="lowerLetter"/>
      <w:start w:val="1"/>
    </w:lvl>
  </w:abstractNum>
  <w:abstractNum w:abstractNumId="295">
    <w:nsid w:val="1F0E5D0D"/>
    <w:multiLevelType w:val="hybridMultilevel"/>
    <w:lvl w:ilvl="0">
      <w:lvlJc w:val="left"/>
      <w:lvlText w:val="(%1)"/>
      <w:numFmt w:val="lowerLetter"/>
      <w:start w:val="1"/>
    </w:lvl>
  </w:abstractNum>
  <w:abstractNum w:abstractNumId="296">
    <w:nsid w:val="26BAAE9"/>
    <w:multiLevelType w:val="hybridMultilevel"/>
    <w:lvl w:ilvl="0">
      <w:lvlJc w:val="left"/>
      <w:lvlText w:val="%1."/>
      <w:numFmt w:val="decimal"/>
      <w:start w:val="36"/>
    </w:lvl>
  </w:abstractNum>
  <w:abstractNum w:abstractNumId="297">
    <w:nsid w:val="2C02FE8C"/>
    <w:multiLevelType w:val="hybridMultilevel"/>
    <w:lvl w:ilvl="0">
      <w:lvlJc w:val="left"/>
      <w:lvlText w:val="(%1)"/>
      <w:numFmt w:val="lowerLetter"/>
      <w:start w:val="1"/>
    </w:lvl>
    <w:lvl w:ilvl="1">
      <w:lvlJc w:val="left"/>
      <w:lvlText w:val="(%2)"/>
      <w:numFmt w:val="lowerRoman"/>
      <w:start w:val="1"/>
    </w:lvl>
  </w:abstractNum>
  <w:abstractNum w:abstractNumId="298">
    <w:nsid w:val="129517E"/>
    <w:multiLevelType w:val="hybridMultilevel"/>
    <w:lvl w:ilvl="0">
      <w:lvlJc w:val="left"/>
      <w:lvlText w:val="(%1)"/>
      <w:numFmt w:val="lowerRoman"/>
      <w:start w:val="4"/>
    </w:lvl>
  </w:abstractNum>
  <w:abstractNum w:abstractNumId="299">
    <w:nsid w:val="763B8C4E"/>
    <w:multiLevelType w:val="hybridMultilevel"/>
    <w:lvl w:ilvl="0">
      <w:lvlJc w:val="left"/>
      <w:lvlText w:val="(%1)"/>
      <w:numFmt w:val="lowerLetter"/>
      <w:start w:val="1"/>
    </w:lvl>
    <w:lvl w:ilvl="1">
      <w:lvlJc w:val="left"/>
      <w:lvlText w:val="(%2)"/>
      <w:numFmt w:val="lowerRoman"/>
      <w:start w:val="1"/>
    </w:lvl>
  </w:abstractNum>
  <w:abstractNum w:abstractNumId="300">
    <w:nsid w:val="4CFB8D32"/>
    <w:multiLevelType w:val="hybridMultilevel"/>
    <w:lvl w:ilvl="0">
      <w:lvlJc w:val="left"/>
      <w:lvlText w:val="%1."/>
      <w:numFmt w:val="decimal"/>
      <w:start w:val="37"/>
    </w:lvl>
  </w:abstractNum>
  <w:abstractNum w:abstractNumId="301">
    <w:nsid w:val="62A5D5BD"/>
    <w:multiLevelType w:val="hybridMultilevel"/>
    <w:lvl w:ilvl="0">
      <w:lvlJc w:val="left"/>
      <w:lvlText w:val="%1."/>
      <w:numFmt w:val="decimal"/>
      <w:start w:val="38"/>
    </w:lvl>
  </w:abstractNum>
  <w:abstractNum w:abstractNumId="302">
    <w:nsid w:val="718FABF9"/>
    <w:multiLevelType w:val="hybridMultilevel"/>
    <w:lvl w:ilvl="0">
      <w:lvlJc w:val="left"/>
      <w:lvlText w:val="(%1)"/>
      <w:numFmt w:val="lowerLetter"/>
      <w:start w:val="1"/>
    </w:lvl>
  </w:abstractNum>
  <w:abstractNum w:abstractNumId="303">
    <w:nsid w:val="7775797C"/>
    <w:multiLevelType w:val="hybridMultilevel"/>
    <w:lvl w:ilvl="0">
      <w:lvlJc w:val="left"/>
      <w:lvlText w:val="(%1)"/>
      <w:numFmt w:val="lowerLetter"/>
      <w:start w:val="1"/>
    </w:lvl>
    <w:lvl w:ilvl="1">
      <w:lvlJc w:val="left"/>
      <w:lvlText w:val="(%2)"/>
      <w:numFmt w:val="lowerRoman"/>
      <w:start w:val="1"/>
    </w:lvl>
  </w:abstractNum>
  <w:abstractNum w:abstractNumId="304">
    <w:nsid w:val="1626FB8C"/>
    <w:multiLevelType w:val="hybridMultilevel"/>
    <w:lvl w:ilvl="0">
      <w:lvlJc w:val="left"/>
      <w:lvlText w:val="(%1)"/>
      <w:numFmt w:val="lowerLetter"/>
      <w:start w:val="1"/>
    </w:lvl>
  </w:abstractNum>
  <w:abstractNum w:abstractNumId="305">
    <w:nsid w:val="3957756A"/>
    <w:multiLevelType w:val="hybridMultilevel"/>
    <w:lvl w:ilvl="0">
      <w:lvlJc w:val="left"/>
      <w:lvlText w:val="(%1)"/>
      <w:numFmt w:val="lowerLetter"/>
      <w:start w:val="3"/>
    </w:lvl>
  </w:abstractNum>
  <w:abstractNum w:abstractNumId="306">
    <w:nsid w:val="3E6DA1C7"/>
    <w:multiLevelType w:val="hybridMultilevel"/>
    <w:lvl w:ilvl="0">
      <w:lvlJc w:val="left"/>
      <w:lvlText w:val="%1."/>
      <w:numFmt w:val="decimal"/>
      <w:start w:val="1"/>
    </w:lvl>
  </w:abstractNum>
  <w:abstractNum w:abstractNumId="307">
    <w:nsid w:val="65CA235B"/>
    <w:multiLevelType w:val="hybridMultilevel"/>
    <w:lvl w:ilvl="0">
      <w:lvlJc w:val="left"/>
      <w:lvlText w:val="(%1)"/>
      <w:numFmt w:val="lowerLetter"/>
      <w:start w:val="1"/>
    </w:lvl>
    <w:lvl w:ilvl="1">
      <w:lvlJc w:val="left"/>
      <w:lvlText w:val="(%2)"/>
      <w:numFmt w:val="lowerRoman"/>
      <w:start w:val="1"/>
    </w:lvl>
  </w:abstractNum>
  <w:abstractNum w:abstractNumId="308">
    <w:nsid w:val="51CB0DA4"/>
    <w:multiLevelType w:val="hybridMultilevel"/>
    <w:lvl w:ilvl="0">
      <w:lvlJc w:val="left"/>
      <w:lvlText w:val="%1."/>
      <w:numFmt w:val="decimal"/>
      <w:start w:val="2"/>
    </w:lvl>
  </w:abstractNum>
  <w:abstractNum w:abstractNumId="309">
    <w:nsid w:val="7B9B743C"/>
    <w:multiLevelType w:val="hybridMultilevel"/>
    <w:lvl w:ilvl="0">
      <w:lvlJc w:val="left"/>
      <w:lvlText w:val="(%1)"/>
      <w:numFmt w:val="lowerLetter"/>
      <w:start w:val="1"/>
    </w:lvl>
  </w:abstractNum>
  <w:abstractNum w:abstractNumId="310">
    <w:nsid w:val="13E21002"/>
    <w:multiLevelType w:val="hybridMultilevel"/>
    <w:lvl w:ilvl="0">
      <w:lvlJc w:val="left"/>
      <w:lvlText w:val="(%1)"/>
      <w:numFmt w:val="lowerLetter"/>
      <w:start w:val="3"/>
    </w:lvl>
  </w:abstractNum>
  <w:abstractNum w:abstractNumId="311">
    <w:nsid w:val="257D63F4"/>
    <w:multiLevelType w:val="hybridMultilevel"/>
    <w:lvl w:ilvl="0">
      <w:lvlJc w:val="left"/>
      <w:lvlText w:val="(%1)"/>
      <w:numFmt w:val="lowerLetter"/>
      <w:start w:val="4"/>
    </w:lvl>
  </w:abstractNum>
  <w:abstractNum w:abstractNumId="312">
    <w:nsid w:val="70EC11B2"/>
    <w:multiLevelType w:val="hybridMultilevel"/>
    <w:lvl w:ilvl="0">
      <w:lvlJc w:val="left"/>
      <w:lvlText w:val="%1."/>
      <w:numFmt w:val="decimal"/>
      <w:start w:val="3"/>
    </w:lvl>
  </w:abstractNum>
  <w:abstractNum w:abstractNumId="313">
    <w:nsid w:val="2EDA00ED"/>
    <w:multiLevelType w:val="hybridMultilevel"/>
    <w:lvl w:ilvl="0">
      <w:lvlJc w:val="left"/>
      <w:lvlText w:val="(%1)"/>
      <w:numFmt w:val="lowerLetter"/>
      <w:start w:val="1"/>
    </w:lvl>
  </w:abstractNum>
  <w:abstractNum w:abstractNumId="314">
    <w:nsid w:val="73209072"/>
    <w:multiLevelType w:val="hybridMultilevel"/>
    <w:lvl w:ilvl="0">
      <w:lvlJc w:val="left"/>
      <w:lvlText w:val="(%1)"/>
      <w:numFmt w:val="lowerLetter"/>
      <w:start w:val="11"/>
    </w:lvl>
  </w:abstractNum>
  <w:abstractNum w:abstractNumId="315">
    <w:nsid w:val="5FB29816"/>
    <w:multiLevelType w:val="hybridMultilevel"/>
    <w:lvl w:ilvl="0">
      <w:lvlJc w:val="left"/>
      <w:lvlText w:val="%1."/>
      <w:numFmt w:val="decimal"/>
      <w:start w:val="1"/>
    </w:lvl>
  </w:abstractNum>
  <w:abstractNum w:abstractNumId="316">
    <w:nsid w:val="3CE732EC"/>
    <w:multiLevelType w:val="hybridMultilevel"/>
    <w:lvl w:ilvl="0">
      <w:lvlJc w:val="left"/>
      <w:lvlText w:val="%1."/>
      <w:numFmt w:val="decimal"/>
      <w:start w:val="3"/>
    </w:lvl>
  </w:abstractNum>
  <w:abstractNum w:abstractNumId="317">
    <w:nsid w:val="22F13DF3"/>
    <w:multiLevelType w:val="hybridMultilevel"/>
    <w:lvl w:ilvl="0">
      <w:lvlJc w:val="left"/>
      <w:lvlText w:val="%1."/>
      <w:numFmt w:val="decimal"/>
      <w:start w:val="5"/>
    </w:lvl>
  </w:abstractNum>
  <w:abstractNum w:abstractNumId="318">
    <w:nsid w:val="792B8401"/>
    <w:multiLevelType w:val="hybridMultilevel"/>
    <w:lvl w:ilvl="0">
      <w:lvlJc w:val="left"/>
      <w:lvlText w:val="%1."/>
      <w:numFmt w:val="decimal"/>
      <w:start w:val="1"/>
    </w:lvl>
    <w:lvl w:ilvl="1">
      <w:lvlJc w:val="left"/>
      <w:lvlText w:val="(%2)"/>
      <w:numFmt w:val="lowerLetter"/>
      <w:start w:val="1"/>
    </w:lvl>
  </w:abstractNum>
  <w:abstractNum w:abstractNumId="319">
    <w:nsid w:val="FA85F4D"/>
    <w:multiLevelType w:val="hybridMultilevel"/>
    <w:lvl w:ilvl="0">
      <w:lvlJc w:val="left"/>
      <w:lvlText w:val="%1."/>
      <w:numFmt w:val="decimal"/>
      <w:start w:val="9"/>
    </w:lvl>
  </w:abstractNum>
  <w:abstractNum w:abstractNumId="320">
    <w:nsid w:val="6ECE91F0"/>
    <w:multiLevelType w:val="hybridMultilevel"/>
    <w:lvl w:ilvl="0">
      <w:lvlJc w:val="left"/>
      <w:lvlText w:val="%1."/>
      <w:numFmt w:val="decimal"/>
      <w:start w:val="1"/>
    </w:lvl>
    <w:lvl w:ilvl="1">
      <w:lvlJc w:val="left"/>
      <w:lvlText w:val="(%2)"/>
      <w:numFmt w:val="lowerLetter"/>
      <w:start w:val="1"/>
    </w:lvl>
  </w:abstractNum>
  <w:abstractNum w:abstractNumId="321">
    <w:nsid w:val="4FC4D600"/>
    <w:multiLevelType w:val="hybridMultilevel"/>
    <w:lvl w:ilvl="0">
      <w:lvlJc w:val="left"/>
      <w:lvlText w:val="%1."/>
      <w:numFmt w:val="decimal"/>
      <w:start w:val="7"/>
    </w:lvl>
  </w:abstractNum>
  <w:abstractNum w:abstractNumId="322">
    <w:nsid w:val="5BFD4210"/>
    <w:multiLevelType w:val="hybridMultilevel"/>
    <w:lvl w:ilvl="0">
      <w:lvlJc w:val="left"/>
      <w:lvlText w:val="%1."/>
      <w:numFmt w:val="decimal"/>
      <w:start w:val="10"/>
    </w:lvl>
  </w:abstractNum>
  <w:abstractNum w:abstractNumId="323">
    <w:nsid w:val="76574F8B"/>
    <w:multiLevelType w:val="hybridMultilevel"/>
    <w:lvl w:ilvl="0">
      <w:lvlJc w:val="left"/>
      <w:lvlText w:val="(%1)"/>
      <w:numFmt w:val="lowerLetter"/>
      <w:start w:val="1"/>
    </w:lvl>
    <w:lvl w:ilvl="1">
      <w:lvlJc w:val="left"/>
      <w:lvlText w:val="(%2)"/>
      <w:numFmt w:val="lowerRoman"/>
      <w:start w:val="1"/>
    </w:lvl>
  </w:abstractNum>
  <w:abstractNum w:abstractNumId="324">
    <w:nsid w:val="178F7B67"/>
    <w:multiLevelType w:val="hybridMultilevel"/>
    <w:lvl w:ilvl="0">
      <w:lvlJc w:val="left"/>
      <w:lvlText w:val="(%1)"/>
      <w:numFmt w:val="lowerRoman"/>
      <w:start w:val="3"/>
    </w:lvl>
  </w:abstractNum>
  <w:abstractNum w:abstractNumId="325">
    <w:nsid w:val="2421DFCF"/>
    <w:multiLevelType w:val="hybridMultilevel"/>
    <w:lvl w:ilvl="0">
      <w:lvlJc w:val="left"/>
      <w:lvlText w:val="(%1)"/>
      <w:numFmt w:val="lowerRoman"/>
      <w:start w:val="1"/>
    </w:lvl>
  </w:abstractNum>
  <w:abstractNum w:abstractNumId="326">
    <w:nsid w:val="1565AC99"/>
    <w:multiLevelType w:val="hybridMultilevel"/>
    <w:lvl w:ilvl="0">
      <w:lvlJc w:val="left"/>
      <w:lvlText w:val="(%1)"/>
      <w:numFmt w:val="lowerRoman"/>
      <w:start w:val="2"/>
    </w:lvl>
  </w:abstractNum>
  <w:abstractNum w:abstractNumId="327">
    <w:nsid w:val="19FB2650"/>
    <w:multiLevelType w:val="hybridMultilevel"/>
    <w:lvl w:ilvl="0">
      <w:lvlJc w:val="left"/>
      <w:lvlText w:val="(%1)"/>
      <w:numFmt w:val="lowerLetter"/>
      <w:start w:val="3"/>
    </w:lvl>
  </w:abstractNum>
  <w:abstractNum w:abstractNumId="328">
    <w:nsid w:val="5024DE5B"/>
    <w:multiLevelType w:val="hybridMultilevel"/>
    <w:lvl w:ilvl="0">
      <w:lvlJc w:val="left"/>
      <w:lvlText w:val="(%1)"/>
      <w:numFmt w:val="lowerLetter"/>
      <w:start w:val="6"/>
    </w:lvl>
  </w:abstractNum>
  <w:abstractNum w:abstractNumId="329">
    <w:nsid w:val="168EFE17"/>
    <w:multiLevelType w:val="hybridMultilevel"/>
    <w:lvl w:ilvl="0">
      <w:lvlJc w:val="left"/>
      <w:lvlText w:val="(%1)"/>
      <w:numFmt w:val="lowerLetter"/>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2019-12-07T16:32:07Z</dcterms:created>
  <dcterms:modified xsi:type="dcterms:W3CDTF">2019-12-07T16:32:07Z</dcterms:modified>
</cp:coreProperties>
</file>