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VIPSHOP HOLDINGS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FIL Limited</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BERMUDA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4,845,816.80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4,981,404.40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4,981,404.40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5.2 %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FI</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Pandanus Partners,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4,981,404.40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4,981,404.40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hanging="1112"/>
        <w:spacing w:after="0"/>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Pandanus Associates,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46"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4,981,404.40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4,981,404.40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8979"/>
          </w:cols>
          <w:pgMar w:left="360" w:top="111" w:right="1440" w:bottom="46"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VIPSHOP HOLDINGS LTD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1"/>
          <w:szCs w:val="21"/>
          <w:color w:val="auto"/>
        </w:rPr>
        <w:t>VIPSHOP HEADQUARTERS, 128 DINGXIN ROAD,HAIZHU DISTRICT,Guangzhou,F4,510335</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 filing:</w:t>
      </w:r>
    </w:p>
    <w:p>
      <w:pPr>
        <w:sectPr>
          <w:pgSz w:w="11900" w:h="16838" w:orient="portrait"/>
          <w:cols w:equalWidth="0" w:num="1">
            <w:col w:w="10099"/>
          </w:cols>
          <w:pgMar w:left="360" w:top="111" w:right="1440" w:bottom="46" w:gutter="0" w:footer="0" w:header="0"/>
          <w:type w:val="continuous"/>
        </w:sectPr>
      </w:pPr>
    </w:p>
    <w:bookmarkStart w:id="3" w:name="page4"/>
    <w:bookmarkEnd w:id="3"/>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FIL Limited</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Pembroke Hall, 42 Crow Lane, Hamilton, Bermuda, HM19</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 A 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8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sectPr>
          <w:pgSz w:w="11900" w:h="16838" w:orient="portrait"/>
          <w:cols w:equalWidth="0" w:num="2">
            <w:col w:w="620" w:space="300"/>
            <w:col w:w="10220"/>
          </w:cols>
          <w:pgMar w:left="360" w:top="112" w:right="399" w:bottom="0" w:gutter="0" w:footer="0" w:header="0"/>
        </w:sectPr>
      </w:pPr>
    </w:p>
    <w:p>
      <w:pPr>
        <w:ind w:left="920" w:right="5040" w:hanging="912"/>
        <w:spacing w:after="0" w:line="281"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 Please see Exhibit 99.</w:t>
      </w:r>
    </w:p>
    <w:p>
      <w:pPr>
        <w:spacing w:after="0" w:line="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4981404.40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5.2 %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pacing w:after="0" w:line="287" w:lineRule="exact"/>
        <w:rPr>
          <w:sz w:val="20"/>
          <w:szCs w:val="20"/>
          <w:color w:val="auto"/>
        </w:rPr>
      </w:pPr>
    </w:p>
    <w:p>
      <w:pPr>
        <w:ind w:left="920" w:right="6240" w:firstLine="6"/>
        <w:spacing w:after="0" w:line="486" w:lineRule="auto"/>
        <w:tabs>
          <w:tab w:leader="none" w:pos="123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4981404.40</w:t>
      </w:r>
    </w:p>
    <w:p>
      <w:pPr>
        <w:spacing w:after="0" w:line="1" w:lineRule="exact"/>
        <w:rPr>
          <w:rFonts w:ascii="Times New Roman" w:cs="Times New Roman" w:eastAsia="Times New Roman" w:hAnsi="Times New Roman"/>
          <w:sz w:val="22"/>
          <w:szCs w:val="22"/>
          <w:color w:val="auto"/>
        </w:rPr>
      </w:pPr>
    </w:p>
    <w:p>
      <w:pPr>
        <w:ind w:left="920" w:right="5120" w:firstLine="6"/>
        <w:spacing w:after="0" w:line="486" w:lineRule="auto"/>
        <w:tabs>
          <w:tab w:leader="none" w:pos="128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ectPr>
          <w:pgSz w:w="11900" w:h="16838" w:orient="portrait"/>
          <w:cols w:equalWidth="0" w:num="1">
            <w:col w:w="11140"/>
          </w:cols>
          <w:pgMar w:left="360" w:top="112" w:right="399" w:bottom="0" w:gutter="0" w:footer="0" w:header="0"/>
          <w:type w:val="continuous"/>
        </w:sectPr>
      </w:pPr>
    </w:p>
    <w:bookmarkStart w:id="4" w:name="page5"/>
    <w:bookmarkEnd w:id="4"/>
    <w:tbl>
      <w:tblPr>
        <w:tblLayout w:type="fixed"/>
        <w:tblInd w:w="40" w:type="dxa"/>
        <w:tblCellMar>
          <w:top w:w="0" w:type="dxa"/>
          <w:left w:w="0" w:type="dxa"/>
          <w:bottom w:w="0" w:type="dxa"/>
          <w:right w:w="0" w:type="dxa"/>
        </w:tblCellMar>
      </w:tblPr>
      <w:tr>
        <w:trPr>
          <w:trHeight w:val="253"/>
        </w:trPr>
        <w:tc>
          <w:tcPr>
            <w:tcW w:w="820" w:type="dxa"/>
            <w:vAlign w:val="bottom"/>
          </w:tcPr>
          <w:p>
            <w:pPr>
              <w:spacing w:after="0"/>
              <w:rPr>
                <w:sz w:val="22"/>
                <w:szCs w:val="22"/>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8"/>
              </w:rPr>
              <w:t>One or more other persons are known to have the right to receive or the power to direct the receipt of dividends from,</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or the proceeds from the sale of, the CLASS A COMMON STOCK of VIPSHOP HOLDINGS LTD. No one other</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person's interest in the CLASS A COMMON STOCK of VIPSHOP HOLDINGS LTD is more than five percent of</w:t>
            </w:r>
          </w:p>
        </w:tc>
        <w:tc>
          <w:tcPr>
            <w:tcW w:w="0" w:type="dxa"/>
            <w:vAlign w:val="bottom"/>
          </w:tcPr>
          <w:p>
            <w:pPr>
              <w:spacing w:after="0"/>
              <w:rPr>
                <w:sz w:val="1"/>
                <w:szCs w:val="1"/>
                <w:color w:val="auto"/>
              </w:rPr>
            </w:pPr>
          </w:p>
        </w:tc>
      </w:tr>
      <w:tr>
        <w:trPr>
          <w:trHeight w:val="282"/>
        </w:trPr>
        <w:tc>
          <w:tcPr>
            <w:tcW w:w="820" w:type="dxa"/>
            <w:vAlign w:val="bottom"/>
          </w:tcPr>
          <w:p>
            <w:pPr>
              <w:spacing w:after="0"/>
              <w:rPr>
                <w:sz w:val="24"/>
                <w:szCs w:val="24"/>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the total outstanding CLASS A COMMON STOCK.</w:t>
            </w:r>
          </w:p>
        </w:tc>
        <w:tc>
          <w:tcPr>
            <w:tcW w:w="0" w:type="dxa"/>
            <w:vAlign w:val="bottom"/>
          </w:tcPr>
          <w:p>
            <w:pPr>
              <w:spacing w:after="0"/>
              <w:rPr>
                <w:sz w:val="1"/>
                <w:szCs w:val="1"/>
                <w:color w:val="auto"/>
              </w:rPr>
            </w:pPr>
          </w:p>
        </w:tc>
      </w:tr>
      <w:tr>
        <w:trPr>
          <w:trHeight w:val="258"/>
        </w:trPr>
        <w:tc>
          <w:tcPr>
            <w:tcW w:w="8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Item 7.</w:t>
            </w: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w:t>
            </w:r>
          </w:p>
        </w:tc>
        <w:tc>
          <w:tcPr>
            <w:tcW w:w="0" w:type="dxa"/>
            <w:vAlign w:val="bottom"/>
          </w:tcPr>
          <w:p>
            <w:pPr>
              <w:spacing w:after="0"/>
              <w:rPr>
                <w:sz w:val="1"/>
                <w:szCs w:val="1"/>
                <w:color w:val="auto"/>
              </w:rPr>
            </w:pPr>
          </w:p>
        </w:tc>
      </w:tr>
      <w:tr>
        <w:trPr>
          <w:trHeight w:val="161"/>
        </w:trPr>
        <w:tc>
          <w:tcPr>
            <w:tcW w:w="820" w:type="dxa"/>
            <w:vAlign w:val="bottom"/>
            <w:vMerge w:val="continue"/>
          </w:tcPr>
          <w:p>
            <w:pPr>
              <w:spacing w:after="0"/>
              <w:rPr>
                <w:sz w:val="13"/>
                <w:szCs w:val="13"/>
                <w:color w:val="auto"/>
              </w:rPr>
            </w:pPr>
          </w:p>
        </w:tc>
        <w:tc>
          <w:tcPr>
            <w:tcW w:w="1032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Holding Company or Control Person.</w:t>
            </w:r>
          </w:p>
        </w:tc>
        <w:tc>
          <w:tcPr>
            <w:tcW w:w="0" w:type="dxa"/>
            <w:vAlign w:val="bottom"/>
          </w:tcPr>
          <w:p>
            <w:pPr>
              <w:spacing w:after="0"/>
              <w:rPr>
                <w:sz w:val="1"/>
                <w:szCs w:val="1"/>
                <w:color w:val="auto"/>
              </w:rPr>
            </w:pPr>
          </w:p>
        </w:tc>
      </w:tr>
      <w:tr>
        <w:trPr>
          <w:trHeight w:val="122"/>
        </w:trPr>
        <w:tc>
          <w:tcPr>
            <w:tcW w:w="820" w:type="dxa"/>
            <w:vAlign w:val="bottom"/>
          </w:tcPr>
          <w:p>
            <w:pPr>
              <w:spacing w:after="0"/>
              <w:rPr>
                <w:sz w:val="10"/>
                <w:szCs w:val="10"/>
                <w:color w:val="auto"/>
              </w:rPr>
            </w:pPr>
          </w:p>
        </w:tc>
        <w:tc>
          <w:tcPr>
            <w:tcW w:w="103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820" w:type="dxa"/>
            <w:vAlign w:val="bottom"/>
          </w:tcPr>
          <w:p>
            <w:pPr>
              <w:spacing w:after="0"/>
              <w:rPr>
                <w:sz w:val="22"/>
                <w:szCs w:val="22"/>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8"/>
              </w:rPr>
              <w:t>If a parent holding company has filed this schedule, pursuant to Rule 13d-1(b)(ii)(G), so indicate under Item 3(g) and</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attach an exhibit stating the identity and the Item 3 classification of the relevant subsidiary. If a parent holding</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company has filed this schedule pursuant to Rule 13d-1(c) or Rule 13d-1(d), attach an exhibit stating the</w:t>
            </w:r>
          </w:p>
        </w:tc>
        <w:tc>
          <w:tcPr>
            <w:tcW w:w="0" w:type="dxa"/>
            <w:vAlign w:val="bottom"/>
          </w:tcPr>
          <w:p>
            <w:pPr>
              <w:spacing w:after="0"/>
              <w:rPr>
                <w:sz w:val="1"/>
                <w:szCs w:val="1"/>
                <w:color w:val="auto"/>
              </w:rPr>
            </w:pPr>
          </w:p>
        </w:tc>
      </w:tr>
      <w:tr>
        <w:trPr>
          <w:trHeight w:val="282"/>
        </w:trPr>
        <w:tc>
          <w:tcPr>
            <w:tcW w:w="820" w:type="dxa"/>
            <w:vAlign w:val="bottom"/>
          </w:tcPr>
          <w:p>
            <w:pPr>
              <w:spacing w:after="0"/>
              <w:rPr>
                <w:sz w:val="24"/>
                <w:szCs w:val="24"/>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identification of the relevant subsidiary.</w:t>
            </w:r>
          </w:p>
        </w:tc>
        <w:tc>
          <w:tcPr>
            <w:tcW w:w="0" w:type="dxa"/>
            <w:vAlign w:val="bottom"/>
          </w:tcPr>
          <w:p>
            <w:pPr>
              <w:spacing w:after="0"/>
              <w:rPr>
                <w:sz w:val="1"/>
                <w:szCs w:val="1"/>
                <w:color w:val="auto"/>
              </w:rPr>
            </w:pPr>
          </w:p>
        </w:tc>
      </w:tr>
      <w:tr>
        <w:trPr>
          <w:trHeight w:val="729"/>
        </w:trPr>
        <w:tc>
          <w:tcPr>
            <w:tcW w:w="820" w:type="dxa"/>
            <w:vAlign w:val="bottom"/>
          </w:tcPr>
          <w:p>
            <w:pPr>
              <w:spacing w:after="0"/>
              <w:rPr>
                <w:sz w:val="24"/>
                <w:szCs w:val="24"/>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See attached Exhibit 99.</w:t>
            </w:r>
          </w:p>
        </w:tc>
        <w:tc>
          <w:tcPr>
            <w:tcW w:w="0" w:type="dxa"/>
            <w:vAlign w:val="bottom"/>
          </w:tcPr>
          <w:p>
            <w:pPr>
              <w:spacing w:after="0"/>
              <w:rPr>
                <w:sz w:val="1"/>
                <w:szCs w:val="1"/>
                <w:color w:val="auto"/>
              </w:rPr>
            </w:pPr>
          </w:p>
        </w:tc>
      </w:tr>
      <w:tr>
        <w:trPr>
          <w:trHeight w:val="297"/>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Item 8.</w:t>
            </w: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tc>
        <w:tc>
          <w:tcPr>
            <w:tcW w:w="0" w:type="dxa"/>
            <w:vAlign w:val="bottom"/>
          </w:tcPr>
          <w:p>
            <w:pPr>
              <w:spacing w:after="0"/>
              <w:rPr>
                <w:sz w:val="1"/>
                <w:szCs w:val="1"/>
                <w:color w:val="auto"/>
              </w:rPr>
            </w:pPr>
          </w:p>
        </w:tc>
      </w:tr>
      <w:tr>
        <w:trPr>
          <w:trHeight w:val="297"/>
        </w:trPr>
        <w:tc>
          <w:tcPr>
            <w:tcW w:w="820" w:type="dxa"/>
            <w:vAlign w:val="bottom"/>
          </w:tcPr>
          <w:p>
            <w:pPr>
              <w:spacing w:after="0"/>
              <w:rPr>
                <w:sz w:val="24"/>
                <w:szCs w:val="24"/>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Not Applicable</w:t>
            </w:r>
          </w:p>
        </w:tc>
        <w:tc>
          <w:tcPr>
            <w:tcW w:w="0" w:type="dxa"/>
            <w:vAlign w:val="bottom"/>
          </w:tcPr>
          <w:p>
            <w:pPr>
              <w:spacing w:after="0"/>
              <w:rPr>
                <w:sz w:val="1"/>
                <w:szCs w:val="1"/>
                <w:color w:val="auto"/>
              </w:rPr>
            </w:pPr>
          </w:p>
        </w:tc>
      </w:tr>
      <w:tr>
        <w:trPr>
          <w:trHeight w:val="297"/>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Item 9.</w:t>
            </w: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Notice of Dissolution of Group.</w:t>
            </w:r>
          </w:p>
        </w:tc>
        <w:tc>
          <w:tcPr>
            <w:tcW w:w="0" w:type="dxa"/>
            <w:vAlign w:val="bottom"/>
          </w:tcPr>
          <w:p>
            <w:pPr>
              <w:spacing w:after="0"/>
              <w:rPr>
                <w:sz w:val="1"/>
                <w:szCs w:val="1"/>
                <w:color w:val="auto"/>
              </w:rPr>
            </w:pPr>
          </w:p>
        </w:tc>
      </w:tr>
      <w:tr>
        <w:trPr>
          <w:trHeight w:val="297"/>
        </w:trPr>
        <w:tc>
          <w:tcPr>
            <w:tcW w:w="820" w:type="dxa"/>
            <w:vAlign w:val="bottom"/>
          </w:tcPr>
          <w:p>
            <w:pPr>
              <w:spacing w:after="0"/>
              <w:rPr>
                <w:sz w:val="24"/>
                <w:szCs w:val="24"/>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Not Applicable</w:t>
            </w:r>
          </w:p>
        </w:tc>
        <w:tc>
          <w:tcPr>
            <w:tcW w:w="0" w:type="dxa"/>
            <w:vAlign w:val="bottom"/>
          </w:tcPr>
          <w:p>
            <w:pPr>
              <w:spacing w:after="0"/>
              <w:rPr>
                <w:sz w:val="1"/>
                <w:szCs w:val="1"/>
                <w:color w:val="auto"/>
              </w:rPr>
            </w:pPr>
          </w:p>
        </w:tc>
      </w:tr>
      <w:tr>
        <w:trPr>
          <w:trHeight w:val="567"/>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Item 10.</w:t>
            </w:r>
          </w:p>
        </w:tc>
        <w:tc>
          <w:tcPr>
            <w:tcW w:w="103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Certifications:</w:t>
            </w:r>
          </w:p>
        </w:tc>
        <w:tc>
          <w:tcPr>
            <w:tcW w:w="0" w:type="dxa"/>
            <w:vAlign w:val="bottom"/>
          </w:tcPr>
          <w:p>
            <w:pPr>
              <w:spacing w:after="0"/>
              <w:rPr>
                <w:sz w:val="1"/>
                <w:szCs w:val="1"/>
                <w:color w:val="auto"/>
              </w:rPr>
            </w:pPr>
          </w:p>
        </w:tc>
      </w:tr>
      <w:tr>
        <w:trPr>
          <w:trHeight w:val="258"/>
        </w:trPr>
        <w:tc>
          <w:tcPr>
            <w:tcW w:w="820" w:type="dxa"/>
            <w:vAlign w:val="bottom"/>
          </w:tcPr>
          <w:p>
            <w:pPr>
              <w:spacing w:after="0"/>
              <w:rPr>
                <w:sz w:val="22"/>
                <w:szCs w:val="22"/>
                <w:color w:val="auto"/>
              </w:rPr>
            </w:pPr>
          </w:p>
        </w:tc>
        <w:tc>
          <w:tcPr>
            <w:tcW w:w="103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8"/>
              </w:rPr>
              <w:t>By signing below I certify that, to the best of my knowledge and belief, the securities referred to above were acquired</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w w:val="99"/>
              </w:rPr>
              <w:t>and are held in the ordinary course of business and were not acquired and are not held for the purpose of or with the</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effect of changing or influencing the control of the issuer of the securities and were not acquired and are not held in</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connection with or as a participant in any transaction having that purpose or effect, other than activities solely in</w:t>
            </w:r>
          </w:p>
        </w:tc>
        <w:tc>
          <w:tcPr>
            <w:tcW w:w="0" w:type="dxa"/>
            <w:vAlign w:val="bottom"/>
          </w:tcPr>
          <w:p>
            <w:pPr>
              <w:spacing w:after="0"/>
              <w:rPr>
                <w:sz w:val="1"/>
                <w:szCs w:val="1"/>
                <w:color w:val="auto"/>
              </w:rPr>
            </w:pPr>
          </w:p>
        </w:tc>
      </w:tr>
      <w:tr>
        <w:trPr>
          <w:trHeight w:val="282"/>
        </w:trPr>
        <w:tc>
          <w:tcPr>
            <w:tcW w:w="820" w:type="dxa"/>
            <w:vAlign w:val="bottom"/>
          </w:tcPr>
          <w:p>
            <w:pPr>
              <w:spacing w:after="0"/>
              <w:rPr>
                <w:sz w:val="24"/>
                <w:szCs w:val="24"/>
                <w:color w:val="auto"/>
              </w:rPr>
            </w:pPr>
          </w:p>
        </w:tc>
        <w:tc>
          <w:tcPr>
            <w:tcW w:w="103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connection with a nomination under ?? 240.14a-11.</w:t>
            </w:r>
          </w:p>
        </w:tc>
        <w:tc>
          <w:tcPr>
            <w:tcW w:w="0" w:type="dxa"/>
            <w:vAlign w:val="bottom"/>
          </w:tcPr>
          <w:p>
            <w:pPr>
              <w:spacing w:after="0"/>
              <w:rPr>
                <w:sz w:val="1"/>
                <w:szCs w:val="1"/>
                <w:color w:val="auto"/>
              </w:rPr>
            </w:pPr>
          </w:p>
        </w:tc>
      </w:tr>
    </w:tbl>
    <w:p>
      <w:pPr>
        <w:spacing w:after="0" w:line="2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5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FIL Limited</w:t>
      </w:r>
    </w:p>
    <w:p>
      <w:pPr>
        <w:spacing w:after="0" w:line="152"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pacing w:after="0" w:line="44"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jc w:val="center"/>
        <w:ind w:left="554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effective as of April 13, 2026, by and on behalf of</w:t>
      </w:r>
    </w:p>
    <w:p>
      <w:pPr>
        <w:jc w:val="center"/>
        <w:ind w:left="5620"/>
        <w:spacing w:after="0" w:line="231" w:lineRule="auto"/>
        <w:rPr>
          <w:sz w:val="20"/>
          <w:szCs w:val="20"/>
          <w:color w:val="auto"/>
        </w:rPr>
      </w:pPr>
      <w:r>
        <w:rPr>
          <w:rFonts w:ascii="Times New Roman" w:cs="Times New Roman" w:eastAsia="Times New Roman" w:hAnsi="Times New Roman"/>
          <w:sz w:val="22"/>
          <w:szCs w:val="22"/>
          <w:color w:val="auto"/>
        </w:rPr>
        <w:t>FIL Limited and its direct and indirect</w:t>
      </w:r>
    </w:p>
    <w:p>
      <w:pPr>
        <w:spacing w:after="0" w:line="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subsidiaries*</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pacing w:after="0" w:line="15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Pandanus Partners, L.P.</w:t>
      </w:r>
    </w:p>
    <w:p>
      <w:pPr>
        <w:spacing w:after="0" w:line="152"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pacing w:after="0" w:line="44"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ind w:left="570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effective as of April 13, 2026, by Pandanus</w:t>
      </w:r>
    </w:p>
    <w:p>
      <w:pPr>
        <w:ind w:left="6780"/>
        <w:spacing w:after="0" w:line="231" w:lineRule="auto"/>
        <w:rPr>
          <w:sz w:val="20"/>
          <w:szCs w:val="20"/>
          <w:color w:val="auto"/>
        </w:rPr>
      </w:pPr>
      <w:r>
        <w:rPr>
          <w:rFonts w:ascii="Times New Roman" w:cs="Times New Roman" w:eastAsia="Times New Roman" w:hAnsi="Times New Roman"/>
          <w:sz w:val="22"/>
          <w:szCs w:val="22"/>
          <w:color w:val="auto"/>
        </w:rPr>
        <w:t>Associates, Inc. on behalf of Pandanus Partners,</w:t>
      </w:r>
    </w:p>
    <w:p>
      <w:pPr>
        <w:spacing w:after="0" w:line="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L.P.*</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pacing w:after="0" w:line="152"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22"/>
          <w:szCs w:val="22"/>
          <w:color w:val="auto"/>
        </w:rPr>
        <w:t>Pandanus Associates, Inc.</w:t>
      </w:r>
    </w:p>
    <w:p>
      <w:pPr>
        <w:spacing w:after="0" w:line="152"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pacing w:after="0" w:line="44"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spacing w:after="0" w:line="1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1"/>
          <w:szCs w:val="21"/>
          <w:color w:val="auto"/>
        </w:rPr>
        <w:t>Name/Title: effective as of April 13, 2026, by and on behalf of</w:t>
      </w:r>
    </w:p>
    <w:p>
      <w:pPr>
        <w:spacing w:after="0" w:line="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Pandanus Associates, Inc.*</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 This power of attorney is incorporated herein by reference to Exhibit 24 to the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Schedule 13G filed by FIL Limited on April 29,2026, accession number: 0000318989-26-000050.</w:t>
      </w:r>
    </w:p>
    <w:p>
      <w:pPr>
        <w:spacing w:after="0" w:line="5" w:lineRule="exact"/>
        <w:rPr>
          <w:sz w:val="20"/>
          <w:szCs w:val="20"/>
          <w:color w:val="auto"/>
        </w:rPr>
      </w:pPr>
    </w:p>
    <w:p>
      <w:pPr>
        <w:jc w:val="center"/>
        <w:ind w:right="686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180"/>
          </w:cols>
          <w:pgMar w:left="320" w:top="588" w:right="399" w:bottom="275"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81"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Entity</w:t>
        <w:tab/>
        <w:t>ITEM 3 Classification</w:t>
      </w:r>
    </w:p>
    <w:p>
      <w:pPr>
        <w:spacing w:after="0" w:line="201" w:lineRule="exact"/>
        <w:rPr>
          <w:sz w:val="20"/>
          <w:szCs w:val="20"/>
          <w:color w:val="auto"/>
        </w:rPr>
      </w:pPr>
    </w:p>
    <w:p>
      <w:pPr>
        <w:spacing w:after="0"/>
        <w:tabs>
          <w:tab w:leader="none" w:pos="3980" w:val="left"/>
        </w:tabs>
        <w:rPr>
          <w:sz w:val="20"/>
          <w:szCs w:val="20"/>
          <w:color w:val="auto"/>
        </w:rPr>
      </w:pPr>
      <w:r>
        <w:rPr>
          <w:rFonts w:ascii="Courier New" w:cs="Courier New" w:eastAsia="Courier New" w:hAnsi="Courier New"/>
          <w:sz w:val="18"/>
          <w:szCs w:val="18"/>
          <w:color w:val="auto"/>
        </w:rPr>
        <w:t>FIL Investment Advisors (UK) Limited</w:t>
        <w:tab/>
        <w:t>IA</w:t>
      </w:r>
    </w:p>
    <w:p>
      <w:pPr>
        <w:spacing w:after="0" w:line="29" w:lineRule="exact"/>
        <w:rPr>
          <w:sz w:val="20"/>
          <w:szCs w:val="20"/>
          <w:color w:val="auto"/>
        </w:rPr>
      </w:pPr>
    </w:p>
    <w:p>
      <w:pPr>
        <w:spacing w:after="0"/>
        <w:tabs>
          <w:tab w:leader="none" w:pos="3980" w:val="left"/>
        </w:tabs>
        <w:rPr>
          <w:sz w:val="20"/>
          <w:szCs w:val="20"/>
          <w:color w:val="auto"/>
        </w:rPr>
      </w:pPr>
      <w:r>
        <w:rPr>
          <w:rFonts w:ascii="Courier New" w:cs="Courier New" w:eastAsia="Courier New" w:hAnsi="Courier New"/>
          <w:sz w:val="18"/>
          <w:szCs w:val="18"/>
          <w:color w:val="auto"/>
        </w:rPr>
        <w:t>FIL Investment Services (UK) Limited</w:t>
        <w:tab/>
        <w:t>FI</w:t>
      </w:r>
    </w:p>
    <w:p>
      <w:pPr>
        <w:spacing w:after="0"/>
        <w:tabs>
          <w:tab w:leader="none" w:pos="4940" w:val="left"/>
        </w:tabs>
        <w:rPr>
          <w:sz w:val="20"/>
          <w:szCs w:val="20"/>
          <w:color w:val="auto"/>
        </w:rPr>
      </w:pPr>
      <w:r>
        <w:rPr>
          <w:rFonts w:ascii="Courier New" w:cs="Courier New" w:eastAsia="Courier New" w:hAnsi="Courier New"/>
          <w:sz w:val="18"/>
          <w:szCs w:val="18"/>
          <w:color w:val="auto"/>
        </w:rPr>
        <w:t>FIL Investment Management (Hong Kong) Limited</w:t>
      </w:r>
      <w:r>
        <w:rPr>
          <w:sz w:val="20"/>
          <w:szCs w:val="20"/>
          <w:color w:val="auto"/>
        </w:rPr>
        <w:tab/>
      </w:r>
      <w:r>
        <w:rPr>
          <w:rFonts w:ascii="Courier New" w:cs="Courier New" w:eastAsia="Courier New" w:hAnsi="Courier New"/>
          <w:sz w:val="16"/>
          <w:szCs w:val="16"/>
          <w:color w:val="auto"/>
        </w:rPr>
        <w:t>FI</w:t>
      </w:r>
    </w:p>
    <w:p>
      <w:pPr>
        <w:spacing w:after="0"/>
        <w:tabs>
          <w:tab w:leader="none" w:pos="4940" w:val="left"/>
        </w:tabs>
        <w:rPr>
          <w:sz w:val="20"/>
          <w:szCs w:val="20"/>
          <w:color w:val="auto"/>
        </w:rPr>
      </w:pPr>
      <w:r>
        <w:rPr>
          <w:rFonts w:ascii="Courier New" w:cs="Courier New" w:eastAsia="Courier New" w:hAnsi="Courier New"/>
          <w:sz w:val="18"/>
          <w:szCs w:val="18"/>
          <w:color w:val="auto"/>
        </w:rPr>
        <w:t>FIL Investment Management (Singapore) Limited</w:t>
      </w:r>
      <w:r>
        <w:rPr>
          <w:sz w:val="20"/>
          <w:szCs w:val="20"/>
          <w:color w:val="auto"/>
        </w:rPr>
        <w:tab/>
      </w:r>
      <w:r>
        <w:rPr>
          <w:rFonts w:ascii="Courier New" w:cs="Courier New" w:eastAsia="Courier New" w:hAnsi="Courier New"/>
          <w:sz w:val="16"/>
          <w:szCs w:val="16"/>
          <w:color w:val="auto"/>
        </w:rPr>
        <w:t>FI</w:t>
      </w:r>
    </w:p>
    <w:p>
      <w:pPr>
        <w:spacing w:after="0"/>
        <w:tabs>
          <w:tab w:leader="none" w:pos="3460" w:val="left"/>
        </w:tabs>
        <w:rPr>
          <w:sz w:val="20"/>
          <w:szCs w:val="20"/>
          <w:color w:val="auto"/>
        </w:rPr>
      </w:pPr>
      <w:r>
        <w:rPr>
          <w:rFonts w:ascii="Courier New" w:cs="Courier New" w:eastAsia="Courier New" w:hAnsi="Courier New"/>
          <w:sz w:val="18"/>
          <w:szCs w:val="18"/>
          <w:color w:val="auto"/>
        </w:rPr>
        <w:t>Fidelity Investments Canada ULC</w:t>
        <w:tab/>
        <w:t>FI</w:t>
      </w:r>
    </w:p>
    <w:p>
      <w:pPr>
        <w:spacing w:after="0"/>
        <w:tabs>
          <w:tab w:leader="none" w:pos="3260" w:val="left"/>
        </w:tabs>
        <w:rPr>
          <w:sz w:val="20"/>
          <w:szCs w:val="20"/>
          <w:color w:val="auto"/>
        </w:rPr>
      </w:pPr>
      <w:r>
        <w:rPr>
          <w:rFonts w:ascii="Courier New" w:cs="Courier New" w:eastAsia="Courier New" w:hAnsi="Courier New"/>
          <w:sz w:val="18"/>
          <w:szCs w:val="18"/>
          <w:color w:val="auto"/>
        </w:rPr>
        <w:t>FIL Investments International</w:t>
      </w:r>
      <w:r>
        <w:rPr>
          <w:sz w:val="20"/>
          <w:szCs w:val="20"/>
          <w:color w:val="auto"/>
        </w:rPr>
        <w:tab/>
      </w:r>
      <w:r>
        <w:rPr>
          <w:rFonts w:ascii="Courier New" w:cs="Courier New" w:eastAsia="Courier New" w:hAnsi="Courier New"/>
          <w:sz w:val="16"/>
          <w:szCs w:val="16"/>
          <w:color w:val="auto"/>
        </w:rPr>
        <w:t>FI</w:t>
      </w:r>
    </w:p>
    <w:p>
      <w:pPr>
        <w:spacing w:after="0" w:line="372"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Pandanus Partners, L.P. ("Pandanus") owns shares of FIL Limited ("FIL") voting stock. While the percentage of total voting power represented by these shares of FIL voting stock may fluctuate as a result of changes in the total number of shares of FIL voting stock outstanding from time to time, it normally represents more than 25% and less than 48.5% of the total votes which may be cast by all holders of FIL voting stock. Pandanus Associates, Inc. ("PAI") acts as general partner of Pandanus. Pandanus is owned by trusts for the benefit of members of the Johnson family, including FIL's Chairman Abigail P. Johnson, but disclaims that any such member is a beneficial owner of the securities reported on this Schedule 13G.</w:t>
      </w:r>
    </w:p>
    <w:p>
      <w:pPr>
        <w:spacing w:after="0" w:line="103" w:lineRule="exact"/>
        <w:rPr>
          <w:sz w:val="20"/>
          <w:szCs w:val="20"/>
          <w:color w:val="auto"/>
        </w:rPr>
      </w:pPr>
    </w:p>
    <w:p>
      <w:pPr>
        <w:ind w:right="1919"/>
        <w:spacing w:after="0" w:line="275" w:lineRule="auto"/>
        <w:rPr>
          <w:sz w:val="20"/>
          <w:szCs w:val="20"/>
          <w:color w:val="auto"/>
        </w:rPr>
      </w:pPr>
      <w:r>
        <w:rPr>
          <w:rFonts w:ascii="Courier New" w:cs="Courier New" w:eastAsia="Courier New" w:hAnsi="Courier New"/>
          <w:sz w:val="16"/>
          <w:szCs w:val="16"/>
          <w:color w:val="auto"/>
        </w:rPr>
        <w:t>This filing reflects the securities beneficially owned, or that may be deemed to be beneficially owned, by FIL, certain of its subsidiaries and affiliates, and other companies (collectively, the "FIL Reporters"). This filing does not reflect securities, if any, beneficially owned by certain other companies whose beneficial ownership of securities is disaggregated from that of the FIL Reporters in accordance with Securities and Exchange Commission Release No.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34-39538 (January 12, 1998).</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1919"/>
        <w:spacing w:after="0" w:line="274" w:lineRule="auto"/>
        <w:rPr>
          <w:sz w:val="20"/>
          <w:szCs w:val="20"/>
          <w:color w:val="auto"/>
        </w:rPr>
      </w:pPr>
      <w:r>
        <w:rPr>
          <w:rFonts w:ascii="Courier New" w:cs="Courier New" w:eastAsia="Courier New" w:hAnsi="Courier New"/>
          <w:sz w:val="18"/>
          <w:szCs w:val="18"/>
          <w:color w:val="auto"/>
        </w:rPr>
        <w:t>The undersigned persons, on May 5, 2026, agree and consent to the joint filing on their behalf of this Schedule 13G in connection with their beneficial ownership of the CLASS A COMMON STOCK of VIPSHOP HOLDINGS LTD at March 31, 2026.</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FIL Limited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April 13, 2026, by and on behalf of FIL Limited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Pandanus Partners, 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23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April 13, 2026, by Pandanus Associates, Inc. on behalf of Pandanus Partners, L.P.*</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Pandanus Associates,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April 13, 2026, by and on behalf of Pandanus Associates, Inc.*</w:t>
      </w:r>
    </w:p>
    <w:p>
      <w:pPr>
        <w:spacing w:after="0" w:line="253" w:lineRule="exact"/>
        <w:rPr>
          <w:sz w:val="20"/>
          <w:szCs w:val="20"/>
          <w:color w:val="auto"/>
        </w:rPr>
      </w:pPr>
    </w:p>
    <w:p>
      <w:pPr>
        <w:ind w:right="2019" w:firstLine="8"/>
        <w:spacing w:after="0" w:line="292"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FIL Limited on April 29, 2026, accession number: 0000318989-26-000050.</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decimal"/>
      <w:start w:val="12"/>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11"/>
    </w:lvl>
  </w:abstractNum>
  <w:abstractNum w:abstractNumId="5">
    <w:nsid w:val="41B71EFB"/>
    <w:multiLevelType w:val="hybridMultilevel"/>
    <w:lvl w:ilvl="0">
      <w:lvlJc w:val="left"/>
      <w:lvlText w:val="(%1)"/>
      <w:numFmt w:val="lowerLetter"/>
      <w:start w:val="3"/>
    </w:lvl>
  </w:abstractNum>
  <w:abstractNum w:abstractNumId="6">
    <w:nsid w:val="79E2A9E3"/>
    <w:multiLevelType w:val="hybridMultilevel"/>
    <w:lvl w:ilvl="0">
      <w:lvlJc w:val="left"/>
      <w:lvlText w:val="(%1)"/>
      <w:numFmt w:val="lowerRoman"/>
      <w:start w:val="2"/>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2026-05-06T09:53:01Z</dcterms:created>
  <dcterms:modified xsi:type="dcterms:W3CDTF">2026-05-06T09:53:01Z</dcterms:modified>
</cp:coreProperties>
</file>