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Lin Frank Hurst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1, LEVEL 10, TOWER W2,</w:t>
      </w:r>
    </w:p>
    <w:p>
      <w:pPr>
        <w:spacing w:after="0" w:line="70"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ORIENTAL PLAZA, DONGCHENG DISTRICT</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BEIJING</w:t>
      </w:r>
      <w:r>
        <w:rPr>
          <w:sz w:val="20"/>
          <w:szCs w:val="20"/>
          <w:color w:val="auto"/>
        </w:rPr>
        <w:tab/>
      </w:r>
      <w:r>
        <w:rPr>
          <w:rFonts w:ascii="Times New Roman" w:cs="Times New Roman" w:eastAsia="Times New Roman" w:hAnsi="Times New Roman"/>
          <w:sz w:val="20"/>
          <w:szCs w:val="20"/>
          <w:color w:val="0000FF"/>
        </w:rPr>
        <w:t>100738</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83,834</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8,615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8,615 Class A ordinary shares issuable upon vesting of the underlying restricted share awards that remain outstanding as of the date hereof. The underlying restricted share awards were granted by the Issuer on April 1, 2024. The remaining restricted share awards will vest in equal installments on a quarterly basis until April 1, 2028, subject to the terms and conditions of the underlying award agreement.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Frank Hurst Lin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613"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2026-03-18T20:32:55Z</dcterms:created>
  <dcterms:modified xsi:type="dcterms:W3CDTF">2026-03-18T20:32:55Z</dcterms:modified>
</cp:coreProperties>
</file>