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3972d1_6k.htm"/>
      <w:bookmarkStart w:id="1" w:name="kstm2623972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 UNDER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001-35454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Vipshop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Vipshop Headquarters, 128 Dingxin Road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Haizhu District, Guangzhou 510220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28" w:type="dxa"/>
          <w:right w:w="0" w:type="dxa"/>
        </w:tblCellMar>
      </w:tblPr>
      <w:tblGrid>
        <w:gridCol w:w="1205"/>
        <w:gridCol w:w="60"/>
        <w:gridCol w:w="7985"/>
      </w:tblGrid>
      <w:tr>
        <w:trPr/>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Exhibit No.</w:t>
            </w:r>
          </w:p>
        </w:tc>
        <w:tc>
          <w:tcPr>
            <w:tcW w:w="60" w:type="dxa"/>
            <w:tcBorders/>
            <w:tcMar>
              <w:bottom w:w="0" w:type="dxa"/>
            </w:tcMar>
            <w:vAlign w:val="center"/>
          </w:tcPr>
          <w:p>
            <w:pPr>
              <w:pStyle w:val="TableContents"/>
              <w:bidi w:val="0"/>
              <w:spacing w:before="0" w:after="283"/>
              <w:jc w:val="center"/>
              <w:rPr/>
            </w:pPr>
            <w:r>
              <w:rPr/>
              <w:t> </w:t>
            </w:r>
          </w:p>
        </w:tc>
        <w:tc>
          <w:tcPr>
            <w:tcW w:w="798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Description</w:t>
            </w:r>
          </w:p>
        </w:tc>
      </w:tr>
      <w:tr>
        <w:trPr/>
        <w:tc>
          <w:tcPr>
            <w:tcW w:w="1205" w:type="dxa"/>
            <w:tcBorders/>
            <w:tcMar>
              <w:bottom w:w="0" w:type="dxa"/>
            </w:tcMar>
            <w:vAlign w:val="center"/>
          </w:tcPr>
          <w:p>
            <w:pPr>
              <w:pStyle w:val="TableContents"/>
              <w:bidi w:val="0"/>
              <w:spacing w:before="0" w:after="283"/>
              <w:jc w:val="center"/>
              <w:rPr/>
            </w:pPr>
            <w:hyperlink w:anchor="tm2623972d1_ex99-1.htm">
              <w:r>
                <w:rPr>
                  <w:rStyle w:val="InternetLink"/>
                  <w:rFonts w:ascii="Times New Roman;Times;Serif" w:hAnsi="Times New Roman;Times;Serif"/>
                </w:rPr>
                <w:t>99.1</w:t>
              </w:r>
            </w:hyperlink>
          </w:p>
        </w:tc>
        <w:tc>
          <w:tcPr>
            <w:tcW w:w="60" w:type="dxa"/>
            <w:tcBorders/>
            <w:tcMar>
              <w:bottom w:w="0" w:type="dxa"/>
            </w:tcMar>
            <w:vAlign w:val="center"/>
          </w:tcPr>
          <w:p>
            <w:pPr>
              <w:pStyle w:val="TableContents"/>
              <w:bidi w:val="0"/>
              <w:spacing w:before="0" w:after="283"/>
              <w:jc w:val="left"/>
              <w:rPr/>
            </w:pPr>
            <w:r>
              <w:rPr/>
              <w:t> </w:t>
            </w:r>
          </w:p>
        </w:tc>
        <w:tc>
          <w:tcPr>
            <w:tcW w:w="7985" w:type="dxa"/>
            <w:tcBorders/>
            <w:tcMar>
              <w:bottom w:w="0" w:type="dxa"/>
            </w:tcMar>
            <w:vAlign w:val="center"/>
          </w:tcPr>
          <w:p>
            <w:pPr>
              <w:pStyle w:val="TableContents"/>
              <w:bidi w:val="0"/>
              <w:spacing w:before="0" w:after="283"/>
              <w:jc w:val="left"/>
              <w:rPr/>
            </w:pPr>
            <w:hyperlink w:anchor="tm2623972d1_ex99-1.htm">
              <w:r>
                <w:rPr>
                  <w:rStyle w:val="InternetLink"/>
                  <w:rFonts w:ascii="Times New Roman;Times;Serif" w:hAnsi="Times New Roman;Times;Serif"/>
                </w:rPr>
                <w:t>Press Release – Vipshop Reports Unaudited Second Quarter 2026 Financial Results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75"/>
        <w:gridCol w:w="590"/>
        <w:gridCol w:w="80"/>
        <w:gridCol w:w="2225"/>
      </w:tblGrid>
      <w:tr>
        <w:trPr/>
        <w:tc>
          <w:tcPr>
            <w:tcW w:w="75" w:type="dxa"/>
            <w:tcBorders/>
            <w:vAlign w:val="center"/>
          </w:tcPr>
          <w:p>
            <w:pPr>
              <w:pStyle w:val="TableContents"/>
              <w:bidi w:val="0"/>
              <w:spacing w:before="0" w:after="283"/>
              <w:jc w:val="left"/>
              <w:rPr/>
            </w:pPr>
            <w:r>
              <w:rPr/>
              <w:t> </w:t>
            </w:r>
          </w:p>
        </w:tc>
        <w:tc>
          <w:tcPr>
            <w:tcW w:w="2895" w:type="dxa"/>
            <w:gridSpan w:val="3"/>
            <w:tcBorders/>
            <w:vAlign w:val="center"/>
          </w:tcPr>
          <w:p>
            <w:pPr>
              <w:pStyle w:val="TableContents"/>
              <w:bidi w:val="0"/>
              <w:spacing w:before="0" w:after="283"/>
              <w:jc w:val="left"/>
              <w:rPr/>
            </w:pPr>
            <w:r>
              <w:rPr/>
              <w:t>Vipshop Holdings Limited</w:t>
            </w:r>
          </w:p>
        </w:tc>
      </w:tr>
      <w:tr>
        <w:trPr/>
        <w:tc>
          <w:tcPr>
            <w:tcW w:w="75" w:type="dxa"/>
            <w:tcBorders/>
            <w:vAlign w:val="center"/>
          </w:tcPr>
          <w:p>
            <w:pPr>
              <w:pStyle w:val="TableContents"/>
              <w:bidi w:val="0"/>
              <w:spacing w:before="0" w:after="283"/>
              <w:jc w:val="left"/>
              <w:rPr/>
            </w:pPr>
            <w:r>
              <w:rPr/>
              <w:t> </w:t>
            </w:r>
          </w:p>
        </w:tc>
        <w:tc>
          <w:tcPr>
            <w:tcW w:w="289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225" w:type="dxa"/>
            <w:tcBorders>
              <w:bottom w:val="single" w:sz="8" w:space="0" w:color="000000"/>
            </w:tcBorders>
            <w:tcMar>
              <w:bottom w:w="28" w:type="dxa"/>
            </w:tcMar>
            <w:vAlign w:val="center"/>
          </w:tcPr>
          <w:p>
            <w:pPr>
              <w:pStyle w:val="TableContents"/>
              <w:bidi w:val="0"/>
              <w:spacing w:before="0" w:after="283"/>
              <w:jc w:val="left"/>
              <w:rPr/>
            </w:pPr>
            <w:r>
              <w:rPr/>
              <w:t>/s/ Mark Wang</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 Wang</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pPr>
      <w:bookmarkStart w:id="2" w:name="tm2623972d1_ex99-1.htm"/>
      <w:bookmarkStart w:id="3" w:name="kstm2623972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94297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42975" cy="48577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Vipshop Reports Unaudited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Conference Call to Be Held at 7:30 A.M. U.S. Eastern Time on August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 August 25, 2026 — Vipshop Holdings Limited (NYSE: VIPS), a leading off-price retailer in China (“Vipshop” or the “Company”), today announced its unaudited financial results for the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net revenues</w:t>
            </w:r>
            <w:r>
              <w:rPr>
                <w:rFonts w:ascii="Times New Roman;Times;Serif" w:hAnsi="Times New Roman;Times;Serif"/>
              </w:rPr>
              <w:t xml:space="preserve"> for the second quarter of 2026 were RMB24.7 billion (US$3.6 billion), compared with RMB25.8 billion in the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GMV</w:t>
            </w:r>
            <w:r>
              <w:rPr>
                <w:rFonts w:ascii="Times New Roman;Times;Serif" w:hAnsi="Times New Roman;Times;Serif"/>
                <w:b/>
                <w:position w:val="8"/>
                <w:sz w:val="19"/>
              </w:rPr>
              <w:t>1</w:t>
            </w:r>
            <w:r>
              <w:rPr>
                <w:rFonts w:ascii="Times New Roman;Times;Serif" w:hAnsi="Times New Roman;Times;Serif"/>
              </w:rPr>
              <w:t xml:space="preserve"> for the second quarter of 2026 was RMB50.6 billion, compared with RMB51.4 billion in the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Gross profit</w:t>
            </w:r>
            <w:r>
              <w:rPr>
                <w:rFonts w:ascii="Times New Roman;Times;Serif" w:hAnsi="Times New Roman;Times;Serif"/>
              </w:rPr>
              <w:t xml:space="preserve"> for the second quarter of 2026 was RMB5.8 billion (US$848.1 million), compared with RMB6.1 billion in the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Net income attributable to Vipshop’s shareholders</w:t>
            </w:r>
            <w:r>
              <w:rPr>
                <w:rFonts w:ascii="Times New Roman;Times;Serif" w:hAnsi="Times New Roman;Times;Serif"/>
              </w:rPr>
              <w:t xml:space="preserve"> for the second quarter of 2026 increased by 189.1% year over year to RMB4.3 billion (US$634.7 million) from RMB1.5 billion in the prior year period, primarily due to a one-off investment gain of RMB5.79 billion from the listing of a commercial REIT.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Non-GAAP net income attributable to Vipshop’s shareholders</w:t>
            </w:r>
            <w:r>
              <w:rPr>
                <w:rFonts w:ascii="Times New Roman;Times;Serif" w:hAnsi="Times New Roman;Times;Serif"/>
                <w:position w:val="8"/>
                <w:sz w:val="19"/>
              </w:rPr>
              <w:t>2</w:t>
            </w:r>
            <w:r>
              <w:rPr>
                <w:rFonts w:ascii="Times New Roman;Times;Serif" w:hAnsi="Times New Roman;Times;Serif"/>
              </w:rPr>
              <w:t xml:space="preserve"> for the second quarter of 2026 was RMB392.2 million (US$57.8 million), compared with RMB2.1 billion in the prior year period, primarily due to a one-time withholding tax adjustment relating to certain historical dividend distributions.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The number of active customers</w:t>
            </w:r>
            <w:r>
              <w:rPr>
                <w:rFonts w:ascii="Times New Roman;Times;Serif" w:hAnsi="Times New Roman;Times;Serif"/>
                <w:position w:val="8"/>
                <w:sz w:val="19"/>
              </w:rPr>
              <w:t>3</w:t>
            </w:r>
            <w:r>
              <w:rPr>
                <w:rFonts w:ascii="Times New Roman;Times;Serif" w:hAnsi="Times New Roman;Times;Serif"/>
              </w:rPr>
              <w:t xml:space="preserve"> for the second quarter of 2026 was 42.3 million, compared with 43.5 million in the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orders</w:t>
            </w:r>
            <w:r>
              <w:rPr>
                <w:rFonts w:ascii="Times New Roman;Times;Serif" w:hAnsi="Times New Roman;Times;Serif"/>
                <w:position w:val="8"/>
                <w:sz w:val="19"/>
              </w:rPr>
              <w:t>4</w:t>
            </w:r>
            <w:r>
              <w:rPr>
                <w:rFonts w:ascii="Times New Roman;Times;Serif" w:hAnsi="Times New Roman;Times;Serif"/>
              </w:rPr>
              <w:t xml:space="preserve"> for the second quarter of 2026 were 182.4 million, compared with 193.0 million in the prior year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“Gross merchandise value (GMV)” is defined as the total value of all products and services sold through the Company’s online channels, Shan Shan Outlets (including Vipshop Outlet REIT and Vipshop Commercial REIT operated and managed by Shan Shan Outlets), and other Vipshop offline stores during the given period, including the Company’s Vipshop App mobile application, </w:t>
      </w:r>
      <w:r>
        <w:rPr>
          <w:rFonts w:ascii="Times New Roman;Times;Serif" w:hAnsi="Times New Roman;Times;Serif"/>
          <w:b w:val="false"/>
          <w:i/>
          <w:caps w:val="false"/>
          <w:smallCaps w:val="false"/>
          <w:sz w:val="20"/>
        </w:rPr>
        <w:t>vip.com</w:t>
      </w:r>
      <w:r>
        <w:rPr>
          <w:rFonts w:ascii="Times New Roman;Times;Serif" w:hAnsi="Times New Roman;Times;Serif"/>
          <w:b w:val="false"/>
          <w:i w:val="false"/>
          <w:caps w:val="false"/>
          <w:smallCaps w:val="false"/>
          <w:sz w:val="20"/>
        </w:rPr>
        <w:t xml:space="preserve"> website, Vipshop WeChat Mini-Program, online stores that are operated at third-party platforms, Shan Shan Outlets and its corresponding Vipshop Outlet REIT, as well as Vipshop offline stores, which were fulfilled by either the Company or its third-party merchants, regardless of whether or not the goods were delivered or returned. GMV includes shipping charges paid by buyers to sellers. Out of prudence, the Company does not consider products or services to be sold if the orders were placed and canceled pre-shipment and only included orders that left the Company’s or other third-party vendors’ warehouses.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Non-GAAP net income attributable to Vipshop’s shareholders is a non-GAAP financial measure, which, for the periods presented in this press release, is defined as net income attributable to Vipshop’s shareholders excluding (i) share-based compensation expenses, (ii) impairment loss of investments, (iii) investment (gain) loss and revaluation of investments excluding dividends, (iv) reconciling items on the share of equity method investments, and (v) tax effects on non-GAAP adjustments.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“Active customers” is defined as registered members who have purchased from the Company’s Vipshop mobile app, </w:t>
      </w:r>
      <w:r>
        <w:rPr>
          <w:rFonts w:ascii="Times New Roman;Times;Serif" w:hAnsi="Times New Roman;Times;Serif"/>
          <w:b w:val="false"/>
          <w:i/>
          <w:caps w:val="false"/>
          <w:smallCaps w:val="false"/>
          <w:sz w:val="20"/>
        </w:rPr>
        <w:t>vip.com</w:t>
      </w:r>
      <w:r>
        <w:rPr>
          <w:rFonts w:ascii="Times New Roman;Times;Serif" w:hAnsi="Times New Roman;Times;Serif"/>
          <w:b w:val="false"/>
          <w:i w:val="false"/>
          <w:caps w:val="false"/>
          <w:smallCaps w:val="false"/>
          <w:sz w:val="20"/>
        </w:rPr>
        <w:t xml:space="preserve"> website and Vipshop WeChat Mini-Program at least once during the relevant period.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“Total orders” is defined as the total number of orders placed during the given period, including the orders for products and services sold through the Company’s online channels, including the Company’s Vipshop App mobile application, </w:t>
      </w:r>
      <w:r>
        <w:rPr>
          <w:rFonts w:ascii="Times New Roman;Times;Serif" w:hAnsi="Times New Roman;Times;Serif"/>
          <w:b w:val="false"/>
          <w:i/>
          <w:caps w:val="false"/>
          <w:smallCaps w:val="false"/>
          <w:sz w:val="20"/>
        </w:rPr>
        <w:t>vip.com</w:t>
      </w:r>
      <w:r>
        <w:rPr>
          <w:rFonts w:ascii="Times New Roman;Times;Serif" w:hAnsi="Times New Roman;Times;Serif"/>
          <w:b w:val="false"/>
          <w:i w:val="false"/>
          <w:caps w:val="false"/>
          <w:smallCaps w:val="false"/>
          <w:sz w:val="20"/>
        </w:rPr>
        <w:t xml:space="preserve"> website, Vipshop WeChat Mini-Program, online stores that are operated at third-party platforms (excluding, for the avoidance of doubt, orders from the Company’s offline stores and outlets), net of orders returned.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42975"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42975" cy="485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Eric Shen, Chairman and Chief Executive Officer of Vipshop, stated, “We navigated a challenging consumer environment in the second quarter by staying disciplined to our core value proposition — offering a curated selection of high-value branded products to our most loyal customers. The solid performance of our active SVIPs validated the enduring strength of our business model. Leveraging our proven foundation, we are actively strengthening our competitive moat by sharpening merchandising, elevating customer experience, and scaling AI across our operations. These focused initiatives position us firmly for sustainable,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Mark Wang, Chief Financial Officer of Vipshop, further commented, “In the second quarter, our top-line performance stayed within our guided range, reflecting disciplined execution amid subdued consumer demand. We maintained a steadfast focus on margin health, which helped preserve operating profitability. During the first half, we returned approximately US$400 million to shareholders through dividends and share repurchases, and we remain on track to meet our full-year shareholder return target. Supported by solid operating fundamentals and strong cash generation to reinvest strategically, we are confident in our path toward profitable,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revenues for the second quarter of 2026 were RMB24.7 billion (US$3.6 billion), compared with RMB25.8 billion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second quarter of 2026 was RMB5.8 billion (US$848.1 million), compared with RMB6.1 billion in the prior year period. Gross margin for the second quarter of 2026 was 23.3%, compared with 23.5%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second quarter of 2026 decreased by 2.4% year over year to RMB4.5 billion (US$656.5 million) from RMB4.6 billion in the prior year period. As a percentage of total net revenues, total operating expenses for the second quarter of 2026 were 18.0%, compared with 17.7% in the prior year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b/>
                <w:i/>
              </w:rPr>
              <w:t>Fulfillment expenses</w:t>
            </w:r>
            <w:r>
              <w:rPr/>
              <w:t xml:space="preserve"> for the second quarter of 2026 were RMB2.14 billion (US$315.1 million), compared with RMB2.11 billion in the prior year period. As a percentage of total net revenues, fulfillment expenses for the second quarter of 2026 were 8.7%, compared with 8.2% in the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b/>
                <w:i/>
              </w:rPr>
              <w:t>Marketing expenses</w:t>
            </w:r>
            <w:r>
              <w:rPr/>
              <w:t xml:space="preserve"> for the second quarter of 2026 were RMB760.3 million (US$112.1 million), compared with RMB715.9 million in the prior year period. As a percentage of total net revenues, marketing expenses for the second quarter of 2026 were 3.1%, compared with 2.8% in the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b/>
                <w:i/>
              </w:rPr>
              <w:t xml:space="preserve">Technology and content expenses </w:t>
            </w:r>
            <w:r>
              <w:rPr/>
              <w:t>for the second quarter of 2026 were RMB486.2 million (US$71.7 million), compared with RMB442.0 million in the prior year period. As a percentage of total net revenues, technology and content expenses for the second quarter of 2026 were 2.0%, compared with 1.7% in the prior year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42975"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42975" cy="485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b/>
                <w:i/>
              </w:rPr>
              <w:t xml:space="preserve">General and administrative expenses </w:t>
            </w:r>
            <w:r>
              <w:rPr/>
              <w:t>for the second quarter of 2026 decreased by 17.5% year over year to RMB1.1 billion (US$157.7 million), compared with RMB1.3 billion in the prior year period, primarily due to higher share-based compensation expenses for Shan Shan Outlets recorded in the prior year period. As a percentage of total net revenues, general and administrative expenses for the second quarter of 2026 decreased to 4.3% from 5.0% in the prior year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 for the second quarter of 2026 was RMB1.5 billion (US$224.0 million), compared with RMB1.7 billion in the prior year period. Operating margin for the second quarter of 2026 was 6.2%, compared with 6.6%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income from operations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for the second quarter of 2026, which excluded share-based compensation expenses, was RMB2.0 billion (US$295.7 million), compared with RMB2.4 billion in the prior year period. Non-GAAP operating margin</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for the second quarter of 2026 was 8.1%, compared with 9.3%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 for the second quarter of 2026 were RMB3.3 billion (US$491.8 million), compared with RMB407.2 million in the prior year period. The increase was primarily driven by (i) an income tax expense of RMB1.63 billion relating to the one-off investment gain recognized by Shan Shan Commercial Group Co., Ltd., the original holder of the underlying assets, upon the issuance of a commercial REIT, and (ii) an accrued withholding tax expense of RMB1.56 billion reflecting the withholding tax treatments of historical dividend distributions from mainland China to Hong Kong regarding applicable policies on tax treaty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Vipshop’s shareholders for the second quarter of 2026 increased by 189.1% year over year to RMB4.3 billion (US$634.7 million) from RMB1.5 billion in the prior year period, primarily due to a one-off investment gain of RMB5.79 billion from the listing of a commercial REIT. Net margin attributable to Vipshop’s shareholders for the second quarter of 2026 increased to 17.4% from 5.8% in the prior year period. Net income attributable to Vipshop’s shareholders per diluted ADS</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for the second quarter of 2026 increased to RMB8.82 (US$1.30) from RMB2.91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attributable to Vipshop’s shareholders for the second quarter of 2026, which excluded (i) share-based compensation expenses, (ii) impairment loss of investments, (iii) investment (gain) loss and revaluation of investments excluding dividends, (iv) reconciling items on the share of equity method investments, and (v) tax effects on non-GAAP adjustments, was RMB392.2 million (US$57.8 million), compared with RMB2.1 billion in the prior year period, primarily due to a one-time withholding tax adjustment relating to certain historical dividend distributions. Non-GAAP net margin attributable to Vipshop’s shareholders</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for the second quarter of 2026 was 1.6%, compared with 8.0% in the prior year period. Non-GAAP net income attributable to Vipshop’s shareholders per diluted ADS</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for the second quarter of 2026 was RMB0.80 (US$0.12), compared with RMB4.06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Non-GAAP income from operations is a non-GAAP financial measure, which is defined as income from operations excluding share-based compensation expenses.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Non-GAAP operating margin is a non-GAAP financial measure, which is defined as non-GAAP income from operations as a percentage of total net revenues.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“ADS” means American depositary share, each of which represents 0.2 Class A ordinary share.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Non-GAAP net margin attributable to Vipshop’s shareholders is a non-GAAP financial measure, which is defined as non- GAAP net income attributable to Vipshop’s shareholders, as a percentage of total net revenues.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Non-GAAP net income attributable to Vipshop’s shareholders per diluted ADS is a non-GAAP financial measure, which is defined as non-GAAP net income attributable to Vipshop’s shareholders, divided by the weighted average number of diluted ADSs outstanding for computing diluted earnings per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42975" cy="485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42975" cy="485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June 30, 2026, the Company’s weighted average number of ADSs used in computing diluted income per ADS was 488,098,800.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BALANCE SHEET AND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and restricted cash of RMB29.9 billion (US$4.4 billion) and short term investments of RMB3.6 billion (US$533.3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June 30, 2026, net cash used in operating activities was RMB374.7 million (US$55.2 million), and free cash flow</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a non-GAAP measurement of liquidity, was as follows:</w:t>
      </w:r>
    </w:p>
    <w:p>
      <w:pPr>
        <w:pStyle w:val="TextBody"/>
        <w:bidi w:val="0"/>
        <w:spacing w:before="0" w:after="0"/>
        <w:ind w:left="0" w:right="0" w:hanging="0"/>
        <w:jc w:val="left"/>
        <w:rPr>
          <w:caps w:val="false"/>
          <w:smallCaps w:val="false"/>
        </w:rPr>
      </w:pPr>
      <w:r>
        <w:rPr>
          <w:caps w:val="false"/>
          <w:smallCaps w:val="false"/>
        </w:rPr>
        <w:t> </w:t>
      </w:r>
    </w:p>
    <w:tbl>
      <w:tblPr>
        <w:tblW w:w="8402" w:type="dxa"/>
        <w:jc w:val="left"/>
        <w:tblInd w:w="0" w:type="dxa"/>
        <w:tblLayout w:type="fixed"/>
        <w:tblCellMar>
          <w:top w:w="0" w:type="dxa"/>
          <w:left w:w="0" w:type="dxa"/>
          <w:bottom w:w="0" w:type="dxa"/>
          <w:right w:w="0" w:type="dxa"/>
        </w:tblCellMar>
      </w:tblPr>
      <w:tblGrid>
        <w:gridCol w:w="4355"/>
        <w:gridCol w:w="60"/>
        <w:gridCol w:w="79"/>
        <w:gridCol w:w="1125"/>
        <w:gridCol w:w="80"/>
        <w:gridCol w:w="60"/>
        <w:gridCol w:w="88"/>
        <w:gridCol w:w="1116"/>
        <w:gridCol w:w="80"/>
        <w:gridCol w:w="60"/>
        <w:gridCol w:w="88"/>
        <w:gridCol w:w="1116"/>
        <w:gridCol w:w="95"/>
      </w:tblGrid>
      <w:tr>
        <w:trPr/>
        <w:tc>
          <w:tcPr>
            <w:tcW w:w="8402" w:type="dxa"/>
            <w:gridSpan w:val="1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30, 2025 </w:t>
              <w:b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30, 2026 </w:t>
              <w:b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30, 2026 </w:t>
              <w:br/>
              <w:t> US$’000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1,301,049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(374,692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(55,223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Reconciling items: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impact from internet financing activities</w:t>
            </w:r>
            <w:r>
              <w:rPr>
                <w:rFonts w:ascii="Times New Roman;Times;Serif" w:hAnsi="Times New Roman;Times;Serif"/>
                <w:b w:val="false"/>
                <w:i w:val="false"/>
                <w:caps w:val="false"/>
                <w:smallCaps w:val="false"/>
                <w:position w:val="7"/>
                <w:sz w:val="16"/>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(555,862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(35,961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inflow (outflow)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801,801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(748,707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(110,346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7682" w:type="dxa"/>
        <w:jc w:val="left"/>
        <w:tblInd w:w="0" w:type="dxa"/>
        <w:tblLayout w:type="fixed"/>
        <w:tblCellMar>
          <w:top w:w="0" w:type="dxa"/>
          <w:left w:w="0" w:type="dxa"/>
          <w:bottom w:w="0" w:type="dxa"/>
          <w:right w:w="0" w:type="dxa"/>
        </w:tblCellMar>
      </w:tblPr>
      <w:tblGrid>
        <w:gridCol w:w="3635"/>
        <w:gridCol w:w="60"/>
        <w:gridCol w:w="74"/>
        <w:gridCol w:w="1130"/>
        <w:gridCol w:w="80"/>
        <w:gridCol w:w="60"/>
        <w:gridCol w:w="74"/>
        <w:gridCol w:w="1130"/>
        <w:gridCol w:w="80"/>
        <w:gridCol w:w="60"/>
        <w:gridCol w:w="79"/>
        <w:gridCol w:w="1125"/>
        <w:gridCol w:w="95"/>
      </w:tblGrid>
      <w:tr>
        <w:trPr/>
        <w:tc>
          <w:tcPr>
            <w:tcW w:w="7682" w:type="dxa"/>
            <w:gridSpan w:val="1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trailing twelve months ended</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30, 2025 </w:t>
              <w:b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30, 2026 </w:t>
              <w:b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30, 2026 </w:t>
              <w:br/>
              <w:t>US$’000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9,673,390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8,766,247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1,291,985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Reconciling items: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impact from internet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(2,908,504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(1,512,848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(222,966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inflow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6,838,323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7,201,751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1,061,407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Free cash flow is a non-GAAP financial measure, which is defined as net cash from operating activities adding back the impact from internet financing activities and less capital expenditures, which include purchase and deposits of property and equipment and land use rights.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Net impact from internet financing activities represents net cash flow relating to the Company’s financial products, which are primarily consumer financing and supplier financing that the Company provides to its customers and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942975" cy="485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42975" cy="48577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the Company repurchased US$99.1 million of its ADSs under its current US$1.0 billion share repurchase program adopted in February 2025, as amended (the “Existing Program”), which is effective through February 2027. As of June 30, 2026, the Company had an unutilized amount of US$216.9 million under the Existing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August 20, 2026, the board of directors authorized a new share repurchase program under which the Company may repurchase up to US$1.0 billion of its American depositary shares or Class A ordinary shares for a 24-month period commencing from the full utilization of the Existing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implement its share repurchases in accordance with applicable rules and requirements under the Securities Exchange Act of 1934, as amended, and the Company’s insider trading policy. The Company’s board of directors will review the share repurchase programs periodically, and may authorize adjustment of their terms and size. The Company expects to fund the repurchases out of its existing cash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listed a closed-end commercial real estate securities investment fund in relation to two outlets operated by Shan Shan Outlets (the “Vipshop Commercial REIT”) on the Shanghai Stock Exchange (fund code: 508603.SH). The Company subscribed for 49% of the units issued by the Vipshop Commercial REIT and deconsolidated the underlying entities holding the two outlets under U.S. GAAP. Upon the completion of the Vipshop Commercial REIT, the Company raised gross proceeds of approximately RMB7.70 billion. During the second quarter of 2026, the Company recognized an investment gain of RMB5.79 billion, with an associated income tax expense of RMB1.63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of 2026, the Company expects its total net revenues to be between RMB20.3 billion and RMB21.4 billion, representing a year-over-year decrease of approximately 5% to 0%. These forecasts reflect the Company’s current and preliminary view on the market and operational conditions, which is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is primarily conducted in China and the significant majority of revenues generated are denominated in Renminbi. This announcement contains currency translations of Renminbi amounts into U.S. dollars solely for the convenience of the reader. Unless otherwise noted, all translations from Renminbi to U.S. dollars are made at a rate of RMB6.7851 to US$1.00, the effective noon buying rate on June 30, 2026 as set forth in the H.10 statistical release of the Federal Reserve Board. No representation is made that the Renminbi amounts could have been, or could be, converted, realized or settled into U.S. dollars at that rate on June 30, 2026 or at any other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hold a conference call on Tuesday, August 25, 2026 at 7:30 am U.S. Eastern Time, 7:30 pm Beijing Time to discuss the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participants wishing to join the conference call must pre-register online using the link provided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42975" cy="485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42975" cy="485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Link: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https://register-conf.media-server.com/register/BI9c75c14882da41dfae0c983d6e126453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pre-registration has been completed, each participant will receive dial-in numbers and a unique access PIN via email. To join the conference, participants should use the dial-in details followed by the PIN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webcast of the earnings conference call can be accessed at </w:t>
      </w:r>
      <w:r>
        <w:rPr>
          <w:rFonts w:ascii="Times New Roman;Times;Serif" w:hAnsi="Times New Roman;Times;Serif"/>
          <w:b w:val="false"/>
          <w:i w:val="false"/>
          <w:caps w:val="false"/>
          <w:smallCaps w:val="false"/>
          <w:sz w:val="20"/>
          <w:u w:val="single"/>
        </w:rPr>
        <w:t>https://edge.media-server.com/mmc/p/qifrf6to</w:t>
      </w:r>
      <w:r>
        <w:rPr>
          <w:rFonts w:ascii="Times New Roman;Times;Serif" w:hAnsi="Times New Roman;Times;Serif"/>
          <w:b w:val="false"/>
          <w:i w:val="false"/>
          <w:caps w:val="false"/>
          <w:smallCaps w:val="false"/>
          <w:sz w:val="20"/>
        </w:rPr>
        <w:t xml:space="preserve">. An archived webcast will be available at the Company’s investor relations website at </w:t>
      </w:r>
      <w:r>
        <w:rPr>
          <w:rFonts w:ascii="Times New Roman;Times;Serif" w:hAnsi="Times New Roman;Times;Serif"/>
          <w:b w:val="false"/>
          <w:i w:val="false"/>
          <w:caps w:val="false"/>
          <w:smallCaps w:val="false"/>
          <w:sz w:val="20"/>
          <w:u w:val="single"/>
        </w:rPr>
        <w:t>http://ir.vip.com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Vipshop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Vipshop Holdings Limited is a leading off-price retailer in China. Vipshop offers high-quality and popular branded products to consumers throughout China at deep discounts through diverse online and offline channels. Since its founding in 2008, the Company has built a large and loyal customer base and extensive brand partnerships. For more information, please visit </w:t>
      </w:r>
      <w:r>
        <w:rPr>
          <w:rFonts w:ascii="Times New Roman;Times;Serif" w:hAnsi="Times New Roman;Times;Serif"/>
          <w:b w:val="false"/>
          <w:i/>
          <w:caps w:val="false"/>
          <w:smallCaps w:val="false"/>
          <w:sz w:val="20"/>
        </w:rPr>
        <w:t>https://ir.vip.com/.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Vipshop’s strategic and operational plans, contain forward-looking statements. Vipshop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Vipshop’s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Vipshop’s goals and strategies; Vipshop’s future business development, results of operations and financial condition; the expected growth of the off-price retailer market in China; Vipshop’s ability to attract customers and brand partners and further enhance its brand recognition; Vipshop’s expectations regarding needs for and market acceptance of flash sales products and services; competition in the discount retail industry; fluctuations in general economic and business conditions in China and assumptions underlying or related to any of the foregoing. Further information regarding these and other risks is included in Vipshop’s filings with the SEC. All information provided in this press release is as of the date of this press release, and Vipshop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42975" cy="485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42975" cy="485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information is derived from the Company’s unaudited interim condensed consolidated financial statements prepared in conformity with accounting principles generally accepted in the United States of America (“U.S. GAAP”), except that cash flows for the period presented and the detailed footnote disclosures required by Accounting Standards Codification 270, Interim Reporting (“ASC270”) have been omitted. Vipshop uses non-GAAP net income attributable to Vipshop’s shareholders, non-GAAP net income attributable to Vipshop’s shareholders per diluted ADS, non-GAAP income from operations, non-GAAP operating margin, non-GAAP net margin attributable to Vipshop’s shareholders, and free cash flow, each of which is a non-GAAP financial measure. For the periods presented in this press release, non-GAAP net income attributable to Vipshop’s shareholders is net income attributable to Vipshop’s shareholders excluding (i) share-based compensation expenses, (ii) impairment loss of investments, (iii) investment (gain) loss and revaluation of investments excluding dividends, (iv) reconciling items on the share of equity method investments, and (v) tax effects on non-GAAP adjustments. Non-GAAP net income attributable to Vipshop’s shareholders per diluted ADS is computed using non-GAAP net income attributable to Vipshop’s shareholders divided by weighted average number of diluted ADS outstanding for computing diluted earnings per ADS. Non-GAAP income from operations is income from operations excluding share-based compensation expenses. Non-GAAP operating margin is non-GAAP income from operations as a percentage of total net revenues. Non-GAAP net margin attributable to Vipshop’s shareholders is non-GAAP net income attributable to Vipshop’s shareholders as a percentage of total net revenues. Free cash flow is net cash from operating activities adding back the impact from internet financing activities and less capital expenditures, which include purchase and deposits of property and equipment and land use rights. Impact from internet financing activities added back or deducted from free cash flow contains changes in the balances of financial products, which are primarily consumer financing and supplier financing that the Company provides to customers and suppliers. The Company believes that separate analysis and exclusion of the non-cash impact of (i) share-based compensation expenses, (ii) impairment loss of investments, (iii) investment (gain) loss and revaluation of investments excluding dividends, (iv) reconciling items on the share of equity method investments, and (v) tax effects on non-GAAP adjustments add clarity to the constituent parts of its performance. The Company reviews these non-GAAP financial measures together with GAAP financial measures to obtain a better understanding of its operating performance. It uses these non-GAAP financial measures for planning, forecasting, and measuring results against the forecast. The Company believes that non-GAAP financial measures are useful supplemental information for investors and analysts to assess its operating performance without the effect of (i) share-based compensation expenses, (ii) impairment loss of investments, (iii) investment (gain) loss and revaluation of investments excluding dividends, (iv) reconciling items on the share of equity method investments, and (v) tax effects on non-GAAP adjustments. Free cash flow enables the Company to assess liquidity and cash flow, taking into account the impact from internet financing activities and the financial resources needed for the expansion of technology platform, and Shan Shan Outlets. Share-based compensation expenses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One of the key limitations of free cash flow is that it does not represent the residual cash flow available for discretionary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“Vipshop Holdings Limited Reconciliations of GAAP and Non-GAAP Results” at the end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(20) 2233-0732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IR@vipshop.com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tbl>
      <w:tblPr>
        <w:tblW w:w="7280" w:type="dxa"/>
        <w:jc w:val="left"/>
        <w:tblInd w:w="0" w:type="dxa"/>
        <w:tblLayout w:type="fixed"/>
        <w:tblCellMar>
          <w:top w:w="0" w:type="dxa"/>
          <w:left w:w="0" w:type="dxa"/>
          <w:bottom w:w="0" w:type="dxa"/>
          <w:right w:w="0" w:type="dxa"/>
        </w:tblCellMar>
      </w:tblPr>
      <w:tblGrid>
        <w:gridCol w:w="7280"/>
      </w:tblGrid>
      <w:tr>
        <w:trPr/>
        <w:tc>
          <w:tcPr>
            <w:tcW w:w="72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Vipshop Holdings Limited </w:t>
            </w:r>
          </w:p>
        </w:tc>
      </w:tr>
      <w:tr>
        <w:trPr/>
        <w:tc>
          <w:tcPr>
            <w:tcW w:w="72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 Condensed Consolidated Statements of Income and Comprehensive Income</w:t>
            </w:r>
          </w:p>
        </w:tc>
      </w:tr>
      <w:tr>
        <w:trPr/>
        <w:tc>
          <w:tcPr>
            <w:tcW w:w="72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(In thousands, except for share and per share data)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28"/>
        <w:gridCol w:w="60"/>
        <w:gridCol w:w="60"/>
        <w:gridCol w:w="1062"/>
        <w:gridCol w:w="80"/>
        <w:gridCol w:w="60"/>
        <w:gridCol w:w="61"/>
        <w:gridCol w:w="1029"/>
        <w:gridCol w:w="80"/>
        <w:gridCol w:w="60"/>
        <w:gridCol w:w="62"/>
        <w:gridCol w:w="984"/>
        <w:gridCol w:w="80"/>
        <w:gridCol w:w="60"/>
        <w:gridCol w:w="60"/>
        <w:gridCol w:w="1062"/>
        <w:gridCol w:w="80"/>
        <w:gridCol w:w="60"/>
        <w:gridCol w:w="61"/>
        <w:gridCol w:w="1029"/>
        <w:gridCol w:w="80"/>
        <w:gridCol w:w="60"/>
        <w:gridCol w:w="62"/>
        <w:gridCol w:w="984"/>
        <w:gridCol w:w="101"/>
      </w:tblGrid>
      <w:tr>
        <w:trPr/>
        <w:tc>
          <w:tcPr>
            <w:tcW w:w="28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30,2026</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USD'000</w:t>
            </w:r>
          </w:p>
        </w:tc>
        <w:tc>
          <w:tcPr>
            <w:tcW w:w="10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23,797,383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22,660,148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3,339,693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48,090,503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46,991,741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6,925,726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2,008,977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2,047,001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301,691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3,984,399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4,289,916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632,255</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25,806,360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24,707,149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3,641,384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52,074,902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51,281,657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7,557,981</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(19,751,363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(18,952,457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(2,793,247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(39,937,696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(39,031,816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(5,752,578</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6,054,997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5,754,692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848,137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12,137,206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12,249,841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1,805,403</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Fulfillment expenses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(2,109,239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(2,138,027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(315,106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(3,999,193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(4,184,948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(616,785</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(715,900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(760,337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(1,448,048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(1,479,648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(218,073</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and content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(442,039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(486,175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(891,109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(934,386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(137,711</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(1,296,338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(1,069,893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(157,683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(2,247,136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(2,020,349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(297,763</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(4,563,516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(4,454,432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(656,502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(8,585,486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(8,619,331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(1,270,332</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219,397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422,979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386,916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57,024</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1,697,904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1,519,657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223,970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3,974,699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4,017,426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592,095</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gain (loss) and revaluation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5,801,875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855,091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5,853,058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862,634</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(3,499</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(242,774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(272,685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(40,189</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418,901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360,202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53,087</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(4,714</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 expense and share of income of equity method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1,888,630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1,064,396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4,327,742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9,902,279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1,459,414</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(407,189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(3,337,244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(491,849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(914,856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(3,856,535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(568,383</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income of equity method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557,773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82,206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1,517,798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4,340,033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639,643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3,498,108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6,603,517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973,237</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(13,414</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Vipshop's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1,489,749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4,306,193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634,656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3,432,594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6,512,500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959,823</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used in calculating earnings per share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Class A and Class B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101,229,148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96,241,715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96,241,715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101,951,703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96,134,860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96,134,860</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CCEE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102,353,164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97,619,760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97,619,760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103,374,279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98,133,799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98,133,799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per Class A and Class B ordinary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Vipshop's shareholders——Basic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Vipshop's shareholders——Diluted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per ADS (1 ordinary share equals to 5 ADSs)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Vipshop's shareholders——Basic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Vipshop's shareholders——Diluted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43"/>
        <w:gridCol w:w="60"/>
        <w:gridCol w:w="5402"/>
      </w:tblGrid>
      <w:tr>
        <w:trPr/>
        <w:tc>
          <w:tcPr>
            <w:tcW w:w="4743"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(1) Other revenues primarily consist of product promotion and online advertising revenues, lease income mainly earned from the Shan Shan Outlets ,fees charged to third-party merchants which the Company provides platform access for sales of their products, revenue from third-party logistics services, loan facilitation service income and membership fee income.</w:t>
            </w:r>
          </w:p>
        </w:tc>
        <w:tc>
          <w:tcPr>
            <w:tcW w:w="60" w:type="dxa"/>
            <w:tcBorders/>
            <w:vAlign w:val="center"/>
          </w:tcPr>
          <w:p>
            <w:pPr>
              <w:pStyle w:val="TableContents"/>
              <w:bidi w:val="0"/>
              <w:spacing w:before="0" w:after="283"/>
              <w:jc w:val="left"/>
              <w:rPr/>
            </w:pPr>
            <w:r>
              <w:rPr/>
              <w:t> </w:t>
            </w:r>
          </w:p>
        </w:tc>
        <w:tc>
          <w:tcPr>
            <w:tcW w:w="5402" w:type="dxa"/>
            <w:tcBorders/>
            <w:vAlign w:val="center"/>
          </w:tcPr>
          <w:p>
            <w:pPr>
              <w:pStyle w:val="TableContents"/>
              <w:bidi w:val="0"/>
              <w:spacing w:before="0" w:after="283"/>
              <w:jc w:val="both"/>
              <w:rPr>
                <w:i/>
              </w:rPr>
            </w:pPr>
            <w:r>
              <w:rPr>
                <w:i/>
              </w:rPr>
              <w:t>(1) Other revenues primarily consist of product promotion and online advertising revenues, lease income mainly earned from the Shan Shan Outlets ,fees charged to third-party merchants which the Company provides platform access for sales of their products, revenue from third-party logistics services, loan facilitation service income and membership fee income.</w:t>
            </w:r>
          </w:p>
        </w:tc>
      </w:tr>
      <w:tr>
        <w:trPr/>
        <w:tc>
          <w:tcPr>
            <w:tcW w:w="4743"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(2) Fulfillment expenses include shipping and handling expenses, which amounted RMB 1.5 billion and RMB 1.6 billion  in the three month periods ended June 30,2025 and June 30,2026, respectively.</w:t>
            </w:r>
          </w:p>
        </w:tc>
        <w:tc>
          <w:tcPr>
            <w:tcW w:w="60" w:type="dxa"/>
            <w:tcBorders/>
            <w:vAlign w:val="center"/>
          </w:tcPr>
          <w:p>
            <w:pPr>
              <w:pStyle w:val="TableContents"/>
              <w:bidi w:val="0"/>
              <w:spacing w:before="0" w:after="283"/>
              <w:jc w:val="left"/>
              <w:rPr/>
            </w:pPr>
            <w:r>
              <w:rPr/>
              <w:t> </w:t>
            </w:r>
          </w:p>
        </w:tc>
        <w:tc>
          <w:tcPr>
            <w:tcW w:w="540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(2) Fulfillment expenses include shipping and handling expenses, which amounted RMB 2.8 billion and RMB 3.0 billion  in the six month periods ended June 30,2025 and June 30,2026, respectively.</w:t>
            </w:r>
          </w:p>
        </w:tc>
      </w:tr>
      <w:tr>
        <w:trPr/>
        <w:tc>
          <w:tcPr>
            <w:tcW w:w="4743"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(3) Authorized share capital is re-classified and re-designated into Class A ordinary shares and Class B ordinary shares, with each Class A ordinary share being entitled to one vote and each Class B ordinary share being entitled to ten votes on all matters that are subject to shareholder vote.</w:t>
            </w:r>
          </w:p>
        </w:tc>
        <w:tc>
          <w:tcPr>
            <w:tcW w:w="60" w:type="dxa"/>
            <w:tcBorders/>
            <w:vAlign w:val="center"/>
          </w:tcPr>
          <w:p>
            <w:pPr>
              <w:pStyle w:val="TableContents"/>
              <w:bidi w:val="0"/>
              <w:spacing w:before="0" w:after="283"/>
              <w:jc w:val="left"/>
              <w:rPr/>
            </w:pPr>
            <w:r>
              <w:rPr/>
              <w:t> </w:t>
            </w:r>
          </w:p>
        </w:tc>
        <w:tc>
          <w:tcPr>
            <w:tcW w:w="540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(3) Authorized share capital is re-classified and re-designated into Class A ordinary shares and Class B ordinary shares, with each Class A ordinary share being entitled to one vote and each Class B ordinary share being entitled to ten votes on all matters that are subject to shareholder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39"/>
        <w:gridCol w:w="60"/>
        <w:gridCol w:w="66"/>
        <w:gridCol w:w="863"/>
        <w:gridCol w:w="60"/>
        <w:gridCol w:w="60"/>
        <w:gridCol w:w="66"/>
        <w:gridCol w:w="863"/>
        <w:gridCol w:w="60"/>
        <w:gridCol w:w="60"/>
        <w:gridCol w:w="69"/>
        <w:gridCol w:w="827"/>
        <w:gridCol w:w="60"/>
        <w:gridCol w:w="60"/>
        <w:gridCol w:w="66"/>
        <w:gridCol w:w="945"/>
        <w:gridCol w:w="60"/>
        <w:gridCol w:w="60"/>
        <w:gridCol w:w="66"/>
        <w:gridCol w:w="863"/>
        <w:gridCol w:w="60"/>
        <w:gridCol w:w="60"/>
        <w:gridCol w:w="69"/>
        <w:gridCol w:w="860"/>
        <w:gridCol w:w="83"/>
      </w:tblGrid>
      <w:tr>
        <w:trPr/>
        <w:tc>
          <w:tcPr>
            <w:tcW w:w="38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9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0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30,2026</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USD'000</w:t>
            </w:r>
          </w:p>
        </w:tc>
        <w:tc>
          <w:tcPr>
            <w:tcW w:w="8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8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 are included in the operating expenses as follows: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38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Fulfillment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4,451</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and content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162,837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21,527</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589,838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380,086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824,376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505,177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74,454</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697,851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486,514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1,048,453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707,160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104,222</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Vipshop Holdings Limited</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(In thousands, except for share and per share data)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49"/>
        <w:gridCol w:w="60"/>
        <w:gridCol w:w="73"/>
        <w:gridCol w:w="1176"/>
        <w:gridCol w:w="60"/>
        <w:gridCol w:w="60"/>
        <w:gridCol w:w="63"/>
        <w:gridCol w:w="1001"/>
        <w:gridCol w:w="60"/>
        <w:gridCol w:w="60"/>
        <w:gridCol w:w="63"/>
        <w:gridCol w:w="1001"/>
        <w:gridCol w:w="79"/>
      </w:tblGrid>
      <w:tr>
        <w:trPr/>
        <w:tc>
          <w:tcPr>
            <w:tcW w:w="64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30,2026</w:t>
            </w:r>
          </w:p>
        </w:tc>
        <w:tc>
          <w:tcPr>
            <w:tcW w:w="7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USD'000</w:t>
            </w:r>
          </w:p>
        </w:tc>
        <w:tc>
          <w:tcPr>
            <w:tcW w:w="7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22,990,435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29,246,429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4,310,390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1,132,729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604,940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89,157</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5,777,222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3,618,481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533,298</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889,220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564,378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83,179</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762,781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2,304,182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339,594</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and prepayments,net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2,860,301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3,126,697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460,818</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receivables,net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5,153,413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4,327,466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637,790</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39,575,267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43,797,667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6,454,977</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18,311,533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16,396,786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2,416,587</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for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use rights,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10,426,682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9,895,876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1,458,472</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324,067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322,176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47,483</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equity method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3,136,784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7,616,184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1,122,487</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4,800,356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4,980,862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734,088</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Held-to-maturity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806,443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118,855</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351,085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245,460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36,176</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755,213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651,522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96,022</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757,113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745,599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109,888</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398,798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391,481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57,697</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39,268,051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42,059,576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6,198,814</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78,843,318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85,857,243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12,653,791</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term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5,844,620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10,968,130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1,616,502</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12,536,639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10,350,342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1,525,452</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from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1,890,586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1,400,249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206,371</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9,941,146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10,777,673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1,588,432</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17,141</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520,853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534,916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78,837</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30,883,084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34,193,621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5,039,515</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625,720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92,220</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income-non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2,252,797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2,150,778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316,985</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556,951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554,729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81,757</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3,517,070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3,331,227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490,962</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34,400,154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37,524,848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5,530,477</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 (US$0.0001 par value, 500 million shares authorized, 101.4 million shares issued, and 95.1 million shares outstanding as of June 30, 2026)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41,004,749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44,987,634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6,630,357</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3,438,415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3,344,761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492,957</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44,443,164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48,332,395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7,123,314</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4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78,843,318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85,857,243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12,653,791</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both"/>
        <w:rPr>
          <w:i/>
          <w:sz w:val="20"/>
        </w:rPr>
      </w:pPr>
      <w:r>
        <w:rPr>
          <w:i/>
          <w:sz w:val="20"/>
        </w:rPr>
        <w:t>(4) The number of treasury stock as of June 30, 2026 was 6.3 million, all of which are Class A ordinary shares repurchased under the share repurchase program.</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Vipshop Holdings Limited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Reconciliations of GAAP and Non-GAAP Results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26"/>
        <w:gridCol w:w="60"/>
        <w:gridCol w:w="66"/>
        <w:gridCol w:w="942"/>
        <w:gridCol w:w="80"/>
        <w:gridCol w:w="60"/>
        <w:gridCol w:w="64"/>
        <w:gridCol w:w="978"/>
        <w:gridCol w:w="80"/>
        <w:gridCol w:w="60"/>
        <w:gridCol w:w="69"/>
        <w:gridCol w:w="889"/>
        <w:gridCol w:w="80"/>
        <w:gridCol w:w="60"/>
        <w:gridCol w:w="66"/>
        <w:gridCol w:w="942"/>
        <w:gridCol w:w="80"/>
        <w:gridCol w:w="60"/>
        <w:gridCol w:w="64"/>
        <w:gridCol w:w="978"/>
        <w:gridCol w:w="80"/>
        <w:gridCol w:w="60"/>
        <w:gridCol w:w="69"/>
        <w:gridCol w:w="889"/>
        <w:gridCol w:w="103"/>
      </w:tblGrid>
      <w:tr>
        <w:trPr/>
        <w:tc>
          <w:tcPr>
            <w:tcW w:w="33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8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8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w:t>
            </w:r>
          </w:p>
        </w:tc>
        <w:tc>
          <w:tcPr>
            <w:tcW w:w="103" w:type="dxa"/>
            <w:tcBorders/>
            <w:vAlign w:val="center"/>
          </w:tcPr>
          <w:p>
            <w:pPr>
              <w:pStyle w:val="TableContents"/>
              <w:bidi w:val="0"/>
              <w:spacing w:before="0" w:after="283"/>
              <w:jc w:val="center"/>
              <w:rPr/>
            </w:pPr>
            <w:r>
              <w:rPr/>
              <w:t> </w:t>
            </w:r>
          </w:p>
        </w:tc>
      </w:tr>
      <w:tr>
        <w:trPr/>
        <w:tc>
          <w:tcPr>
            <w:tcW w:w="33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30,2026</w:t>
            </w:r>
          </w:p>
        </w:tc>
        <w:tc>
          <w:tcPr>
            <w:tcW w:w="103" w:type="dxa"/>
            <w:tcBorders/>
            <w:vAlign w:val="center"/>
          </w:tcPr>
          <w:p>
            <w:pPr>
              <w:pStyle w:val="TableContents"/>
              <w:bidi w:val="0"/>
              <w:spacing w:before="0" w:after="283"/>
              <w:jc w:val="center"/>
              <w:rPr/>
            </w:pPr>
            <w:r>
              <w:rPr/>
              <w:t> </w:t>
            </w:r>
          </w:p>
        </w:tc>
      </w:tr>
      <w:tr>
        <w:trPr/>
        <w:tc>
          <w:tcPr>
            <w:tcW w:w="33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6" w:type="dxa"/>
            <w:tcBorders/>
            <w:shd w:fill="FFFFFF" w:val="clear"/>
            <w:vAlign w:val="center"/>
          </w:tcPr>
          <w:p>
            <w:pPr>
              <w:pStyle w:val="TableContents"/>
              <w:bidi w:val="0"/>
              <w:spacing w:before="0" w:after="283"/>
              <w:jc w:val="center"/>
              <w:rPr/>
            </w:pPr>
            <w:r>
              <w:rPr/>
              <w:t> </w:t>
            </w:r>
          </w:p>
        </w:tc>
        <w:tc>
          <w:tcPr>
            <w:tcW w:w="942"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RMB'000</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978"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RMB'000</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9" w:type="dxa"/>
            <w:tcBorders/>
            <w:shd w:fill="FFFFFF" w:val="clear"/>
            <w:vAlign w:val="center"/>
          </w:tcPr>
          <w:p>
            <w:pPr>
              <w:pStyle w:val="TableContents"/>
              <w:bidi w:val="0"/>
              <w:spacing w:before="0" w:after="283"/>
              <w:jc w:val="center"/>
              <w:rPr/>
            </w:pPr>
            <w:r>
              <w:rPr/>
              <w:t> </w:t>
            </w:r>
          </w:p>
        </w:tc>
        <w:tc>
          <w:tcPr>
            <w:tcW w:w="889"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USD'000</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6" w:type="dxa"/>
            <w:tcBorders/>
            <w:shd w:fill="FFFFFF" w:val="clear"/>
            <w:vAlign w:val="center"/>
          </w:tcPr>
          <w:p>
            <w:pPr>
              <w:pStyle w:val="TableContents"/>
              <w:bidi w:val="0"/>
              <w:spacing w:before="0" w:after="283"/>
              <w:jc w:val="center"/>
              <w:rPr/>
            </w:pPr>
            <w:r>
              <w:rPr/>
              <w:t> </w:t>
            </w:r>
          </w:p>
        </w:tc>
        <w:tc>
          <w:tcPr>
            <w:tcW w:w="942"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RMB'000</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978"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RMB'000</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9" w:type="dxa"/>
            <w:tcBorders/>
            <w:shd w:fill="FFFFFF" w:val="clear"/>
            <w:vAlign w:val="center"/>
          </w:tcPr>
          <w:p>
            <w:pPr>
              <w:pStyle w:val="TableContents"/>
              <w:bidi w:val="0"/>
              <w:spacing w:before="0" w:after="283"/>
              <w:jc w:val="center"/>
              <w:rPr/>
            </w:pPr>
            <w:r>
              <w:rPr/>
              <w:t> </w:t>
            </w:r>
          </w:p>
        </w:tc>
        <w:tc>
          <w:tcPr>
            <w:tcW w:w="889"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USD'000</w:t>
            </w:r>
          </w:p>
        </w:tc>
        <w:tc>
          <w:tcPr>
            <w:tcW w:w="103" w:type="dxa"/>
            <w:tcBorders/>
            <w:shd w:fill="FFFFFF" w:val="clear"/>
            <w:vAlign w:val="center"/>
          </w:tcPr>
          <w:p>
            <w:pPr>
              <w:pStyle w:val="TableContents"/>
              <w:bidi w:val="0"/>
              <w:spacing w:before="0" w:after="283"/>
              <w:jc w:val="center"/>
              <w:rPr/>
            </w:pPr>
            <w:r>
              <w:rPr/>
              <w:t> </w:t>
            </w:r>
          </w:p>
        </w:tc>
      </w:tr>
      <w:tr>
        <w:trPr/>
        <w:tc>
          <w:tcPr>
            <w:tcW w:w="33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1,697,904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1,519,657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3,974,699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4,017,426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592,095</w:t>
            </w:r>
          </w:p>
        </w:tc>
        <w:tc>
          <w:tcPr>
            <w:tcW w:w="103" w:type="dxa"/>
            <w:tcBorders/>
            <w:shd w:fill="CCEEFF" w:val="clear"/>
            <w:vAlign w:val="center"/>
          </w:tcPr>
          <w:p>
            <w:pPr>
              <w:pStyle w:val="TableContents"/>
              <w:bidi w:val="0"/>
              <w:spacing w:before="0" w:after="283"/>
              <w:jc w:val="left"/>
              <w:rPr/>
            </w:pPr>
            <w:r>
              <w:rPr/>
              <w:t> </w:t>
            </w:r>
          </w:p>
        </w:tc>
      </w:tr>
      <w:tr>
        <w:trPr/>
        <w:tc>
          <w:tcPr>
            <w:tcW w:w="33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697,851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486,514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71,704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1,048,453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707,160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104,222</w:t>
            </w:r>
          </w:p>
        </w:tc>
        <w:tc>
          <w:tcPr>
            <w:tcW w:w="103" w:type="dxa"/>
            <w:tcBorders/>
            <w:shd w:fill="FFFFFF" w:val="clear"/>
            <w:vAlign w:val="center"/>
          </w:tcPr>
          <w:p>
            <w:pPr>
              <w:pStyle w:val="TableContents"/>
              <w:bidi w:val="0"/>
              <w:spacing w:before="0" w:after="283"/>
              <w:jc w:val="left"/>
              <w:rPr/>
            </w:pPr>
            <w:r>
              <w:rPr/>
              <w:t> </w:t>
            </w:r>
          </w:p>
        </w:tc>
      </w:tr>
      <w:tr>
        <w:trPr/>
        <w:tc>
          <w:tcPr>
            <w:tcW w:w="33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income from operations</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2,395,755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2,006,171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295,674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5,023,152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4,724,586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696,317</w:t>
            </w:r>
          </w:p>
        </w:tc>
        <w:tc>
          <w:tcPr>
            <w:tcW w:w="103" w:type="dxa"/>
            <w:tcBorders/>
            <w:shd w:fill="CCEEFF" w:val="clear"/>
            <w:vAlign w:val="center"/>
          </w:tcPr>
          <w:p>
            <w:pPr>
              <w:pStyle w:val="TableContents"/>
              <w:bidi w:val="0"/>
              <w:spacing w:before="0" w:after="283"/>
              <w:jc w:val="left"/>
              <w:rPr/>
            </w:pPr>
            <w:r>
              <w:rPr/>
              <w:t> </w:t>
            </w:r>
          </w:p>
        </w:tc>
      </w:tr>
      <w:tr>
        <w:trPr/>
        <w:tc>
          <w:tcPr>
            <w:tcW w:w="3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33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attributable to Vipshop's shareholders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1,489,749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4,306,193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634,656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3,432,594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6,512,500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959,823</w:t>
            </w:r>
          </w:p>
        </w:tc>
        <w:tc>
          <w:tcPr>
            <w:tcW w:w="103" w:type="dxa"/>
            <w:tcBorders/>
            <w:shd w:fill="CCEEFF" w:val="clear"/>
            <w:vAlign w:val="center"/>
          </w:tcPr>
          <w:p>
            <w:pPr>
              <w:pStyle w:val="TableContents"/>
              <w:bidi w:val="0"/>
              <w:spacing w:before="0" w:after="283"/>
              <w:jc w:val="left"/>
              <w:rPr/>
            </w:pPr>
            <w:r>
              <w:rPr/>
              <w:t> </w:t>
            </w:r>
          </w:p>
        </w:tc>
      </w:tr>
      <w:tr>
        <w:trPr/>
        <w:tc>
          <w:tcPr>
            <w:tcW w:w="33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697,851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486,514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71,704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1,048,453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707,160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104,222</w:t>
            </w:r>
          </w:p>
        </w:tc>
        <w:tc>
          <w:tcPr>
            <w:tcW w:w="103" w:type="dxa"/>
            <w:tcBorders/>
            <w:shd w:fill="FFFFFF" w:val="clear"/>
            <w:vAlign w:val="center"/>
          </w:tcPr>
          <w:p>
            <w:pPr>
              <w:pStyle w:val="TableContents"/>
              <w:bidi w:val="0"/>
              <w:spacing w:before="0" w:after="283"/>
              <w:jc w:val="left"/>
              <w:rPr/>
            </w:pPr>
            <w:r>
              <w:rPr/>
              <w:t> </w:t>
            </w:r>
          </w:p>
        </w:tc>
      </w:tr>
      <w:tr>
        <w:trPr/>
        <w:tc>
          <w:tcPr>
            <w:tcW w:w="33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Impairment loss of investments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3,499</w:t>
            </w:r>
          </w:p>
        </w:tc>
        <w:tc>
          <w:tcPr>
            <w:tcW w:w="103" w:type="dxa"/>
            <w:tcBorders/>
            <w:shd w:fill="CCEEFF" w:val="clear"/>
            <w:vAlign w:val="center"/>
          </w:tcPr>
          <w:p>
            <w:pPr>
              <w:pStyle w:val="TableContents"/>
              <w:bidi w:val="0"/>
              <w:spacing w:before="0" w:after="283"/>
              <w:jc w:val="left"/>
              <w:rPr/>
            </w:pPr>
            <w:r>
              <w:rPr/>
              <w:t> </w:t>
            </w:r>
          </w:p>
        </w:tc>
      </w:tr>
      <w:tr>
        <w:trPr/>
        <w:tc>
          <w:tcPr>
            <w:tcW w:w="33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(gain) loss and revaluation of investments excluding dividends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(5,780,744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(851,976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(5,831,927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(859,520</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Reconciling items on the share of equity method investments(5)</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(75,267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(113,629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(16,747</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effects on non-GAAP adjustments</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(97,308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1,431,779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211,018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(119,891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1,399,993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206,333</w:t>
            </w:r>
          </w:p>
        </w:tc>
        <w:tc>
          <w:tcPr>
            <w:tcW w:w="103" w:type="dxa"/>
            <w:tcBorders/>
            <w:shd w:fill="FFFFFF" w:val="clear"/>
            <w:vAlign w:val="center"/>
          </w:tcPr>
          <w:p>
            <w:pPr>
              <w:pStyle w:val="TableContents"/>
              <w:bidi w:val="0"/>
              <w:spacing w:before="0" w:after="283"/>
              <w:jc w:val="left"/>
              <w:rPr/>
            </w:pPr>
            <w:r>
              <w:rPr/>
              <w:t> </w:t>
            </w:r>
          </w:p>
        </w:tc>
      </w:tr>
      <w:tr>
        <w:trPr/>
        <w:tc>
          <w:tcPr>
            <w:tcW w:w="33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net income attributable to Vipshop's shareholders</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2,077,218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392,213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57,808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4,385,602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2,697,835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397,610</w:t>
            </w:r>
          </w:p>
        </w:tc>
        <w:tc>
          <w:tcPr>
            <w:tcW w:w="10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(5) To exclude the GAAP to non-GAAP reconciling items relating to investment gain and revaluation of investments on the share of equity method investments.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0"/>
        <w:gridCol w:w="60"/>
        <w:gridCol w:w="60"/>
        <w:gridCol w:w="1055"/>
        <w:gridCol w:w="60"/>
        <w:gridCol w:w="60"/>
        <w:gridCol w:w="60"/>
        <w:gridCol w:w="950"/>
        <w:gridCol w:w="60"/>
        <w:gridCol w:w="60"/>
        <w:gridCol w:w="60"/>
        <w:gridCol w:w="950"/>
        <w:gridCol w:w="60"/>
        <w:gridCol w:w="60"/>
        <w:gridCol w:w="60"/>
        <w:gridCol w:w="1055"/>
        <w:gridCol w:w="60"/>
        <w:gridCol w:w="60"/>
        <w:gridCol w:w="60"/>
        <w:gridCol w:w="950"/>
        <w:gridCol w:w="60"/>
        <w:gridCol w:w="60"/>
        <w:gridCol w:w="60"/>
        <w:gridCol w:w="950"/>
        <w:gridCol w:w="75"/>
      </w:tblGrid>
      <w:tr>
        <w:trPr/>
        <w:tc>
          <w:tcPr>
            <w:tcW w:w="3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used in calculating earnings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number of Class A and Class B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w:t>
            </w: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101,229,148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96,241,715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96,241,715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101,951,703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96,134,860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96,134,860</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w:t>
            </w: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102,353,164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97,619,760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97,619,760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103,374,279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98,133,799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98,133,799</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net income per Class A and Class B ordinary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net income attributable to Vipshop's shareholders——Basic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4.14</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net income attributable to Vipshop's shareholders——Diluted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net income per ADS (1 ordinary share equal to 5 ADSs)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net income attributable to Vipshop's shareholders——Basic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0.83</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net income attributable to Vipshop's shareholders——Diluted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5102</Words>
  <Characters>30019</Characters>
  <CharactersWithSpaces>36379</CharactersWithSpaces>
  <Paragraphs>2912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