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ind w:left="4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0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080"/>
        <w:spacing w:after="0"/>
        <w:rPr>
          <w:sz w:val="20"/>
          <w:szCs w:val="20"/>
          <w:color w:val="auto"/>
        </w:rPr>
      </w:pPr>
      <w:r>
        <w:rPr>
          <w:rFonts w:ascii="Arial" w:cs="Arial" w:eastAsia="Arial" w:hAnsi="Arial"/>
          <w:sz w:val="43"/>
          <w:szCs w:val="43"/>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Vipshop Headquarters, 128 Dingxin Road</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Haizhu District, Guangzhou 510220</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760" w:type="dxa"/>
            <w:vAlign w:val="bottom"/>
            <w:gridSpan w:val="3"/>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760" w:type="dxa"/>
            <w:vAlign w:val="bottom"/>
            <w:gridSpan w:val="3"/>
          </w:tcPr>
          <w:p>
            <w:pPr>
              <w:ind w:left="51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76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 Vipshop Reports Unaudited Second Quarter 2023 Financial Results</w:t>
            </w:r>
          </w:p>
        </w:tc>
      </w:tr>
    </w:tbl>
    <w:p>
      <w:pPr>
        <w:ind w:left="74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Vipshop Holdings Limited</w:t>
      </w:r>
    </w:p>
    <w:p>
      <w:pPr>
        <w:spacing w:after="0" w:line="225"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Mark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14605</wp:posOffset>
            </wp:positionV>
            <wp:extent cx="236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 Mark Wang</w:t>
      </w:r>
    </w:p>
    <w:p>
      <w:pPr>
        <w:spacing w:after="0" w:line="23"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2023</w:t>
      </w:r>
    </w:p>
    <w:p>
      <w:pPr>
        <w:sectPr>
          <w:pgSz w:w="11900" w:h="16838" w:orient="portrait"/>
          <w:cols w:equalWidth="0" w:num="1">
            <w:col w:w="10700"/>
          </w:cols>
          <w:pgMar w:left="440" w:top="274"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77152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Vipshop Reports Unaudited Second Quarter 2023 Financial Results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Conference Call to Be Held at 7:30 A.M. U.S. Eastern Time on August 18, 2023</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Guangzhou, China, August 18, 2023 — Vipshop Holdings Limited (NYSE: VIPS), a leading online discount retailer for brands in China (“Vipshop” or the “Company”), today announced its unaudited financial results for the quarter ended June 30, 2023.</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Quarter 2023 Highlights</w:t>
      </w:r>
    </w:p>
    <w:p>
      <w:pPr>
        <w:spacing w:after="0" w:line="131" w:lineRule="exact"/>
        <w:rPr>
          <w:sz w:val="20"/>
          <w:szCs w:val="20"/>
          <w:color w:val="auto"/>
        </w:rPr>
      </w:pPr>
    </w:p>
    <w:p>
      <w:pPr>
        <w:ind w:left="964" w:right="820" w:hanging="424"/>
        <w:spacing w:after="0" w:line="282"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for the second quarter of 2023 increased by 13.6% year over year to RMB27.9 billion (US$3.8 billion)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RMB24.5 billion in the prior year period.</w:t>
      </w:r>
    </w:p>
    <w:p>
      <w:pPr>
        <w:spacing w:after="0" w:line="67" w:lineRule="exact"/>
        <w:rPr>
          <w:rFonts w:ascii="Arial" w:cs="Arial" w:eastAsia="Arial" w:hAnsi="Arial"/>
          <w:sz w:val="18"/>
          <w:szCs w:val="18"/>
          <w:color w:val="auto"/>
        </w:rPr>
      </w:pPr>
    </w:p>
    <w:p>
      <w:pPr>
        <w:ind w:left="964" w:right="460" w:hanging="424"/>
        <w:spacing w:after="0" w:line="213"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GMV</w:t>
      </w:r>
      <w:r>
        <w:rPr>
          <w:rFonts w:ascii="Arial" w:cs="Arial" w:eastAsia="Arial" w:hAnsi="Arial"/>
          <w:sz w:val="26"/>
          <w:szCs w:val="26"/>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2023 increased by 24.5% year over year to RMB50.6 billion from RMB40.6 billion in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04" w:lineRule="exact"/>
        <w:rPr>
          <w:rFonts w:ascii="Arial" w:cs="Arial" w:eastAsia="Arial" w:hAnsi="Arial"/>
          <w:sz w:val="18"/>
          <w:szCs w:val="18"/>
          <w:color w:val="auto"/>
        </w:rPr>
      </w:pPr>
    </w:p>
    <w:p>
      <w:pPr>
        <w:ind w:left="964" w:right="1160" w:hanging="424"/>
        <w:spacing w:after="0" w:line="282"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second quarter of 2023 increased by 23.4% year over year to RMB6.2 billion (US$855.3 million)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RMB5.0 billion in the prior year period.</w:t>
      </w:r>
    </w:p>
    <w:p>
      <w:pPr>
        <w:spacing w:after="0" w:line="67" w:lineRule="exact"/>
        <w:rPr>
          <w:rFonts w:ascii="Arial" w:cs="Arial" w:eastAsia="Arial" w:hAnsi="Arial"/>
          <w:sz w:val="18"/>
          <w:szCs w:val="18"/>
          <w:color w:val="auto"/>
        </w:rPr>
      </w:pPr>
    </w:p>
    <w:p>
      <w:pPr>
        <w:ind w:left="964" w:right="80" w:hanging="424"/>
        <w:spacing w:after="0" w:line="282"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Vipshop’s shareholders </w:t>
      </w:r>
      <w:r>
        <w:rPr>
          <w:rFonts w:ascii="Arial" w:cs="Arial" w:eastAsia="Arial" w:hAnsi="Arial"/>
          <w:sz w:val="18"/>
          <w:szCs w:val="18"/>
          <w:color w:val="auto"/>
        </w:rPr>
        <w:t>for the second quarter of 2023 increased by 63.5% year over year to RMB2.1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(US$289.3 million) from RMB1.3 billion in the prior year period.</w:t>
      </w:r>
    </w:p>
    <w:p>
      <w:pPr>
        <w:spacing w:after="0" w:line="67" w:lineRule="exact"/>
        <w:rPr>
          <w:rFonts w:ascii="Arial" w:cs="Arial" w:eastAsia="Arial" w:hAnsi="Arial"/>
          <w:sz w:val="18"/>
          <w:szCs w:val="18"/>
          <w:color w:val="auto"/>
        </w:rPr>
      </w:pPr>
    </w:p>
    <w:p>
      <w:pPr>
        <w:ind w:left="964" w:right="280" w:hanging="424"/>
        <w:spacing w:after="0" w:line="213"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Non-GAAP net income attributable to Vipshop’s shareholders</w:t>
      </w:r>
      <w:r>
        <w:rPr>
          <w:rFonts w:ascii="Arial" w:cs="Arial" w:eastAsia="Arial" w:hAnsi="Arial"/>
          <w:sz w:val="26"/>
          <w:szCs w:val="26"/>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2023 increased by 50.8% year over year to</w:t>
      </w:r>
      <w:r>
        <w:rPr>
          <w:rFonts w:ascii="Arial" w:cs="Arial" w:eastAsia="Arial" w:hAnsi="Arial"/>
          <w:sz w:val="18"/>
          <w:szCs w:val="18"/>
          <w:b w:val="1"/>
          <w:bCs w:val="1"/>
          <w:color w:val="auto"/>
        </w:rPr>
        <w:t xml:space="preserve"> </w:t>
      </w:r>
      <w:r>
        <w:rPr>
          <w:rFonts w:ascii="Arial" w:cs="Arial" w:eastAsia="Arial" w:hAnsi="Arial"/>
          <w:sz w:val="18"/>
          <w:szCs w:val="18"/>
          <w:color w:val="auto"/>
        </w:rPr>
        <w:t>RMB2.4 billion (US$331.2 million) from RMB1.6 billion in the prior year period.</w:t>
      </w:r>
    </w:p>
    <w:p>
      <w:pPr>
        <w:spacing w:after="0" w:line="104" w:lineRule="exact"/>
        <w:rPr>
          <w:rFonts w:ascii="Arial" w:cs="Arial" w:eastAsia="Arial" w:hAnsi="Arial"/>
          <w:sz w:val="18"/>
          <w:szCs w:val="18"/>
          <w:color w:val="auto"/>
        </w:rPr>
      </w:pPr>
    </w:p>
    <w:p>
      <w:pPr>
        <w:ind w:left="964" w:right="240" w:hanging="424"/>
        <w:spacing w:after="0" w:line="213"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The number of active customers</w:t>
      </w:r>
      <w:r>
        <w:rPr>
          <w:rFonts w:ascii="Arial" w:cs="Arial" w:eastAsia="Arial" w:hAnsi="Arial"/>
          <w:sz w:val="26"/>
          <w:szCs w:val="26"/>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2023 increased by 9.6% year over year to 45.7 million from 41.7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period.</w:t>
      </w:r>
    </w:p>
    <w:p>
      <w:pPr>
        <w:spacing w:after="0" w:line="104" w:lineRule="exact"/>
        <w:rPr>
          <w:rFonts w:ascii="Arial" w:cs="Arial" w:eastAsia="Arial" w:hAnsi="Arial"/>
          <w:sz w:val="18"/>
          <w:szCs w:val="18"/>
          <w:color w:val="auto"/>
        </w:rPr>
      </w:pPr>
    </w:p>
    <w:p>
      <w:pPr>
        <w:ind w:left="964" w:right="480" w:hanging="424"/>
        <w:spacing w:after="0" w:line="213"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Total orders</w:t>
      </w:r>
      <w:r>
        <w:rPr>
          <w:rFonts w:ascii="Arial" w:cs="Arial" w:eastAsia="Arial" w:hAnsi="Arial"/>
          <w:sz w:val="26"/>
          <w:szCs w:val="26"/>
          <w:color w:val="auto"/>
          <w:vertAlign w:val="superscript"/>
        </w:rPr>
        <w:t>4</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2023 increased by 14.7% year over year to 213.8 million from 186.3 million in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75" w:lineRule="exact"/>
        <w:rPr>
          <w:rFonts w:ascii="Arial" w:cs="Arial" w:eastAsia="Arial" w:hAnsi="Arial"/>
          <w:sz w:val="18"/>
          <w:szCs w:val="18"/>
          <w:color w:val="auto"/>
        </w:rPr>
      </w:pPr>
    </w:p>
    <w:p>
      <w:pPr>
        <w:ind w:left="424" w:right="60" w:hanging="432"/>
        <w:spacing w:after="0" w:line="284"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“Gross merchandise value (GMV)” is defined as the total Renminbi value of all products and services sold through the Company’s online sales business, online marketplace platform, Shan Shan Outlets, and other offline stores during the relevant period, including through the Company’s websites and mobile apps, third-party websites and mobile apps, Shan Shan Outlets, and other offline stores, which were fulfilled by either the Company or its third-party merchants, regardless of whether or not the goods were delivered or returned. GMV includes shipping charges paid by buyers to sellers. For prudent considerations, the Company does not consider products or services to be sold if the relevant orders were placed and canceled pre-shipment and only included orders that left the Company’s or other third-party vendors’ warehouses.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-845185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180" w:hanging="424"/>
        <w:spacing w:after="0" w:line="225" w:lineRule="auto"/>
        <w:tabs>
          <w:tab w:leader="none" w:pos="424" w:val="left"/>
        </w:tabs>
        <w:numPr>
          <w:ilvl w:val="0"/>
          <w:numId w:val="2"/>
        </w:numPr>
        <w:rPr>
          <w:rFonts w:ascii="Arial" w:cs="Arial" w:eastAsia="Arial" w:hAnsi="Arial"/>
          <w:sz w:val="24"/>
          <w:szCs w:val="24"/>
          <w:color w:val="auto"/>
          <w:vertAlign w:val="superscript"/>
        </w:rPr>
      </w:pPr>
      <w:r>
        <w:rPr>
          <w:rFonts w:ascii="Arial" w:cs="Arial" w:eastAsia="Arial" w:hAnsi="Arial"/>
          <w:sz w:val="16"/>
          <w:szCs w:val="16"/>
          <w:color w:val="auto"/>
        </w:rPr>
        <w:t>Non-GAAP net income attributable to Vipshop’s shareholders is a non-GAAP financial measure, which, for the periods presented in this press release, is defined as net income attributable to Vipshop’s shareholders excluding (i) share-based compensation expenses, (ii) impairment loss of</w:t>
      </w:r>
    </w:p>
    <w:p>
      <w:pPr>
        <w:spacing w:after="0" w:line="1" w:lineRule="exact"/>
        <w:rPr>
          <w:sz w:val="20"/>
          <w:szCs w:val="20"/>
          <w:color w:val="auto"/>
        </w:rPr>
      </w:pPr>
    </w:p>
    <w:p>
      <w:pPr>
        <w:ind w:left="424" w:right="160"/>
        <w:spacing w:after="0" w:line="250" w:lineRule="auto"/>
        <w:rPr>
          <w:sz w:val="20"/>
          <w:szCs w:val="20"/>
          <w:color w:val="auto"/>
        </w:rPr>
      </w:pPr>
      <w:r>
        <w:rPr>
          <w:rFonts w:ascii="Arial" w:cs="Arial" w:eastAsia="Arial" w:hAnsi="Arial"/>
          <w:sz w:val="18"/>
          <w:szCs w:val="18"/>
          <w:color w:val="auto"/>
        </w:rPr>
        <w:t>investments, (iii) investment loss (gain) and revaluation of investments excluding dividends, (iv) reconciling items on the share of equity method investments, and (v) tax effects on non-GAAP adjustments.</w:t>
      </w:r>
    </w:p>
    <w:p>
      <w:pPr>
        <w:spacing w:after="0" w:line="1" w:lineRule="exact"/>
        <w:rPr>
          <w:sz w:val="20"/>
          <w:szCs w:val="20"/>
          <w:color w:val="auto"/>
        </w:rPr>
      </w:pPr>
    </w:p>
    <w:p>
      <w:pPr>
        <w:ind w:left="424" w:right="380" w:hanging="424"/>
        <w:spacing w:after="0" w:line="200" w:lineRule="auto"/>
        <w:tabs>
          <w:tab w:leader="none" w:pos="4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“Active customers” is defined as registered members who have purchased from the Company’s online sales business or the Company’s online marketplace platforms at least once during the relevant period.</w:t>
      </w:r>
    </w:p>
    <w:p>
      <w:pPr>
        <w:spacing w:after="0" w:line="1" w:lineRule="exact"/>
        <w:rPr>
          <w:sz w:val="20"/>
          <w:szCs w:val="20"/>
          <w:color w:val="auto"/>
        </w:rPr>
      </w:pPr>
    </w:p>
    <w:p>
      <w:pPr>
        <w:ind w:left="424" w:right="40" w:hanging="424"/>
        <w:spacing w:after="0" w:line="214" w:lineRule="auto"/>
        <w:tabs>
          <w:tab w:leader="none" w:pos="42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“Total orders” is defined as the total number of orders placed during the relevant period, including the orders for products and services sold through the Company’s online sales business and the Company’s online marketplace platforms (excluding, for the avoidance of doubt, orders from the Company’s offline stores and outlets), net of orders returned.</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7152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Mr. Eric Shen, Chairman and Chief Executive Officer of Vipshop, stated, “We had a strong second quarter driven by our well-executed merchandising strategy. During the quarter, our team was able to secure much more quality supply from core brands, which fueled the broad-based strength in apparel-related categories. Customers also showed stronger preference for us as they constantly seek value for money, led by robust momentum in our Super VIP members. With our clear-cut value proposition in discount retail, we are well positioned to capture the opportunity to further gain mindshare among consumers, making Vipshop the first go-to online shopping platform for apparel. To that end, we are building out our capabilities to offer a rich and diverse selection of great value, as well as reassuring customer service and experience. We are convinced that our unique business model will support us for the long-term growth.”</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Mark Wang, Chief Financial Officer of Vipshop, further commented, “In the second quarter, we achieved strong top-line growth with profitability beyond expectations. Our commitment to discipline in day-to-day execution helped drive quality growth and greater efficiency, leading to strong margin expansion across the board. Furthermore, we continued to unlock value for shareholders through the existing US$1 billion share repurchase program, with US$348.5 million of our ADSs repurchased during the quarter. Looking forward, we are confident that we will maintain quality and healthy growth in both top line and bottom 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Total net revenues for the second quarter of 2023 increased by 13.6% year over year to RMB27.9 billion (US$3.8 billion) from RMB24.5 billion in the prior year period, primarily attributable to the growth in active customers and spending driven by the recovery in consumption of discretionary categories.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Gross profit for the second quarter of 2023 increased by 23.4% year over year to RMB6.2 billion (US$855.3 million) from RMB5.0 billion in the prior year period. Gross margin for the second quarter of 2023 increased to 22.2% from 20.5% in the prior year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Total operating expenses for the second quarter of 2023 increased by 13.7% year over year to RMB4.5 billion (US$617.8 million) from RMB3.9 billion in the prior year period. As a percentage of total net revenues, total operating expenses for the second quarter of 2023 was 16.1%, which stayed flat as compared with the prior year period.</w:t>
      </w:r>
    </w:p>
    <w:p>
      <w:pPr>
        <w:spacing w:after="0" w:line="89" w:lineRule="exact"/>
        <w:rPr>
          <w:sz w:val="20"/>
          <w:szCs w:val="20"/>
          <w:color w:val="auto"/>
        </w:rPr>
      </w:pPr>
    </w:p>
    <w:p>
      <w:pPr>
        <w:ind w:left="960" w:right="34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Fulfillment expenses </w:t>
      </w:r>
      <w:r>
        <w:rPr>
          <w:rFonts w:ascii="Arial" w:cs="Arial" w:eastAsia="Arial" w:hAnsi="Arial"/>
          <w:sz w:val="18"/>
          <w:szCs w:val="18"/>
          <w:color w:val="auto"/>
        </w:rPr>
        <w:t>for the second quarter of 2023 increased by 22.8% year over year to RMB2.2 billion (US$300.8 million)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RMB1.8 billion in the prior year period. As a percentage of total net revenues, fulfillment expenses for the second quarter of 2023 was 7.8%, as compared with 7.2% in the prior year period.</w:t>
      </w:r>
    </w:p>
    <w:p>
      <w:pPr>
        <w:spacing w:after="0" w:line="89"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expenses </w:t>
      </w:r>
      <w:r>
        <w:rPr>
          <w:rFonts w:ascii="Arial" w:cs="Arial" w:eastAsia="Arial" w:hAnsi="Arial"/>
          <w:sz w:val="18"/>
          <w:szCs w:val="18"/>
          <w:color w:val="auto"/>
        </w:rPr>
        <w:t>for the second quarter of 2023 increased by 60.6% year over year to RMB892.5 million (US$123.1 million)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RMB555.6 million in the prior year period. As a percentage of total net revenues, marketing expenses for the second quarter of 2023 was 3.2%, as compared with 2.3% in the prior year period.</w:t>
      </w:r>
    </w:p>
    <w:p>
      <w:pPr>
        <w:spacing w:after="0" w:line="89"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and content expenses </w:t>
      </w:r>
      <w:r>
        <w:rPr>
          <w:rFonts w:ascii="Arial" w:cs="Arial" w:eastAsia="Arial" w:hAnsi="Arial"/>
          <w:sz w:val="18"/>
          <w:szCs w:val="18"/>
          <w:color w:val="auto"/>
        </w:rPr>
        <w:t>for the second quarter of 2023 increased by 7.6% year over year to RMB443.0 million (US$61.1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from RMB411.8 million in the prior year period. As a percentage of total net revenues, technology and content expenses for the second quarter of 2023 decreased to 1.6% from 1.7% in the prior year period.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043" w:right="459" w:bottom="1440" w:gutter="0" w:footer="0" w:header="0"/>
        </w:sectPr>
      </w:pPr>
    </w:p>
    <w:bookmarkStart w:id="5" w:name="page6"/>
    <w:bookmarkEnd w:id="5"/>
    <w:p>
      <w:pPr>
        <w:ind w:left="964" w:right="80" w:hanging="424"/>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7152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 xml:space="preserve">General and administrative expenses </w:t>
      </w:r>
      <w:r>
        <w:rPr>
          <w:rFonts w:ascii="Arial" w:cs="Arial" w:eastAsia="Arial" w:hAnsi="Arial"/>
          <w:sz w:val="18"/>
          <w:szCs w:val="18"/>
          <w:color w:val="auto"/>
        </w:rPr>
        <w:t>for the second quarter of 2023 decreased by 19.4% year over year to RMB963.1 million (US$132.8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from RMB1.2 billion in the prior year period. As a percentage of total net revenues, general and administrative expenses for the second quarter of 2023 decreased to 3.5% from 4.9% in the prior year period.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ind w:left="4" w:right="120"/>
        <w:spacing w:after="0" w:line="308" w:lineRule="auto"/>
        <w:rPr>
          <w:sz w:val="20"/>
          <w:szCs w:val="20"/>
          <w:color w:val="auto"/>
        </w:rPr>
      </w:pPr>
      <w:r>
        <w:rPr>
          <w:rFonts w:ascii="Arial" w:cs="Arial" w:eastAsia="Arial" w:hAnsi="Arial"/>
          <w:sz w:val="17"/>
          <w:szCs w:val="17"/>
          <w:color w:val="auto"/>
        </w:rPr>
        <w:t>Income from operations for the second quarter of 2023 increased by 51.1% year over year to RMB1.9 billion (US$264.3 million) from RMB1.3 billion in the prior year period. Operating margin for the second quarter of 2023 increased to 6.9% from 5.2% in the prior year period.</w:t>
      </w:r>
    </w:p>
    <w:p>
      <w:pPr>
        <w:spacing w:after="0" w:line="146" w:lineRule="exact"/>
        <w:rPr>
          <w:sz w:val="20"/>
          <w:szCs w:val="20"/>
          <w:color w:val="auto"/>
        </w:rPr>
      </w:pPr>
    </w:p>
    <w:p>
      <w:pPr>
        <w:jc w:val="both"/>
        <w:ind w:left="4" w:right="20"/>
        <w:spacing w:after="0" w:line="197" w:lineRule="auto"/>
        <w:rPr>
          <w:sz w:val="20"/>
          <w:szCs w:val="20"/>
          <w:color w:val="auto"/>
        </w:rPr>
      </w:pPr>
      <w:r>
        <w:rPr>
          <w:rFonts w:ascii="Arial" w:cs="Arial" w:eastAsia="Arial" w:hAnsi="Arial"/>
          <w:sz w:val="18"/>
          <w:szCs w:val="18"/>
          <w:color w:val="auto"/>
        </w:rPr>
        <w:t>Non-GAAP income from operations</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for the second quarter of 2023, which excluded share-based compensation expenses, increased by 48.2% year over year to RMB2.3 billion (US$316.9 million) from RMB1.6 billion in the prior year period. Non-GAAP operating margin</w:t>
      </w:r>
      <w:r>
        <w:rPr>
          <w:rFonts w:ascii="Arial" w:cs="Arial" w:eastAsia="Arial" w:hAnsi="Arial"/>
          <w:sz w:val="26"/>
          <w:szCs w:val="26"/>
          <w:color w:val="auto"/>
          <w:vertAlign w:val="superscript"/>
        </w:rPr>
        <w:t>6</w:t>
      </w:r>
      <w:r>
        <w:rPr>
          <w:rFonts w:ascii="Arial" w:cs="Arial" w:eastAsia="Arial" w:hAnsi="Arial"/>
          <w:sz w:val="18"/>
          <w:szCs w:val="18"/>
          <w:color w:val="auto"/>
        </w:rPr>
        <w:t xml:space="preserve"> for the second quarter of 2023 increased to 8.2% from 6.3% in the prior year period.</w:t>
      </w:r>
    </w:p>
    <w:p>
      <w:pPr>
        <w:spacing w:after="0" w:line="31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left="4" w:right="340"/>
        <w:spacing w:after="0" w:line="291" w:lineRule="auto"/>
        <w:rPr>
          <w:sz w:val="20"/>
          <w:szCs w:val="20"/>
          <w:color w:val="auto"/>
        </w:rPr>
      </w:pPr>
      <w:r>
        <w:rPr>
          <w:rFonts w:ascii="Arial" w:cs="Arial" w:eastAsia="Arial" w:hAnsi="Arial"/>
          <w:sz w:val="16"/>
          <w:szCs w:val="16"/>
          <w:color w:val="auto"/>
        </w:rPr>
        <w:t>Net income attributable to Vipshop’s shareholders for the second quarter of 2023 increased by 63.5% year over year to RMB2.1 billion (US$289.3 million) from RMB1.3 billion in the prior year period. Net margin attributable to Vipshop’s shareholders for the second quarter of 2023 increased to</w:t>
      </w:r>
    </w:p>
    <w:p>
      <w:pPr>
        <w:ind w:left="4"/>
        <w:spacing w:after="0" w:line="204" w:lineRule="auto"/>
        <w:rPr>
          <w:sz w:val="20"/>
          <w:szCs w:val="20"/>
          <w:color w:val="auto"/>
        </w:rPr>
      </w:pPr>
      <w:r>
        <w:rPr>
          <w:rFonts w:ascii="Arial" w:cs="Arial" w:eastAsia="Arial" w:hAnsi="Arial"/>
          <w:sz w:val="18"/>
          <w:szCs w:val="18"/>
          <w:color w:val="auto"/>
        </w:rPr>
        <w:t>7.5% from 5.2% in the prior year period. Net income attributable to Vipshop’s shareholders per diluted ADS</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for the second quarter of 2023 increased to RMB3.75 (US$0.52) from RMB1.97 in the prior year period.</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Non-GAAP net income attributable to Vipshop’s shareholders for the second quarter of 2023, which excluded (i) share-based compensation expenses,</w:t>
      </w:r>
    </w:p>
    <w:p>
      <w:pPr>
        <w:spacing w:after="0" w:line="46" w:lineRule="exact"/>
        <w:rPr>
          <w:sz w:val="20"/>
          <w:szCs w:val="20"/>
          <w:color w:val="auto"/>
        </w:rPr>
      </w:pPr>
    </w:p>
    <w:p>
      <w:pPr>
        <w:ind w:left="4" w:right="40" w:hanging="4"/>
        <w:spacing w:after="0" w:line="212"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loss of investments, (iii) investment loss (gain) and revaluation of investments excluding dividends, (iv) reconciling items on the share of equity method investments, and (v) tax effects on non-GAAP adjustments, increased by 50.8% year over year to RMB2.4 billion (US$331.2 million) from RMB1.6 billion in the prior year period. Non-GAAP net margin attributable to Vipshop’s shareholders</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for the second quarter of 2023 increased to 8.6% from 6.5% in the prior year period. Non-GAAP net income attributable to Vipshop’s shareholders per diluted ADS</w:t>
      </w:r>
      <w:r>
        <w:rPr>
          <w:rFonts w:ascii="Arial" w:cs="Arial" w:eastAsia="Arial" w:hAnsi="Arial"/>
          <w:sz w:val="26"/>
          <w:szCs w:val="26"/>
          <w:color w:val="auto"/>
          <w:vertAlign w:val="superscript"/>
        </w:rPr>
        <w:t>9</w:t>
      </w:r>
      <w:r>
        <w:rPr>
          <w:rFonts w:ascii="Arial" w:cs="Arial" w:eastAsia="Arial" w:hAnsi="Arial"/>
          <w:sz w:val="18"/>
          <w:szCs w:val="18"/>
          <w:color w:val="auto"/>
        </w:rPr>
        <w:t xml:space="preserve"> for the second quarter of 2023 increased to RMB4.30 (US$0.59) from RMB2.45 in the prior year period.</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quarter ended June 30, 2023, the Company’s weighted average number of ADSs used in computing diluted income per ADS was 559,098,330.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8"/>
        </w:numPr>
        <w:rPr>
          <w:rFonts w:ascii="Arial" w:cs="Arial" w:eastAsia="Arial" w:hAnsi="Arial"/>
          <w:sz w:val="26"/>
          <w:szCs w:val="26"/>
          <w:color w:val="auto"/>
          <w:vertAlign w:val="superscript"/>
        </w:rPr>
      </w:pPr>
      <w:r>
        <w:rPr>
          <w:rFonts w:ascii="Arial" w:cs="Arial" w:eastAsia="Arial" w:hAnsi="Arial"/>
          <w:sz w:val="17"/>
          <w:szCs w:val="17"/>
          <w:color w:val="auto"/>
        </w:rPr>
        <w:t>Non-GAAP income from operations is a non-GAAP financial measure, which is defined as income from operations excluding share-based</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compensation expenses.</w:t>
      </w:r>
    </w:p>
    <w:p>
      <w:pPr>
        <w:spacing w:after="0" w:line="7" w:lineRule="exact"/>
        <w:rPr>
          <w:sz w:val="20"/>
          <w:szCs w:val="20"/>
          <w:color w:val="auto"/>
        </w:rPr>
      </w:pPr>
    </w:p>
    <w:p>
      <w:pPr>
        <w:ind w:left="424" w:right="160" w:hanging="424"/>
        <w:spacing w:after="0" w:line="200" w:lineRule="auto"/>
        <w:tabs>
          <w:tab w:leader="none" w:pos="424"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Non-GAAP operating margin is a non-GAAP financial measure, which is defined as non-GAAP income from operations as a percentage of total net revenues.</w:t>
      </w:r>
    </w:p>
    <w:p>
      <w:pPr>
        <w:ind w:left="424" w:hanging="424"/>
        <w:spacing w:after="0" w:line="180" w:lineRule="auto"/>
        <w:tabs>
          <w:tab w:leader="none" w:pos="424"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“ADS” means American depositary share, each of which represents 0.2 Class A ordinary share.</w:t>
      </w:r>
    </w:p>
    <w:p>
      <w:pPr>
        <w:ind w:left="424" w:hanging="424"/>
        <w:spacing w:after="0" w:line="181" w:lineRule="auto"/>
        <w:tabs>
          <w:tab w:leader="none" w:pos="424" w:val="left"/>
        </w:tabs>
        <w:numPr>
          <w:ilvl w:val="0"/>
          <w:numId w:val="11"/>
        </w:numPr>
        <w:rPr>
          <w:rFonts w:ascii="Arial" w:cs="Arial" w:eastAsia="Arial" w:hAnsi="Arial"/>
          <w:sz w:val="25"/>
          <w:szCs w:val="25"/>
          <w:color w:val="auto"/>
          <w:vertAlign w:val="superscript"/>
        </w:rPr>
      </w:pPr>
      <w:r>
        <w:rPr>
          <w:rFonts w:ascii="Arial" w:cs="Arial" w:eastAsia="Arial" w:hAnsi="Arial"/>
          <w:sz w:val="17"/>
          <w:szCs w:val="17"/>
          <w:color w:val="auto"/>
        </w:rPr>
        <w:t>Non-GAAP net margin attributable to Vipshop’s shareholders is a non-GAAP financial measure, which is defined as non-GAAP net income</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attributable to Vipshop’s shareholders, as a percentage of total net revenues.</w:t>
      </w:r>
    </w:p>
    <w:p>
      <w:pPr>
        <w:spacing w:after="0" w:line="7" w:lineRule="exact"/>
        <w:rPr>
          <w:sz w:val="20"/>
          <w:szCs w:val="20"/>
          <w:color w:val="auto"/>
        </w:rPr>
      </w:pPr>
    </w:p>
    <w:p>
      <w:pPr>
        <w:ind w:left="424" w:right="60" w:hanging="424"/>
        <w:spacing w:after="0" w:line="214" w:lineRule="auto"/>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Non-GAAP net income attributable to Vipshop’s shareholders per diluted ADS is a non-GAAP financial measure, which is defined as non-GAAP net income attributable to Vipshop’s shareholders, divided by the weighted average number of diluted ADSs outstanding for computing diluted earnings per ADS.</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1043"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7152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BALANCE SHEET AND CASH FLOW</w:t>
      </w:r>
    </w:p>
    <w:p>
      <w:pPr>
        <w:spacing w:after="0" w:line="11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As of June 30, 2023, the Company had cash and cash equivalents and restricted cash of RMB18.3 billion (US$2.5 billion) and short term investments of RMB1.5 billion (US$200.2 million).</w:t>
      </w:r>
    </w:p>
    <w:p>
      <w:pPr>
        <w:spacing w:after="0" w:line="170" w:lineRule="exact"/>
        <w:rPr>
          <w:sz w:val="20"/>
          <w:szCs w:val="20"/>
          <w:color w:val="auto"/>
        </w:rPr>
      </w:pPr>
    </w:p>
    <w:p>
      <w:pPr>
        <w:ind w:left="4" w:right="500"/>
        <w:spacing w:after="0" w:line="211" w:lineRule="auto"/>
        <w:rPr>
          <w:sz w:val="20"/>
          <w:szCs w:val="20"/>
          <w:color w:val="auto"/>
        </w:rPr>
      </w:pPr>
      <w:r>
        <w:rPr>
          <w:rFonts w:ascii="Arial" w:cs="Arial" w:eastAsia="Arial" w:hAnsi="Arial"/>
          <w:sz w:val="18"/>
          <w:szCs w:val="18"/>
          <w:color w:val="auto"/>
        </w:rPr>
        <w:t>For the quarter ended June 30, 2023, net cash generated from operating activities was RMB4.1 billion (US$559.0 million), and free cash flow</w:t>
      </w:r>
      <w:r>
        <w:rPr>
          <w:rFonts w:ascii="Arial" w:cs="Arial" w:eastAsia="Arial" w:hAnsi="Arial"/>
          <w:sz w:val="26"/>
          <w:szCs w:val="26"/>
          <w:color w:val="auto"/>
          <w:vertAlign w:val="superscript"/>
        </w:rPr>
        <w:t>10</w:t>
      </w:r>
      <w:r>
        <w:rPr>
          <w:rFonts w:ascii="Arial" w:cs="Arial" w:eastAsia="Arial" w:hAnsi="Arial"/>
          <w:sz w:val="18"/>
          <w:szCs w:val="18"/>
          <w:color w:val="auto"/>
        </w:rPr>
        <w:t>, a non-GAAP measurement of liquidity, was as follows:</w:t>
      </w:r>
    </w:p>
    <w:p>
      <w:pPr>
        <w:sectPr>
          <w:pgSz w:w="11900" w:h="16838" w:orient="portrait"/>
          <w:cols w:equalWidth="0" w:num="1">
            <w:col w:w="11004"/>
          </w:cols>
          <w:pgMar w:left="436" w:top="1043" w:right="459" w:bottom="1440" w:gutter="0" w:footer="0" w:header="0"/>
        </w:sectPr>
      </w:pPr>
    </w:p>
    <w:p>
      <w:pPr>
        <w:spacing w:after="0" w:line="226" w:lineRule="exact"/>
        <w:rPr>
          <w:sz w:val="20"/>
          <w:szCs w:val="20"/>
          <w:color w:val="auto"/>
        </w:rPr>
      </w:pPr>
    </w:p>
    <w:p>
      <w:pPr>
        <w:ind w:left="884"/>
        <w:spacing w:after="0"/>
        <w:rPr>
          <w:sz w:val="20"/>
          <w:szCs w:val="20"/>
          <w:color w:val="auto"/>
        </w:rPr>
      </w:pPr>
      <w:r>
        <w:rPr>
          <w:rFonts w:ascii="Arial" w:cs="Arial" w:eastAsia="Arial" w:hAnsi="Arial"/>
          <w:sz w:val="14"/>
          <w:szCs w:val="14"/>
          <w:color w:val="auto"/>
        </w:rPr>
        <w:t>For the three months ended</w:t>
      </w:r>
    </w:p>
    <w:p>
      <w:pPr>
        <w:spacing w:after="0" w:line="289" w:lineRule="exact"/>
        <w:rPr>
          <w:sz w:val="20"/>
          <w:szCs w:val="20"/>
          <w:color w:val="auto"/>
        </w:rPr>
      </w:pPr>
    </w:p>
    <w:p>
      <w:pPr>
        <w:ind w:left="884"/>
        <w:spacing w:after="0"/>
        <w:rPr>
          <w:sz w:val="20"/>
          <w:szCs w:val="20"/>
          <w:color w:val="auto"/>
        </w:rPr>
      </w:pPr>
      <w:r>
        <w:rPr>
          <w:rFonts w:ascii="Arial" w:cs="Arial" w:eastAsia="Arial" w:hAnsi="Arial"/>
          <w:sz w:val="16"/>
          <w:szCs w:val="16"/>
          <w:color w:val="auto"/>
        </w:rPr>
        <w:t>Net cash generated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-107315</wp:posOffset>
            </wp:positionV>
            <wp:extent cx="587184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26" w:lineRule="exact"/>
        <w:rPr>
          <w:sz w:val="20"/>
          <w:szCs w:val="20"/>
          <w:color w:val="auto"/>
        </w:rPr>
      </w:pPr>
    </w:p>
    <w:p>
      <w:pPr>
        <w:ind w:left="884"/>
        <w:spacing w:after="0"/>
        <w:rPr>
          <w:sz w:val="20"/>
          <w:szCs w:val="20"/>
          <w:color w:val="auto"/>
        </w:rPr>
      </w:pPr>
      <w:r>
        <w:rPr>
          <w:rFonts w:ascii="Arial" w:cs="Arial" w:eastAsia="Arial" w:hAnsi="Arial"/>
          <w:sz w:val="18"/>
          <w:szCs w:val="18"/>
          <w:color w:val="auto"/>
        </w:rPr>
        <w:t>Reconciling items: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color w:val="auto"/>
              </w:rPr>
              <w:t>June 30, 2022</w:t>
            </w:r>
          </w:p>
        </w:tc>
        <w:tc>
          <w:tcPr>
            <w:tcW w:w="840" w:type="dxa"/>
            <w:vAlign w:val="bottom"/>
          </w:tcPr>
          <w:p>
            <w:pPr>
              <w:spacing w:after="0"/>
              <w:rPr>
                <w:sz w:val="20"/>
                <w:szCs w:val="20"/>
                <w:color w:val="auto"/>
              </w:rPr>
            </w:pPr>
            <w:r>
              <w:rPr>
                <w:rFonts w:ascii="Arial" w:cs="Arial" w:eastAsia="Arial" w:hAnsi="Arial"/>
                <w:sz w:val="14"/>
                <w:szCs w:val="14"/>
                <w:color w:val="auto"/>
                <w:w w:val="92"/>
              </w:rPr>
              <w:t>June 30, 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June 30, 2023</w:t>
            </w:r>
          </w:p>
        </w:tc>
      </w:tr>
      <w:tr>
        <w:trPr>
          <w:trHeight w:val="167"/>
        </w:trPr>
        <w:tc>
          <w:tcPr>
            <w:tcW w:w="1120" w:type="dxa"/>
            <w:vAlign w:val="bottom"/>
            <w:gridSpan w:val="2"/>
          </w:tcPr>
          <w:p>
            <w:pPr>
              <w:ind w:left="120"/>
              <w:spacing w:after="0"/>
              <w:rPr>
                <w:sz w:val="20"/>
                <w:szCs w:val="20"/>
                <w:color w:val="auto"/>
              </w:rPr>
            </w:pPr>
            <w:r>
              <w:rPr>
                <w:rFonts w:ascii="Arial" w:cs="Arial" w:eastAsia="Arial" w:hAnsi="Arial"/>
                <w:sz w:val="14"/>
                <w:szCs w:val="14"/>
                <w:color w:val="auto"/>
              </w:rPr>
              <w:t>RMB’000</w:t>
            </w:r>
          </w:p>
        </w:tc>
        <w:tc>
          <w:tcPr>
            <w:tcW w:w="840" w:type="dxa"/>
            <w:vAlign w:val="bottom"/>
          </w:tcPr>
          <w:p>
            <w:pPr>
              <w:ind w:left="120"/>
              <w:spacing w:after="0"/>
              <w:rPr>
                <w:sz w:val="20"/>
                <w:szCs w:val="20"/>
                <w:color w:val="auto"/>
              </w:rPr>
            </w:pPr>
            <w:r>
              <w:rPr>
                <w:rFonts w:ascii="Arial" w:cs="Arial" w:eastAsia="Arial" w:hAnsi="Arial"/>
                <w:sz w:val="14"/>
                <w:szCs w:val="14"/>
                <w:color w:val="auto"/>
              </w:rPr>
              <w:t>RMB’000</w:t>
            </w:r>
          </w:p>
        </w:tc>
        <w:tc>
          <w:tcPr>
            <w:tcW w:w="280" w:type="dxa"/>
            <w:vAlign w:val="bottom"/>
          </w:tcPr>
          <w:p>
            <w:pPr>
              <w:spacing w:after="0"/>
              <w:rPr>
                <w:sz w:val="14"/>
                <w:szCs w:val="14"/>
                <w:color w:val="auto"/>
              </w:rPr>
            </w:pPr>
          </w:p>
        </w:tc>
        <w:tc>
          <w:tcPr>
            <w:tcW w:w="800" w:type="dxa"/>
            <w:vAlign w:val="bottom"/>
          </w:tcPr>
          <w:p>
            <w:pPr>
              <w:jc w:val="right"/>
              <w:ind w:right="59"/>
              <w:spacing w:after="0"/>
              <w:rPr>
                <w:sz w:val="20"/>
                <w:szCs w:val="20"/>
                <w:color w:val="auto"/>
              </w:rPr>
            </w:pPr>
            <w:r>
              <w:rPr>
                <w:rFonts w:ascii="Arial" w:cs="Arial" w:eastAsia="Arial" w:hAnsi="Arial"/>
                <w:sz w:val="14"/>
                <w:szCs w:val="14"/>
                <w:color w:val="auto"/>
              </w:rPr>
              <w:t>US$’000</w:t>
            </w:r>
          </w:p>
        </w:tc>
      </w:tr>
      <w:tr>
        <w:trPr>
          <w:trHeight w:val="224"/>
        </w:trPr>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9"/>
              </w:rPr>
              <w:t>4,465,779</w:t>
            </w:r>
          </w:p>
        </w:tc>
        <w:tc>
          <w:tcPr>
            <w:tcW w:w="280" w:type="dxa"/>
            <w:vAlign w:val="bottom"/>
          </w:tcPr>
          <w:p>
            <w:pPr>
              <w:spacing w:after="0"/>
              <w:rPr>
                <w:sz w:val="19"/>
                <w:szCs w:val="19"/>
                <w:color w:val="auto"/>
              </w:rPr>
            </w:pPr>
          </w:p>
        </w:tc>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9"/>
              </w:rPr>
              <w:t>4,053,402</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558,990</w:t>
            </w:r>
          </w:p>
        </w:tc>
      </w:tr>
    </w:tbl>
    <w:p>
      <w:pPr>
        <w:spacing w:after="0" w:line="180" w:lineRule="exact"/>
        <w:rPr>
          <w:sz w:val="20"/>
          <w:szCs w:val="20"/>
          <w:color w:val="auto"/>
        </w:rPr>
      </w:pPr>
    </w:p>
    <w:p>
      <w:pPr>
        <w:sectPr>
          <w:pgSz w:w="11900" w:h="16838" w:orient="portrait"/>
          <w:cols w:equalWidth="0" w:num="2">
            <w:col w:w="6264" w:space="720"/>
            <w:col w:w="4020"/>
          </w:cols>
          <w:pgMar w:left="436" w:top="1043" w:right="459" w:bottom="1440" w:gutter="0" w:footer="0" w:header="0"/>
          <w:type w:val="continuous"/>
        </w:sectPr>
      </w:pPr>
    </w:p>
    <w:tbl>
      <w:tblPr>
        <w:tblLayout w:type="fixed"/>
        <w:tblInd w:w="884"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040" w:type="dxa"/>
            <w:vAlign w:val="bottom"/>
            <w:shd w:val="clear" w:color="auto" w:fill="CCEEFF"/>
          </w:tcPr>
          <w:p>
            <w:pPr>
              <w:ind w:left="340"/>
              <w:spacing w:after="0" w:line="238" w:lineRule="exact"/>
              <w:rPr>
                <w:sz w:val="20"/>
                <w:szCs w:val="20"/>
                <w:color w:val="auto"/>
              </w:rPr>
            </w:pPr>
            <w:r>
              <w:rPr>
                <w:rFonts w:ascii="Arial" w:cs="Arial" w:eastAsia="Arial" w:hAnsi="Arial"/>
                <w:sz w:val="18"/>
                <w:szCs w:val="18"/>
                <w:color w:val="auto"/>
              </w:rPr>
              <w:t>Net impact from internet financing activities</w:t>
            </w:r>
            <w:r>
              <w:rPr>
                <w:rFonts w:ascii="Arial" w:cs="Arial" w:eastAsia="Arial" w:hAnsi="Arial"/>
                <w:sz w:val="26"/>
                <w:szCs w:val="26"/>
                <w:color w:val="auto"/>
                <w:vertAlign w:val="superscript"/>
              </w:rPr>
              <w:t>11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107,151</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199,429</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(1,311,564)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(1,658,548)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(228,724)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Free cash inflow</w:t>
            </w: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3,261,366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2,594,283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For the trailing twelve months ended</w:t>
            </w: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60" w:type="dxa"/>
            <w:vAlign w:val="bottom"/>
            <w:gridSpan w:val="2"/>
            <w:vMerge w:val="continue"/>
          </w:tcPr>
          <w:p>
            <w:pPr>
              <w:spacing w:after="0"/>
              <w:rPr>
                <w:sz w:val="24"/>
                <w:szCs w:val="24"/>
                <w:color w:val="auto"/>
              </w:rPr>
            </w:pPr>
          </w:p>
        </w:tc>
        <w:tc>
          <w:tcPr>
            <w:tcW w:w="1120" w:type="dxa"/>
            <w:vAlign w:val="bottom"/>
            <w:gridSpan w:val="4"/>
            <w:vMerge w:val="restart"/>
          </w:tcPr>
          <w:p>
            <w:pPr>
              <w:jc w:val="right"/>
              <w:ind w:right="300"/>
              <w:spacing w:after="0"/>
              <w:rPr>
                <w:sz w:val="20"/>
                <w:szCs w:val="20"/>
                <w:color w:val="auto"/>
              </w:rPr>
            </w:pPr>
            <w:r>
              <w:rPr>
                <w:rFonts w:ascii="Arial" w:cs="Arial" w:eastAsia="Arial" w:hAnsi="Arial"/>
                <w:sz w:val="14"/>
                <w:szCs w:val="14"/>
                <w:color w:val="auto"/>
                <w:w w:val="90"/>
              </w:rPr>
              <w:t>June 30, 2022</w:t>
            </w: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2"/>
              </w:rPr>
              <w:t>June 30, 2023</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color w:val="auto"/>
              </w:rPr>
              <w:t>RMB’000</w:t>
            </w:r>
          </w:p>
        </w:tc>
        <w:tc>
          <w:tcPr>
            <w:tcW w:w="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RMB’000</w:t>
            </w: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8,456,749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11,764,313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1,622,373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Reconciling items:</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impact from internet financing activities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232,857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(4,165,254)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(3,906,017)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Free cash inflow</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4,524,352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8,173,609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1,127,193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During the quarter ended June 30, 2023, the Company repurchased US$348.5 million of its ADSs under its current US$1 billion share repurchase program, which is effective through March 2025. As of June 30, 2023, the Company has an unutilized amount of US$564.9 million under this program.</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For the third quarter of 2023, the Company expects its total net revenues to be between RMB21.6 billion and RMB22.7 billion, representing a year-over-year increase of approximately 0% to 5%. These forecasts reflect the Company’s current and preliminary view on the market and operational conditions, which is subject to change.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Exchange Rate</w:t>
      </w:r>
    </w:p>
    <w:p>
      <w:pPr>
        <w:spacing w:after="0" w:line="121"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The Company’s business is primarily conducted in China and the significant majority of revenues generated are denominated in Renminbi. This announcement contains currency conversions of Renminbi amounts into U.S. dollars solely for the convenience of the reader. Unless otherwise noted, all translations from Renminbi to U.S. dollars are made at a rate of RMB7.2513 to US$1.00, the effective noon buying rate on June 30, 2023 as set forth in the H.10 statistical release of the Federal Reserve Board. No representation is made that the Renminbi amounts could have been, or could be, converted, realized or settled into U.S. dollars at that rate on June 30, 2023, or at any other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right="420" w:hanging="424"/>
        <w:spacing w:after="0" w:line="232" w:lineRule="auto"/>
        <w:tabs>
          <w:tab w:leader="none" w:pos="424"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Free cash flow is a non-GAAP financial measure, which is defined as net cash from operating activities adding back the impact from internet financing activities and less capital expenditures, which include purchase and deposits of property and equipment and land use rights.</w:t>
      </w:r>
    </w:p>
    <w:p>
      <w:pPr>
        <w:spacing w:after="0" w:line="1" w:lineRule="exact"/>
        <w:rPr>
          <w:rFonts w:ascii="Arial" w:cs="Arial" w:eastAsia="Arial" w:hAnsi="Arial"/>
          <w:sz w:val="24"/>
          <w:szCs w:val="24"/>
          <w:color w:val="auto"/>
          <w:vertAlign w:val="superscript"/>
        </w:rPr>
      </w:pPr>
    </w:p>
    <w:p>
      <w:pPr>
        <w:ind w:left="424" w:right="80" w:hanging="424"/>
        <w:spacing w:after="0" w:line="200"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Net impact from internet financing activities represents net cash flow relating to the Company’s financial products, which are primarily consumer financing and supplier financing that the Company provides to its customers and suppliers.</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1043"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71525"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Conference Call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will hold a conference call on Friday, August 18, 2023 at 7:30 am U.S. Eastern Time, 7:30 pm Beijing Time to discuss the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participants wishing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Registration Link: </w:t>
      </w:r>
      <w:r>
        <w:rPr>
          <w:rFonts w:ascii="Arial" w:cs="Arial" w:eastAsia="Arial" w:hAnsi="Arial"/>
          <w:sz w:val="18"/>
          <w:szCs w:val="18"/>
          <w:u w:val="single" w:color="auto"/>
          <w:color w:val="auto"/>
        </w:rPr>
        <w:t>https://register.vevent.com/register/BIa5ce1fd594754eeb9ce17294566f615c</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Once pre-registration has been completed, each participant will receive dial-in numbers and a unique access PIN via email. To join the conference, participants should use the dial-in details followed by the PIN code.</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A live webcast of the earnings conference call can be accessed at </w:t>
      </w:r>
      <w:r>
        <w:rPr>
          <w:rFonts w:ascii="Arial" w:cs="Arial" w:eastAsia="Arial" w:hAnsi="Arial"/>
          <w:sz w:val="18"/>
          <w:szCs w:val="18"/>
          <w:u w:val="single" w:color="auto"/>
          <w:color w:val="auto"/>
        </w:rPr>
        <w:t>https://edge.media-server.com/mmc/p/xoxhojmv</w:t>
      </w:r>
      <w:r>
        <w:rPr>
          <w:rFonts w:ascii="Arial" w:cs="Arial" w:eastAsia="Arial" w:hAnsi="Arial"/>
          <w:sz w:val="18"/>
          <w:szCs w:val="18"/>
          <w:color w:val="auto"/>
        </w:rPr>
        <w:t xml:space="preserve">. An archived webcast will be available at the Company’s investor relations website at </w:t>
      </w:r>
      <w:r>
        <w:rPr>
          <w:rFonts w:ascii="Arial" w:cs="Arial" w:eastAsia="Arial" w:hAnsi="Arial"/>
          <w:sz w:val="18"/>
          <w:szCs w:val="18"/>
          <w:u w:val="single" w:color="auto"/>
          <w:color w:val="auto"/>
        </w:rPr>
        <w:t>http://ir.vip.com</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https://ir.vip.com/.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needs for and market acceptance of flash sales products and services; competition in the discount retail industry; the potential impact of the COVID-19 to Vipshop’s business operations and the economy in China and elsewhere generally; fluctuations in general economic and business conditions in China and assumptions underlying or related to any of the foregoing. Further information regarding these and other risks is included in Vipshop’s filings with the SEC. All information provided in this press release is as of the date of this press release, and Vipshop does not undertake any obligation to update any forward-looking statement, except as required under applicable law.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1039" w:right="47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71525"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Use of Non-GAAP Financial Measures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The condensed consolidated financial information is derived from the Company’s unaudited interim condensed consolidated financial statements prepared in conformity with accounting principles generally accepted in the United States of America (“U.S. GAAP”), except that comparative cash flows for the period presented and detailed footnote disclosures required by Accounting Standards Codification 270, Interim Reporting (“ASC270”), have been omitted. Vipshop uses non-GAAP net income attributable to Vipshop’s shareholders, non-GAAP net income attributable to Vipshop’s shareholders per diluted ADS, non-GAAP income from operations, non-GAAP operating margin, non-GAAP net margin attributable to Vipshop’s shareholders, and free cash flow, each of which is a non-GAAP financial measure. For the periods presented in this press release, non-GAAP net income attributable to Vipshop’s shareholders is net income attributable to Vipshop’s shareholders excluding (i) share-based compensation expenses,</w:t>
      </w:r>
    </w:p>
    <w:p>
      <w:pPr>
        <w:spacing w:after="0" w:line="2" w:lineRule="exact"/>
        <w:rPr>
          <w:sz w:val="20"/>
          <w:szCs w:val="20"/>
          <w:color w:val="auto"/>
        </w:rPr>
      </w:pPr>
    </w:p>
    <w:p>
      <w:pPr>
        <w:ind w:left="4" w:right="20" w:hanging="4"/>
        <w:spacing w:after="0" w:line="281"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impairment loss of investments, (iii) investment loss (gain) and revaluation of investments excluding dividends, (iv) reconciling items on the share of equity method investments, and (v) tax effects on non-GAAP adjustments. Non-GAAP net income attributable to Vipshop’s shareholders per diluted ADS is computed using non-GAAP net income attributable to Vipshop’s shareholders divided by weighted average number of diluted ADS outstanding for computing diluted earnings per ADS. Non-GAAP income from operations is income from operations excluding share-based compensation expenses. Non-GAAP operating margin is non-GAAP income from operations as a percentage of total net revenues. Non-GAAP net margin attributable to Vipshop’s shareholders is non-GAAP net income attributable to Vipshop’s shareholders as a percentage of total net revenues. Free cash flow is net cash from operating activities adding back the impact from internet financing activities and less capital expenditures, which include purchase and deposits of property and equipment and land use rights. Impact from internet financing activities added back or deducted from free cash flow contains changes in the balances of financial products, which are primarily consumer financing and supplier financing that the Company provides to customers and suppliers. The Company believes that separate analysis and exclusion of the non-cash impact of (i) share-based compensation expenses, (ii) impairment loss of investments, (iii) investment loss (gain) and revaluation of investments excluding dividends, (iv) reconciling items on the share of equity method investments, and (v) tax effects on non-GAAP adjustments add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(i) share-based compensation expenses, (ii) impairment loss of investments, (iii) investment loss (gain) and revaluation of investments excluding dividends,</w:t>
      </w:r>
    </w:p>
    <w:p>
      <w:pPr>
        <w:spacing w:after="0" w:line="9" w:lineRule="exact"/>
        <w:rPr>
          <w:rFonts w:ascii="Arial" w:cs="Arial" w:eastAsia="Arial" w:hAnsi="Arial"/>
          <w:sz w:val="16"/>
          <w:szCs w:val="16"/>
          <w:color w:val="auto"/>
        </w:rPr>
      </w:pPr>
    </w:p>
    <w:p>
      <w:pPr>
        <w:ind w:left="4" w:right="20" w:hanging="4"/>
        <w:spacing w:after="0" w:line="251" w:lineRule="auto"/>
        <w:tabs>
          <w:tab w:leader="none" w:pos="3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reconciling items on the share of equity method investments, and (v) tax effects on non-GAAP adjustments. Free cash flow enables the Company to assess liquidity and cash flow, taking into account the impact from internet financing activities and the financial resources needed for the expansion of fulfillment infrastructure, technology platform and Shan Shan Outlets. Share-based compensation expenses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1039" w:right="45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7152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71525" cy="394335"/>
                    </a:xfrm>
                    <a:prstGeom prst="rect">
                      <a:avLst/>
                    </a:prstGeom>
                    <a:noFill/>
                  </pic:spPr>
                </pic:pic>
              </a:graphicData>
            </a:graphic>
          </wp:anchor>
        </w:drawing>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IR@vipshop.com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440" w:top="1043" w:right="599" w:bottom="1440" w:gutter="0" w:footer="0" w:header="0"/>
        </w:sectPr>
      </w:pPr>
    </w:p>
    <w:bookmarkStart w:id="10" w:name="page11"/>
    <w:bookmarkEnd w:id="10"/>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10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June 30,</w:t>
            </w:r>
          </w:p>
        </w:tc>
        <w:tc>
          <w:tcPr>
            <w:tcW w:w="1040" w:type="dxa"/>
            <w:vAlign w:val="bottom"/>
            <w:gridSpan w:val="2"/>
          </w:tcPr>
          <w:p>
            <w:pPr>
              <w:jc w:val="right"/>
              <w:ind w:right="359"/>
              <w:spacing w:after="0" w:line="119" w:lineRule="exact"/>
              <w:rPr>
                <w:sz w:val="20"/>
                <w:szCs w:val="20"/>
                <w:color w:val="auto"/>
              </w:rPr>
            </w:pPr>
            <w:r>
              <w:rPr>
                <w:rFonts w:ascii="Arial" w:cs="Arial" w:eastAsia="Arial" w:hAnsi="Arial"/>
                <w:sz w:val="13"/>
                <w:szCs w:val="13"/>
                <w:b w:val="1"/>
                <w:bCs w:val="1"/>
                <w:color w:val="auto"/>
              </w:rPr>
              <w:t>June 30,</w:t>
            </w:r>
          </w:p>
        </w:tc>
        <w:tc>
          <w:tcPr>
            <w:tcW w:w="7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000" w:type="dxa"/>
            <w:vAlign w:val="bottom"/>
            <w:gridSpan w:val="2"/>
          </w:tcPr>
          <w:p>
            <w:pPr>
              <w:jc w:val="right"/>
              <w:ind w:right="283"/>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6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2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USD’000</w:t>
            </w:r>
          </w:p>
        </w:tc>
        <w:tc>
          <w:tcPr>
            <w:tcW w:w="120" w:type="dxa"/>
            <w:vAlign w:val="bottom"/>
          </w:tcPr>
          <w:p>
            <w:pPr>
              <w:spacing w:after="0"/>
              <w:rPr>
                <w:sz w:val="12"/>
                <w:szCs w:val="12"/>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revenues</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23,160,136</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26,163,113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3,608,058</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47,086,568</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52,100,943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7,185,049</w:t>
            </w:r>
          </w:p>
        </w:tc>
      </w:tr>
      <w:tr>
        <w:trPr>
          <w:trHeight w:val="148"/>
        </w:trPr>
        <w:tc>
          <w:tcPr>
            <w:tcW w:w="5160" w:type="dxa"/>
            <w:vAlign w:val="bottom"/>
          </w:tcPr>
          <w:p>
            <w:pPr>
              <w:spacing w:after="0" w:line="149" w:lineRule="exact"/>
              <w:rPr>
                <w:sz w:val="20"/>
                <w:szCs w:val="20"/>
                <w:color w:val="auto"/>
              </w:rPr>
            </w:pPr>
            <w:r>
              <w:rPr>
                <w:rFonts w:ascii="Arial" w:cs="Arial" w:eastAsia="Arial" w:hAnsi="Arial"/>
                <w:sz w:val="14"/>
                <w:szCs w:val="14"/>
                <w:color w:val="auto"/>
              </w:rPr>
              <w:t>Other revenues (1)</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1,375,118</w:t>
            </w:r>
          </w:p>
        </w:tc>
        <w:tc>
          <w:tcPr>
            <w:tcW w:w="10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1,716,187</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236,673</w:t>
            </w:r>
          </w:p>
        </w:tc>
        <w:tc>
          <w:tcPr>
            <w:tcW w:w="100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2,693,204</w:t>
            </w:r>
          </w:p>
        </w:tc>
        <w:tc>
          <w:tcPr>
            <w:tcW w:w="9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3,314,740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457,124</w:t>
            </w:r>
          </w:p>
        </w:tc>
      </w:tr>
      <w:tr>
        <w:trPr>
          <w:trHeight w:val="27"/>
        </w:trPr>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net revenues</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24,535,254</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27,879,300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3,844,731</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49,779,772</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55,415,683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7,642,173</w:t>
            </w:r>
          </w:p>
        </w:tc>
      </w:tr>
      <w:tr>
        <w:trPr>
          <w:trHeight w:val="163"/>
        </w:trPr>
        <w:tc>
          <w:tcPr>
            <w:tcW w:w="5160" w:type="dxa"/>
            <w:vAlign w:val="bottom"/>
          </w:tcPr>
          <w:p>
            <w:pPr>
              <w:ind w:left="280"/>
              <w:spacing w:after="0" w:line="155" w:lineRule="exact"/>
              <w:rPr>
                <w:sz w:val="20"/>
                <w:szCs w:val="20"/>
                <w:color w:val="auto"/>
              </w:rPr>
            </w:pPr>
            <w:r>
              <w:rPr>
                <w:rFonts w:ascii="Arial" w:cs="Arial" w:eastAsia="Arial" w:hAnsi="Arial"/>
                <w:sz w:val="14"/>
                <w:szCs w:val="14"/>
                <w:color w:val="auto"/>
              </w:rPr>
              <w:t>Cost of revenues</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(19,510,909</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(21,677,355</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(2,989,444)</w:t>
            </w:r>
          </w:p>
        </w:tc>
        <w:tc>
          <w:tcPr>
            <w:tcW w:w="2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(39,746,961</w:t>
            </w:r>
          </w:p>
        </w:tc>
        <w:tc>
          <w:tcPr>
            <w:tcW w:w="200" w:type="dxa"/>
            <w:vAlign w:val="bottom"/>
          </w:tcPr>
          <w:p>
            <w:pPr>
              <w:jc w:val="right"/>
              <w:ind w:right="103"/>
              <w:spacing w:after="0"/>
              <w:rPr>
                <w:sz w:val="20"/>
                <w:szCs w:val="20"/>
                <w:color w:val="auto"/>
              </w:rPr>
            </w:pPr>
            <w:r>
              <w:rPr>
                <w:rFonts w:ascii="Arial" w:cs="Arial" w:eastAsia="Arial" w:hAnsi="Arial"/>
                <w:sz w:val="8"/>
                <w:szCs w:val="8"/>
                <w:color w:val="auto"/>
                <w:w w:val="73"/>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(43,309,175</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(5,972,608)</w:t>
            </w:r>
          </w:p>
        </w:tc>
        <w:tc>
          <w:tcPr>
            <w:tcW w:w="120" w:type="dxa"/>
            <w:vAlign w:val="bottom"/>
          </w:tcPr>
          <w:p>
            <w:pPr>
              <w:spacing w:after="0"/>
              <w:rPr>
                <w:sz w:val="14"/>
                <w:szCs w:val="14"/>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Gross profit</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5,024,345</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6,201,945</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855,287</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10,032,811</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12,106,508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1,669,565</w:t>
            </w:r>
          </w:p>
        </w:tc>
      </w:tr>
      <w:tr>
        <w:trPr>
          <w:trHeight w:val="156"/>
        </w:trPr>
        <w:tc>
          <w:tcPr>
            <w:tcW w:w="5160" w:type="dxa"/>
            <w:vAlign w:val="bottom"/>
          </w:tcPr>
          <w:p>
            <w:pPr>
              <w:ind w:left="280"/>
              <w:spacing w:after="0" w:line="155" w:lineRule="exact"/>
              <w:rPr>
                <w:sz w:val="20"/>
                <w:szCs w:val="20"/>
                <w:color w:val="auto"/>
              </w:rPr>
            </w:pPr>
            <w:r>
              <w:rPr>
                <w:rFonts w:ascii="Arial" w:cs="Arial" w:eastAsia="Arial" w:hAnsi="Arial"/>
                <w:sz w:val="14"/>
                <w:szCs w:val="14"/>
                <w:color w:val="auto"/>
              </w:rPr>
              <w:t>Operating expenses:</w:t>
            </w: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Fulfillment expenses (2)</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(1,776,011)</w:t>
            </w:r>
          </w:p>
        </w:tc>
        <w:tc>
          <w:tcPr>
            <w:tcW w:w="1040" w:type="dxa"/>
            <w:vAlign w:val="bottom"/>
            <w:tcBorders>
              <w:right w:val="single" w:sz="8" w:color="CCEEFF"/>
            </w:tcBorders>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(2,181,066)</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(300,783)</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(3,470,954)</w:t>
            </w:r>
          </w:p>
        </w:tc>
        <w:tc>
          <w:tcPr>
            <w:tcW w:w="9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(3,964,897)</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(546,784)</w:t>
            </w: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Marketing expenses</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(555,570)</w:t>
            </w: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(892,505)</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(123,082)</w:t>
            </w:r>
          </w:p>
        </w:tc>
        <w:tc>
          <w:tcPr>
            <w:tcW w:w="1000" w:type="dxa"/>
            <w:vAlign w:val="bottom"/>
            <w:gridSpan w:val="2"/>
          </w:tcPr>
          <w:p>
            <w:pPr>
              <w:jc w:val="right"/>
              <w:ind w:right="103"/>
              <w:spacing w:after="0" w:line="149" w:lineRule="exact"/>
              <w:rPr>
                <w:sz w:val="20"/>
                <w:szCs w:val="20"/>
                <w:color w:val="auto"/>
              </w:rPr>
            </w:pPr>
            <w:r>
              <w:rPr>
                <w:rFonts w:ascii="Arial" w:cs="Arial" w:eastAsia="Arial" w:hAnsi="Arial"/>
                <w:sz w:val="14"/>
                <w:szCs w:val="14"/>
                <w:color w:val="auto"/>
              </w:rPr>
              <w:t>(1,314,845)</w:t>
            </w: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(1,729,399)</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(238,495)</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Technology and content expenses</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(411,756)</w:t>
            </w:r>
          </w:p>
        </w:tc>
        <w:tc>
          <w:tcPr>
            <w:tcW w:w="1040" w:type="dxa"/>
            <w:vAlign w:val="bottom"/>
            <w:tcBorders>
              <w:right w:val="single" w:sz="8" w:color="CCEEFF"/>
            </w:tcBorders>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(443,046)</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(61,099)</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(802,127)</w:t>
            </w:r>
          </w:p>
        </w:tc>
        <w:tc>
          <w:tcPr>
            <w:tcW w:w="9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(835,809)</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(115,263)</w:t>
            </w: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(1,195,167)</w:t>
            </w: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(963,117)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(132,820)</w:t>
            </w:r>
          </w:p>
        </w:tc>
        <w:tc>
          <w:tcPr>
            <w:tcW w:w="1000" w:type="dxa"/>
            <w:vAlign w:val="bottom"/>
            <w:gridSpan w:val="2"/>
          </w:tcPr>
          <w:p>
            <w:pPr>
              <w:jc w:val="right"/>
              <w:ind w:right="103"/>
              <w:spacing w:after="0" w:line="149" w:lineRule="exact"/>
              <w:rPr>
                <w:sz w:val="20"/>
                <w:szCs w:val="20"/>
                <w:color w:val="auto"/>
              </w:rPr>
            </w:pPr>
            <w:r>
              <w:rPr>
                <w:rFonts w:ascii="Arial" w:cs="Arial" w:eastAsia="Arial" w:hAnsi="Arial"/>
                <w:sz w:val="14"/>
                <w:szCs w:val="14"/>
                <w:color w:val="auto"/>
              </w:rPr>
              <w:t>(2,249,881)</w:t>
            </w: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(2,010,788)</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(277,300)</w:t>
            </w:r>
          </w:p>
        </w:tc>
      </w:tr>
      <w:tr>
        <w:trPr>
          <w:trHeight w:val="27"/>
        </w:trPr>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operating expenses</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(3,938,504)</w:t>
            </w:r>
          </w:p>
        </w:tc>
        <w:tc>
          <w:tcPr>
            <w:tcW w:w="1040" w:type="dxa"/>
            <w:vAlign w:val="bottom"/>
            <w:tcBorders>
              <w:right w:val="single" w:sz="8" w:color="CCEEFF"/>
            </w:tcBorders>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(4,479,734)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(617,784)</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(7,837,807)</w:t>
            </w:r>
          </w:p>
        </w:tc>
        <w:tc>
          <w:tcPr>
            <w:tcW w:w="9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(8,540,893)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(1,177,842)</w:t>
            </w:r>
          </w:p>
        </w:tc>
      </w:tr>
      <w:tr>
        <w:trPr>
          <w:trHeight w:val="163"/>
        </w:trPr>
        <w:tc>
          <w:tcPr>
            <w:tcW w:w="5160" w:type="dxa"/>
            <w:vAlign w:val="bottom"/>
          </w:tcPr>
          <w:p>
            <w:pPr>
              <w:ind w:left="280"/>
              <w:spacing w:after="0" w:line="155" w:lineRule="exact"/>
              <w:rPr>
                <w:sz w:val="20"/>
                <w:szCs w:val="20"/>
                <w:color w:val="auto"/>
              </w:rPr>
            </w:pPr>
            <w:r>
              <w:rPr>
                <w:rFonts w:ascii="Arial" w:cs="Arial" w:eastAsia="Arial" w:hAnsi="Arial"/>
                <w:sz w:val="14"/>
                <w:szCs w:val="14"/>
                <w:color w:val="auto"/>
              </w:rPr>
              <w:t>Other operating income</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182,444</w:t>
            </w:r>
          </w:p>
        </w:tc>
        <w:tc>
          <w:tcPr>
            <w:tcW w:w="2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194,288</w:t>
            </w:r>
          </w:p>
        </w:tc>
        <w:tc>
          <w:tcPr>
            <w:tcW w:w="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26,794</w:t>
            </w:r>
          </w:p>
        </w:tc>
        <w:tc>
          <w:tcPr>
            <w:tcW w:w="2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355,896</w:t>
            </w:r>
          </w:p>
        </w:tc>
        <w:tc>
          <w:tcPr>
            <w:tcW w:w="2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336,577</w:t>
            </w:r>
          </w:p>
        </w:tc>
        <w:tc>
          <w:tcPr>
            <w:tcW w:w="2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46,416</w:t>
            </w:r>
          </w:p>
        </w:tc>
        <w:tc>
          <w:tcPr>
            <w:tcW w:w="120" w:type="dxa"/>
            <w:vAlign w:val="bottom"/>
          </w:tcPr>
          <w:p>
            <w:pPr>
              <w:spacing w:after="0"/>
              <w:rPr>
                <w:sz w:val="14"/>
                <w:szCs w:val="14"/>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from operations</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1,268,285</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1,916,499</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264,297</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2,550,900</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3,902,192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538,139</w:t>
            </w: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Investment (loss) gain and revaluation of investments</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(7,344)</w:t>
            </w:r>
          </w:p>
        </w:tc>
        <w:tc>
          <w:tcPr>
            <w:tcW w:w="10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39,354</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5,427</w:t>
            </w:r>
          </w:p>
        </w:tc>
        <w:tc>
          <w:tcPr>
            <w:tcW w:w="1000" w:type="dxa"/>
            <w:vAlign w:val="bottom"/>
            <w:gridSpan w:val="2"/>
          </w:tcPr>
          <w:p>
            <w:pPr>
              <w:jc w:val="right"/>
              <w:ind w:right="103"/>
              <w:spacing w:after="0" w:line="149" w:lineRule="exact"/>
              <w:rPr>
                <w:sz w:val="20"/>
                <w:szCs w:val="20"/>
                <w:color w:val="auto"/>
              </w:rPr>
            </w:pPr>
            <w:r>
              <w:rPr>
                <w:rFonts w:ascii="Arial" w:cs="Arial" w:eastAsia="Arial" w:hAnsi="Arial"/>
                <w:sz w:val="14"/>
                <w:szCs w:val="14"/>
                <w:color w:val="auto"/>
              </w:rPr>
              <w:t>(41,802)</w:t>
            </w:r>
          </w:p>
        </w:tc>
        <w:tc>
          <w:tcPr>
            <w:tcW w:w="9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81,334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11,216</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loss of investments</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(50,000)</w:t>
            </w:r>
          </w:p>
        </w:tc>
        <w:tc>
          <w:tcPr>
            <w:tcW w:w="1040" w:type="dxa"/>
            <w:vAlign w:val="bottom"/>
            <w:tcBorders>
              <w:right w:val="single" w:sz="8" w:color="CCEEFF"/>
            </w:tcBorders>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(19,105)</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(2,635)</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(50,000)</w:t>
            </w:r>
          </w:p>
        </w:tc>
        <w:tc>
          <w:tcPr>
            <w:tcW w:w="9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(19,105)</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(2,635)</w:t>
            </w:r>
          </w:p>
        </w:tc>
      </w:tr>
      <w:tr>
        <w:trPr>
          <w:trHeight w:val="149"/>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(6,494)</w:t>
            </w: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(1,989)</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103"/>
              <w:spacing w:after="0" w:line="149" w:lineRule="exact"/>
              <w:rPr>
                <w:sz w:val="20"/>
                <w:szCs w:val="20"/>
                <w:color w:val="auto"/>
              </w:rPr>
            </w:pPr>
            <w:r>
              <w:rPr>
                <w:rFonts w:ascii="Arial" w:cs="Arial" w:eastAsia="Arial" w:hAnsi="Arial"/>
                <w:sz w:val="14"/>
                <w:szCs w:val="14"/>
                <w:color w:val="auto"/>
              </w:rPr>
              <w:t>(11,229)</w:t>
            </w: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(7,696)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(1,061)</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189,982</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183,168</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25,260</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389,676</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405,133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55,870</w:t>
            </w:r>
          </w:p>
        </w:tc>
      </w:tr>
      <w:tr>
        <w:trPr>
          <w:trHeight w:val="155"/>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Exchange gain</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217,299</w:t>
            </w:r>
          </w:p>
        </w:tc>
        <w:tc>
          <w:tcPr>
            <w:tcW w:w="10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282,636</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38,977</w:t>
            </w:r>
          </w:p>
        </w:tc>
        <w:tc>
          <w:tcPr>
            <w:tcW w:w="100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205,117</w:t>
            </w:r>
          </w:p>
        </w:tc>
        <w:tc>
          <w:tcPr>
            <w:tcW w:w="9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274,449</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37,848</w:t>
            </w:r>
          </w:p>
        </w:tc>
      </w:tr>
      <w:tr>
        <w:trPr>
          <w:trHeight w:val="130"/>
        </w:trPr>
        <w:tc>
          <w:tcPr>
            <w:tcW w:w="5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8"/>
              </w:rPr>
              <w:t>Income before income tax expense and share of (loss) income of equity method</w:t>
            </w: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5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investees</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1,611,728</w:t>
            </w:r>
          </w:p>
        </w:tc>
        <w:tc>
          <w:tcPr>
            <w:tcW w:w="1040" w:type="dxa"/>
            <w:vAlign w:val="bottom"/>
            <w:tcBorders>
              <w:right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2,400,563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331,052</w:t>
            </w:r>
          </w:p>
        </w:tc>
        <w:tc>
          <w:tcPr>
            <w:tcW w:w="1000" w:type="dxa"/>
            <w:vAlign w:val="bottom"/>
            <w:gridSpan w:val="2"/>
            <w:shd w:val="clear" w:color="auto" w:fill="CCEEFF"/>
          </w:tcPr>
          <w:p>
            <w:pPr>
              <w:jc w:val="right"/>
              <w:ind w:right="143"/>
              <w:spacing w:after="0"/>
              <w:rPr>
                <w:sz w:val="20"/>
                <w:szCs w:val="20"/>
                <w:color w:val="auto"/>
              </w:rPr>
            </w:pPr>
            <w:r>
              <w:rPr>
                <w:rFonts w:ascii="Arial" w:cs="Arial" w:eastAsia="Arial" w:hAnsi="Arial"/>
                <w:sz w:val="14"/>
                <w:szCs w:val="14"/>
                <w:color w:val="auto"/>
              </w:rPr>
              <w:t>3,042,662</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4,636,307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639,377</w:t>
            </w: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expenses</w:t>
            </w: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(296,717)</w:t>
            </w:r>
          </w:p>
        </w:tc>
        <w:tc>
          <w:tcPr>
            <w:tcW w:w="10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(339,056)</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(46,758)</w:t>
            </w:r>
          </w:p>
        </w:tc>
        <w:tc>
          <w:tcPr>
            <w:tcW w:w="1000" w:type="dxa"/>
            <w:vAlign w:val="bottom"/>
            <w:gridSpan w:val="2"/>
          </w:tcPr>
          <w:p>
            <w:pPr>
              <w:jc w:val="right"/>
              <w:ind w:right="103"/>
              <w:spacing w:after="0" w:line="149" w:lineRule="exact"/>
              <w:rPr>
                <w:sz w:val="20"/>
                <w:szCs w:val="20"/>
                <w:color w:val="auto"/>
              </w:rPr>
            </w:pPr>
            <w:r>
              <w:rPr>
                <w:rFonts w:ascii="Arial" w:cs="Arial" w:eastAsia="Arial" w:hAnsi="Arial"/>
                <w:sz w:val="14"/>
                <w:szCs w:val="14"/>
                <w:color w:val="auto"/>
              </w:rPr>
              <w:t>(588,560)</w:t>
            </w: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(729,201)</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(100,561)</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 of (loss) income of equity method investees</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(27,885)</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49,202</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6,785</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(70,891)</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81,009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11,172</w:t>
            </w:r>
          </w:p>
        </w:tc>
      </w:tr>
      <w:tr>
        <w:trPr>
          <w:trHeight w:val="156"/>
        </w:trPr>
        <w:tc>
          <w:tcPr>
            <w:tcW w:w="516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1,287,126</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2,110,709</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291,079</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2,383,211</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3,988,115</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549,988</w:t>
            </w:r>
          </w:p>
        </w:tc>
        <w:tc>
          <w:tcPr>
            <w:tcW w:w="120" w:type="dxa"/>
            <w:vAlign w:val="bottom"/>
          </w:tcPr>
          <w:p>
            <w:pPr>
              <w:spacing w:after="0"/>
              <w:rPr>
                <w:sz w:val="13"/>
                <w:szCs w:val="13"/>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10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(4,236)</w:t>
            </w:r>
          </w:p>
        </w:tc>
        <w:tc>
          <w:tcPr>
            <w:tcW w:w="1040" w:type="dxa"/>
            <w:vAlign w:val="bottom"/>
            <w:tcBorders>
              <w:right w:val="single" w:sz="8" w:color="CCEEFF"/>
            </w:tcBorders>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(13,255)</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(1,828)</w:t>
            </w:r>
          </w:p>
        </w:tc>
        <w:tc>
          <w:tcPr>
            <w:tcW w:w="1000" w:type="dxa"/>
            <w:vAlign w:val="bottom"/>
            <w:gridSpan w:val="2"/>
            <w:shd w:val="clear" w:color="auto" w:fill="CCEEFF"/>
          </w:tcPr>
          <w:p>
            <w:pPr>
              <w:jc w:val="right"/>
              <w:ind w:right="103"/>
              <w:spacing w:after="0" w:line="149" w:lineRule="exact"/>
              <w:rPr>
                <w:sz w:val="20"/>
                <w:szCs w:val="20"/>
                <w:color w:val="auto"/>
              </w:rPr>
            </w:pPr>
            <w:r>
              <w:rPr>
                <w:rFonts w:ascii="Arial" w:cs="Arial" w:eastAsia="Arial" w:hAnsi="Arial"/>
                <w:sz w:val="14"/>
                <w:szCs w:val="14"/>
                <w:color w:val="auto"/>
              </w:rPr>
              <w:t>(4,657)</w:t>
            </w:r>
          </w:p>
        </w:tc>
        <w:tc>
          <w:tcPr>
            <w:tcW w:w="9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(31,931)</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(4,403)</w:t>
            </w:r>
          </w:p>
        </w:tc>
      </w:tr>
      <w:tr>
        <w:trPr>
          <w:trHeight w:val="155"/>
        </w:trPr>
        <w:tc>
          <w:tcPr>
            <w:tcW w:w="5160" w:type="dxa"/>
            <w:vAlign w:val="bottom"/>
          </w:tcPr>
          <w:p>
            <w:pPr>
              <w:ind w:left="280"/>
              <w:spacing w:after="0" w:line="155" w:lineRule="exact"/>
              <w:rPr>
                <w:sz w:val="20"/>
                <w:szCs w:val="20"/>
                <w:color w:val="auto"/>
              </w:rPr>
            </w:pPr>
            <w:r>
              <w:rPr>
                <w:rFonts w:ascii="Arial" w:cs="Arial" w:eastAsia="Arial" w:hAnsi="Arial"/>
                <w:sz w:val="14"/>
                <w:szCs w:val="14"/>
                <w:color w:val="auto"/>
              </w:rPr>
              <w:t>Net income attributable to Vipshop’s shareholders</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1,282,890</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2,097,454</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289,251</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2,378,554</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3,956,184</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545,585</w:t>
            </w:r>
          </w:p>
        </w:tc>
        <w:tc>
          <w:tcPr>
            <w:tcW w:w="120" w:type="dxa"/>
            <w:vAlign w:val="bottom"/>
          </w:tcPr>
          <w:p>
            <w:pPr>
              <w:spacing w:after="0"/>
              <w:rPr>
                <w:sz w:val="13"/>
                <w:szCs w:val="13"/>
                <w:color w:val="auto"/>
              </w:rPr>
            </w:pPr>
          </w:p>
        </w:tc>
      </w:tr>
      <w:tr>
        <w:trPr>
          <w:trHeight w:val="149"/>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Shares used in calculating earnings per share (3):</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Weighted average number of Class A and Class B ordinary shares: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129,149,941</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w w:val="97"/>
              </w:rPr>
              <w:t>110,053,473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110,053,473</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132,186,466</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7"/>
              </w:rPr>
              <w:t>112,975,907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112,975,907</w:t>
            </w:r>
          </w:p>
        </w:tc>
      </w:tr>
      <w:tr>
        <w:trPr>
          <w:trHeight w:val="148"/>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—Diluted</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w w:val="97"/>
              </w:rPr>
              <w:t>129,934,399</w:t>
            </w:r>
          </w:p>
        </w:tc>
        <w:tc>
          <w:tcPr>
            <w:tcW w:w="10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w w:val="97"/>
              </w:rPr>
              <w:t>111,819,666</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111,819,666</w:t>
            </w:r>
          </w:p>
        </w:tc>
        <w:tc>
          <w:tcPr>
            <w:tcW w:w="100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132,973,941</w:t>
            </w:r>
          </w:p>
        </w:tc>
        <w:tc>
          <w:tcPr>
            <w:tcW w:w="9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w w:val="97"/>
              </w:rPr>
              <w:t>114,669,108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114,669,108</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earnings per Class A and Class B ordinary share</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Net income attributable to Vipshop’s shareholders—Basic</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9.93</w:t>
            </w:r>
          </w:p>
        </w:tc>
        <w:tc>
          <w:tcPr>
            <w:tcW w:w="10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19.06</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w:t>
            </w:r>
          </w:p>
        </w:tc>
        <w:tc>
          <w:tcPr>
            <w:tcW w:w="1000" w:type="dxa"/>
            <w:vAlign w:val="bottom"/>
            <w:gridSpan w:val="2"/>
          </w:tcPr>
          <w:p>
            <w:pPr>
              <w:jc w:val="right"/>
              <w:ind w:right="143"/>
              <w:spacing w:after="0" w:line="149" w:lineRule="exact"/>
              <w:rPr>
                <w:sz w:val="20"/>
                <w:szCs w:val="20"/>
                <w:color w:val="auto"/>
              </w:rPr>
            </w:pPr>
            <w:r>
              <w:rPr>
                <w:rFonts w:ascii="Arial" w:cs="Arial" w:eastAsia="Arial" w:hAnsi="Arial"/>
                <w:sz w:val="14"/>
                <w:szCs w:val="14"/>
                <w:color w:val="auto"/>
              </w:rPr>
              <w:t>17.99</w:t>
            </w:r>
          </w:p>
        </w:tc>
        <w:tc>
          <w:tcPr>
            <w:tcW w:w="9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35.02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4.83</w:t>
            </w: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attributable to Vipshop’s shareholders—Diluted</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9.87</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18.76</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17.89</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34.50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w:t>
            </w:r>
          </w:p>
        </w:tc>
      </w:tr>
      <w:tr>
        <w:trPr>
          <w:trHeight w:val="149"/>
        </w:trPr>
        <w:tc>
          <w:tcPr>
            <w:tcW w:w="5160" w:type="dxa"/>
            <w:vAlign w:val="bottom"/>
          </w:tcPr>
          <w:p>
            <w:pPr>
              <w:ind w:left="280"/>
              <w:spacing w:after="0" w:line="149" w:lineRule="exact"/>
              <w:rPr>
                <w:sz w:val="20"/>
                <w:szCs w:val="20"/>
                <w:color w:val="auto"/>
              </w:rPr>
            </w:pPr>
            <w:r>
              <w:rPr>
                <w:rFonts w:ascii="Arial" w:cs="Arial" w:eastAsia="Arial" w:hAnsi="Arial"/>
                <w:sz w:val="14"/>
                <w:szCs w:val="14"/>
                <w:color w:val="auto"/>
              </w:rPr>
              <w:t>Net earnings per ADS (1 ordinary share equals to 5 ADSs)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attributable to Vipshop’s shareholders—Basic</w:t>
            </w:r>
          </w:p>
        </w:tc>
        <w:tc>
          <w:tcPr>
            <w:tcW w:w="10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1.99</w:t>
            </w:r>
          </w:p>
        </w:tc>
        <w:tc>
          <w:tcPr>
            <w:tcW w:w="1040" w:type="dxa"/>
            <w:vAlign w:val="bottom"/>
            <w:tcBorders>
              <w:right w:val="single" w:sz="8" w:color="CCEEFF"/>
            </w:tcBorders>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3.81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w:t>
            </w:r>
          </w:p>
        </w:tc>
        <w:tc>
          <w:tcPr>
            <w:tcW w:w="1000" w:type="dxa"/>
            <w:vAlign w:val="bottom"/>
            <w:gridSpan w:val="2"/>
            <w:shd w:val="clear" w:color="auto" w:fill="CCEEFF"/>
          </w:tcPr>
          <w:p>
            <w:pPr>
              <w:jc w:val="right"/>
              <w:ind w:right="143"/>
              <w:spacing w:after="0" w:line="149" w:lineRule="exact"/>
              <w:rPr>
                <w:sz w:val="20"/>
                <w:szCs w:val="20"/>
                <w:color w:val="auto"/>
              </w:rPr>
            </w:pPr>
            <w:r>
              <w:rPr>
                <w:rFonts w:ascii="Arial" w:cs="Arial" w:eastAsia="Arial" w:hAnsi="Arial"/>
                <w:sz w:val="14"/>
                <w:szCs w:val="14"/>
                <w:color w:val="auto"/>
              </w:rPr>
              <w:t>3.60</w:t>
            </w:r>
          </w:p>
        </w:tc>
        <w:tc>
          <w:tcPr>
            <w:tcW w:w="9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7.00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0.97</w:t>
            </w:r>
          </w:p>
        </w:tc>
      </w:tr>
      <w:tr>
        <w:trPr>
          <w:trHeight w:val="182"/>
        </w:trPr>
        <w:tc>
          <w:tcPr>
            <w:tcW w:w="5160" w:type="dxa"/>
            <w:vAlign w:val="bottom"/>
          </w:tcPr>
          <w:p>
            <w:pPr>
              <w:ind w:left="280"/>
              <w:spacing w:after="0"/>
              <w:rPr>
                <w:sz w:val="20"/>
                <w:szCs w:val="20"/>
                <w:color w:val="auto"/>
              </w:rPr>
            </w:pPr>
            <w:r>
              <w:rPr>
                <w:rFonts w:ascii="Arial" w:cs="Arial" w:eastAsia="Arial" w:hAnsi="Arial"/>
                <w:sz w:val="14"/>
                <w:szCs w:val="14"/>
                <w:color w:val="auto"/>
              </w:rPr>
              <w:t>Net income attributable to Vipshop’s shareholders—Diluted</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1.97</w:t>
            </w:r>
          </w:p>
        </w:tc>
        <w:tc>
          <w:tcPr>
            <w:tcW w:w="1040" w:type="dxa"/>
            <w:vAlign w:val="bottom"/>
            <w:gridSpan w:val="2"/>
          </w:tcPr>
          <w:p>
            <w:pPr>
              <w:jc w:val="right"/>
              <w:ind w:right="219"/>
              <w:spacing w:after="0"/>
              <w:rPr>
                <w:sz w:val="20"/>
                <w:szCs w:val="20"/>
                <w:color w:val="auto"/>
              </w:rPr>
            </w:pPr>
            <w:r>
              <w:rPr>
                <w:rFonts w:ascii="Arial" w:cs="Arial" w:eastAsia="Arial" w:hAnsi="Arial"/>
                <w:sz w:val="14"/>
                <w:szCs w:val="14"/>
                <w:color w:val="auto"/>
              </w:rPr>
              <w:t>3.75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0.52</w:t>
            </w:r>
          </w:p>
        </w:tc>
        <w:tc>
          <w:tcPr>
            <w:tcW w:w="1000" w:type="dxa"/>
            <w:vAlign w:val="bottom"/>
            <w:gridSpan w:val="2"/>
          </w:tcPr>
          <w:p>
            <w:pPr>
              <w:jc w:val="right"/>
              <w:ind w:right="143"/>
              <w:spacing w:after="0"/>
              <w:rPr>
                <w:sz w:val="20"/>
                <w:szCs w:val="20"/>
                <w:color w:val="auto"/>
              </w:rPr>
            </w:pPr>
            <w:r>
              <w:rPr>
                <w:rFonts w:ascii="Arial" w:cs="Arial" w:eastAsia="Arial" w:hAnsi="Arial"/>
                <w:sz w:val="14"/>
                <w:szCs w:val="14"/>
                <w:color w:val="auto"/>
              </w:rPr>
              <w:t>3.58</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6.90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0.95</w:t>
            </w:r>
          </w:p>
        </w:tc>
      </w:tr>
    </w:tbl>
    <w:p>
      <w:pPr>
        <w:spacing w:after="0" w:line="200" w:lineRule="exact"/>
        <w:rPr>
          <w:sz w:val="20"/>
          <w:szCs w:val="20"/>
          <w:color w:val="auto"/>
        </w:rPr>
      </w:pPr>
    </w:p>
    <w:p>
      <w:pPr>
        <w:sectPr>
          <w:pgSz w:w="11900" w:h="16838" w:orient="portrait"/>
          <w:cols w:equalWidth="0" w:num="1">
            <w:col w:w="11024"/>
          </w:cols>
          <w:pgMar w:left="436" w:top="270" w:right="439" w:bottom="1440" w:gutter="0" w:footer="0" w:header="0"/>
        </w:sectPr>
      </w:pPr>
    </w:p>
    <w:p>
      <w:pPr>
        <w:spacing w:after="0" w:line="45" w:lineRule="exact"/>
        <w:rPr>
          <w:sz w:val="20"/>
          <w:szCs w:val="20"/>
          <w:color w:val="auto"/>
        </w:rPr>
      </w:pPr>
    </w:p>
    <w:p>
      <w:pPr>
        <w:ind w:left="284" w:right="20" w:hanging="284"/>
        <w:spacing w:after="0" w:line="224" w:lineRule="auto"/>
        <w:tabs>
          <w:tab w:leader="none" w:pos="28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3" w:lineRule="exact"/>
        <w:rPr>
          <w:rFonts w:ascii="Arial" w:cs="Arial" w:eastAsia="Arial" w:hAnsi="Arial"/>
          <w:sz w:val="14"/>
          <w:szCs w:val="14"/>
          <w:i w:val="1"/>
          <w:iCs w:val="1"/>
          <w:color w:val="auto"/>
        </w:rPr>
      </w:pPr>
    </w:p>
    <w:p>
      <w:pPr>
        <w:jc w:val="both"/>
        <w:ind w:left="284" w:right="20" w:hanging="284"/>
        <w:spacing w:after="0" w:line="221" w:lineRule="auto"/>
        <w:tabs>
          <w:tab w:leader="none" w:pos="28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Fulfillment expenses include shipping and handling expenses, which amounted RMB 1.3 billion and RMB 1.6 billion in the three month periods ended June 30, 2022 and June 30, 2023, respectively.</w:t>
      </w:r>
    </w:p>
    <w:p>
      <w:pPr>
        <w:ind w:left="284" w:hanging="284"/>
        <w:spacing w:after="0" w:line="229" w:lineRule="auto"/>
        <w:tabs>
          <w:tab w:leader="none" w:pos="28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86" w:right="60" w:hanging="286"/>
        <w:spacing w:after="0" w:line="224" w:lineRule="auto"/>
        <w:tabs>
          <w:tab w:leader="none" w:pos="286"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3" w:lineRule="exact"/>
        <w:rPr>
          <w:rFonts w:ascii="Arial" w:cs="Arial" w:eastAsia="Arial" w:hAnsi="Arial"/>
          <w:sz w:val="14"/>
          <w:szCs w:val="14"/>
          <w:i w:val="1"/>
          <w:iCs w:val="1"/>
          <w:color w:val="auto"/>
        </w:rPr>
      </w:pPr>
    </w:p>
    <w:p>
      <w:pPr>
        <w:ind w:left="286" w:right="240" w:hanging="286"/>
        <w:spacing w:after="0" w:line="221" w:lineRule="auto"/>
        <w:tabs>
          <w:tab w:leader="none" w:pos="286"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Fulfillment expenses include shipping and handling expenses, which amounted RMB 2.5 billion and RMB 2.9 billion in the six month periods ended June 30, 2022 and June 30, 2023, respectively.</w:t>
      </w:r>
    </w:p>
    <w:p>
      <w:pPr>
        <w:ind w:left="286" w:right="80" w:hanging="286"/>
        <w:spacing w:after="0" w:line="229" w:lineRule="auto"/>
        <w:tabs>
          <w:tab w:leader="none" w:pos="286"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0" w:lineRule="exact"/>
        <w:rPr>
          <w:sz w:val="20"/>
          <w:szCs w:val="20"/>
          <w:color w:val="auto"/>
        </w:rPr>
      </w:pPr>
    </w:p>
    <w:p>
      <w:pPr>
        <w:sectPr>
          <w:pgSz w:w="11900" w:h="16838" w:orient="portrait"/>
          <w:cols w:equalWidth="0" w:num="2">
            <w:col w:w="5184" w:space="434"/>
            <w:col w:w="5406"/>
          </w:cols>
          <w:pgMar w:left="436" w:top="270" w:right="439" w:bottom="1440" w:gutter="0" w:footer="0" w:header="0"/>
          <w:type w:val="continuous"/>
        </w:sectPr>
      </w:pP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June 30, 2022</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June 30, 2023</w:t>
            </w:r>
          </w:p>
        </w:tc>
        <w:tc>
          <w:tcPr>
            <w:tcW w:w="32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June 30, 2022</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June 30, 2023</w:t>
            </w:r>
          </w:p>
        </w:tc>
        <w:tc>
          <w:tcPr>
            <w:tcW w:w="4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RMB’000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320" w:type="dxa"/>
            <w:vAlign w:val="bottom"/>
          </w:tcPr>
          <w:p>
            <w:pPr>
              <w:spacing w:after="0"/>
              <w:rPr>
                <w:sz w:val="12"/>
                <w:szCs w:val="12"/>
                <w:color w:val="auto"/>
              </w:rPr>
            </w:pPr>
          </w:p>
        </w:tc>
        <w:tc>
          <w:tcPr>
            <w:tcW w:w="82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USD’000</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USD’000</w:t>
            </w:r>
          </w:p>
        </w:tc>
        <w:tc>
          <w:tcPr>
            <w:tcW w:w="40" w:type="dxa"/>
            <w:vAlign w:val="bottom"/>
          </w:tcPr>
          <w:p>
            <w:pPr>
              <w:spacing w:after="0"/>
              <w:rPr>
                <w:sz w:val="12"/>
                <w:szCs w:val="12"/>
                <w:color w:val="auto"/>
              </w:rPr>
            </w:pPr>
          </w:p>
        </w:tc>
      </w:tr>
      <w:tr>
        <w:trPr>
          <w:trHeight w:val="130"/>
        </w:trPr>
        <w:tc>
          <w:tcPr>
            <w:tcW w:w="4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Share-based compensation expenses are included in the operating</w:t>
            </w: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4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 as follows:</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4400" w:type="dxa"/>
            <w:vAlign w:val="bottom"/>
          </w:tcPr>
          <w:p>
            <w:pPr>
              <w:spacing w:after="0" w:line="149" w:lineRule="exact"/>
              <w:rPr>
                <w:sz w:val="20"/>
                <w:szCs w:val="20"/>
                <w:color w:val="auto"/>
              </w:rPr>
            </w:pPr>
            <w:r>
              <w:rPr>
                <w:rFonts w:ascii="Arial" w:cs="Arial" w:eastAsia="Arial" w:hAnsi="Arial"/>
                <w:sz w:val="14"/>
                <w:szCs w:val="14"/>
                <w:color w:val="auto"/>
              </w:rPr>
              <w:t>Fulfillment expenses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19,362</w:t>
            </w:r>
          </w:p>
        </w:tc>
        <w:tc>
          <w:tcPr>
            <w:tcW w:w="14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23,173</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3,196</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37,629</w:t>
            </w:r>
          </w:p>
        </w:tc>
        <w:tc>
          <w:tcPr>
            <w:tcW w:w="13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38,542</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5,315</w:t>
            </w: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Marketing expenses</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3,839</w:t>
            </w:r>
          </w:p>
        </w:tc>
        <w:tc>
          <w:tcPr>
            <w:tcW w:w="14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8,383</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1,156</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6,203</w:t>
            </w:r>
          </w:p>
        </w:tc>
        <w:tc>
          <w:tcPr>
            <w:tcW w:w="13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17,711</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2,442</w:t>
            </w:r>
          </w:p>
        </w:tc>
      </w:tr>
      <w:tr>
        <w:trPr>
          <w:trHeight w:val="148"/>
        </w:trPr>
        <w:tc>
          <w:tcPr>
            <w:tcW w:w="4400" w:type="dxa"/>
            <w:vAlign w:val="bottom"/>
          </w:tcPr>
          <w:p>
            <w:pPr>
              <w:spacing w:after="0" w:line="149" w:lineRule="exact"/>
              <w:rPr>
                <w:sz w:val="20"/>
                <w:szCs w:val="20"/>
                <w:color w:val="auto"/>
              </w:rPr>
            </w:pPr>
            <w:r>
              <w:rPr>
                <w:rFonts w:ascii="Arial" w:cs="Arial" w:eastAsia="Arial" w:hAnsi="Arial"/>
                <w:sz w:val="14"/>
                <w:szCs w:val="14"/>
                <w:color w:val="auto"/>
              </w:rPr>
              <w:t>Technology and content expenses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68,930</w:t>
            </w:r>
          </w:p>
        </w:tc>
        <w:tc>
          <w:tcPr>
            <w:tcW w:w="14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92,906</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12,812</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124,137</w:t>
            </w:r>
          </w:p>
        </w:tc>
        <w:tc>
          <w:tcPr>
            <w:tcW w:w="13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154,273</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21,275</w:t>
            </w:r>
          </w:p>
        </w:tc>
      </w:tr>
      <w:tr>
        <w:trPr>
          <w:trHeight w:val="148"/>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190,668</w:t>
            </w:r>
          </w:p>
        </w:tc>
        <w:tc>
          <w:tcPr>
            <w:tcW w:w="14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256,996</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35,441</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352,500</w:t>
            </w:r>
          </w:p>
        </w:tc>
        <w:tc>
          <w:tcPr>
            <w:tcW w:w="13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475,076</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65,516</w:t>
            </w:r>
          </w:p>
        </w:tc>
      </w:tr>
      <w:tr>
        <w:trPr>
          <w:trHeight w:val="156"/>
        </w:trPr>
        <w:tc>
          <w:tcPr>
            <w:tcW w:w="44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282,799</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381,458</w:t>
            </w:r>
          </w:p>
        </w:tc>
        <w:tc>
          <w:tcPr>
            <w:tcW w:w="3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52,605</w:t>
            </w: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520,469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685,602</w:t>
            </w: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94,548</w:t>
            </w:r>
          </w:p>
        </w:tc>
        <w:tc>
          <w:tcPr>
            <w:tcW w:w="40" w:type="dxa"/>
            <w:vAlign w:val="bottom"/>
          </w:tcPr>
          <w:p>
            <w:pPr>
              <w:spacing w:after="0"/>
              <w:rPr>
                <w:sz w:val="13"/>
                <w:szCs w:val="13"/>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December 31, 2022</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June 30, 2023</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June 30, 2023</w:t>
            </w:r>
          </w:p>
        </w:tc>
      </w:tr>
      <w:tr>
        <w:trPr>
          <w:trHeight w:val="142"/>
        </w:trPr>
        <w:tc>
          <w:tcPr>
            <w:tcW w:w="7100" w:type="dxa"/>
            <w:vAlign w:val="bottom"/>
          </w:tcPr>
          <w:p>
            <w:pPr>
              <w:spacing w:after="0"/>
              <w:rPr>
                <w:sz w:val="12"/>
                <w:szCs w:val="12"/>
                <w:color w:val="auto"/>
              </w:rPr>
            </w:pPr>
          </w:p>
        </w:tc>
        <w:tc>
          <w:tcPr>
            <w:tcW w:w="118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RMB’000</w:t>
            </w:r>
          </w:p>
        </w:tc>
        <w:tc>
          <w:tcPr>
            <w:tcW w:w="480" w:type="dxa"/>
            <w:vAlign w:val="bottom"/>
            <w:gridSpan w:val="2"/>
          </w:tcPr>
          <w:p>
            <w:pPr>
              <w:spacing w:after="0"/>
              <w:rPr>
                <w:sz w:val="12"/>
                <w:szCs w:val="12"/>
                <w:color w:val="auto"/>
              </w:rPr>
            </w:pP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RMB’000</w:t>
            </w:r>
          </w:p>
        </w:tc>
        <w:tc>
          <w:tcPr>
            <w:tcW w:w="480" w:type="dxa"/>
            <w:vAlign w:val="bottom"/>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USD’000</w:t>
            </w:r>
          </w:p>
        </w:tc>
        <w:tc>
          <w:tcPr>
            <w:tcW w:w="100" w:type="dxa"/>
            <w:vAlign w:val="bottom"/>
          </w:tcPr>
          <w:p>
            <w:pPr>
              <w:spacing w:after="0"/>
              <w:rPr>
                <w:sz w:val="12"/>
                <w:szCs w:val="12"/>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21,938,653</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17,279,939</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2,383,013</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1,164,748</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1,006,743</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138,836</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 term investments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1,595,904</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1,451,565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200,180</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Accounts receivable, net</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567,730</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715,435</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98,663</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due from related parties, net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670,187</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697,735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96,222</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Other receivables and prepayments, net</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2,280,449</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2,011,608</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277,413</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receivables, net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882</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1,939</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r>
      <w:tr>
        <w:trPr>
          <w:trHeight w:val="156"/>
        </w:trPr>
        <w:tc>
          <w:tcPr>
            <w:tcW w:w="710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5,515,880</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4,081,458</w:t>
            </w:r>
          </w:p>
        </w:tc>
        <w:tc>
          <w:tcPr>
            <w:tcW w:w="4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562,859</w:t>
            </w:r>
          </w:p>
        </w:tc>
        <w:tc>
          <w:tcPr>
            <w:tcW w:w="100" w:type="dxa"/>
            <w:vAlign w:val="bottom"/>
          </w:tcPr>
          <w:p>
            <w:pPr>
              <w:spacing w:after="0"/>
              <w:rPr>
                <w:sz w:val="13"/>
                <w:szCs w:val="13"/>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33,734,433</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27,246,422</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3,757,453</w:t>
            </w: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4"/>
                <w:szCs w:val="14"/>
                <w:color w:val="auto"/>
              </w:rPr>
              <w:t>NON-CURRENT ASSETS</w:t>
            </w:r>
          </w:p>
        </w:tc>
        <w:tc>
          <w:tcPr>
            <w:tcW w:w="11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16,225,589</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16,435,045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2,266,496</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Deposits for property and equipment</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296,717</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32,760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4,518</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use rights, net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7,638,506</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7,920,624</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1,092,304</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336,599</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334,710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46,159</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equity method investees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2,162,872</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2,150,450</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296,561</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2,660,305</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3,026,766</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417,410</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assets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91,762</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1,301,765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179,522</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755,213</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755,213</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104,149</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 net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681,770</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690,820</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95,268</w:t>
            </w:r>
          </w:p>
        </w:tc>
      </w:tr>
      <w:tr>
        <w:trPr>
          <w:trHeight w:val="156"/>
        </w:trPr>
        <w:tc>
          <w:tcPr>
            <w:tcW w:w="710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891,744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592,035</w:t>
            </w:r>
          </w:p>
        </w:tc>
        <w:tc>
          <w:tcPr>
            <w:tcW w:w="4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81,645</w:t>
            </w:r>
          </w:p>
        </w:tc>
        <w:tc>
          <w:tcPr>
            <w:tcW w:w="100" w:type="dxa"/>
            <w:vAlign w:val="bottom"/>
          </w:tcPr>
          <w:p>
            <w:pPr>
              <w:spacing w:after="0"/>
              <w:rPr>
                <w:sz w:val="13"/>
                <w:szCs w:val="13"/>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non-current assets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31,741,077</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33,240,188</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4,584,032</w:t>
            </w: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65,475,510</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60,486,610</w:t>
            </w:r>
          </w:p>
        </w:tc>
        <w:tc>
          <w:tcPr>
            <w:tcW w:w="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8,341,485</w:t>
            </w:r>
          </w:p>
        </w:tc>
        <w:tc>
          <w:tcPr>
            <w:tcW w:w="10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EQUITY</w:t>
            </w: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 term loans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2,687,438</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507,971</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70,052</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15,018,138</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13,363,632</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1,842,929</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 from customers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1,737,424</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1,345,158</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185,506</w:t>
            </w: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8,394,742</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7,998,783</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1,103,081</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due to related parties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151,736</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151,807</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20,935</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Deferred income</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400,207</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350,632</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48,354</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136,435</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82,909</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11,434</w:t>
            </w:r>
          </w:p>
        </w:tc>
      </w:tr>
      <w:tr>
        <w:trPr>
          <w:trHeight w:val="163"/>
        </w:trPr>
        <w:tc>
          <w:tcPr>
            <w:tcW w:w="71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28,526,120</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23,800,892</w:t>
            </w:r>
          </w:p>
        </w:tc>
        <w:tc>
          <w:tcPr>
            <w:tcW w:w="4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3,282,291</w:t>
            </w:r>
          </w:p>
        </w:tc>
        <w:tc>
          <w:tcPr>
            <w:tcW w:w="100" w:type="dxa"/>
            <w:vAlign w:val="bottom"/>
          </w:tcPr>
          <w:p>
            <w:pPr>
              <w:spacing w:after="0"/>
              <w:rPr>
                <w:sz w:val="14"/>
                <w:szCs w:val="14"/>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w:t>
            </w: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10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573,734</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557,137</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76,833</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income-non current</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1,469,685</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1,691,196</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233,227</w:t>
            </w:r>
          </w:p>
        </w:tc>
      </w:tr>
      <w:tr>
        <w:trPr>
          <w:trHeight w:val="155"/>
        </w:trPr>
        <w:tc>
          <w:tcPr>
            <w:tcW w:w="7100" w:type="dxa"/>
            <w:vAlign w:val="bottom"/>
          </w:tcPr>
          <w:p>
            <w:pPr>
              <w:spacing w:after="0" w:line="149" w:lineRule="exact"/>
              <w:rPr>
                <w:sz w:val="20"/>
                <w:szCs w:val="20"/>
                <w:color w:val="auto"/>
              </w:rPr>
            </w:pPr>
            <w:r>
              <w:rPr>
                <w:rFonts w:ascii="Arial" w:cs="Arial" w:eastAsia="Arial" w:hAnsi="Arial"/>
                <w:sz w:val="14"/>
                <w:szCs w:val="14"/>
                <w:color w:val="auto"/>
              </w:rPr>
              <w:t>Operating lease liabilities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832,928</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724,807</w:t>
            </w:r>
          </w:p>
        </w:tc>
        <w:tc>
          <w:tcPr>
            <w:tcW w:w="4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99,955</w:t>
            </w:r>
          </w:p>
        </w:tc>
        <w:tc>
          <w:tcPr>
            <w:tcW w:w="100" w:type="dxa"/>
            <w:vAlign w:val="bottom"/>
          </w:tcPr>
          <w:p>
            <w:pPr>
              <w:spacing w:after="0"/>
              <w:rPr>
                <w:sz w:val="13"/>
                <w:szCs w:val="13"/>
                <w:color w:val="auto"/>
              </w:rPr>
            </w:pP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non-current liabilities</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2,876,347</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2,973,140</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410,015</w:t>
            </w: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31,402,467</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26,774,032</w:t>
            </w:r>
          </w:p>
        </w:tc>
        <w:tc>
          <w:tcPr>
            <w:tcW w:w="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3,692,306</w:t>
            </w:r>
          </w:p>
        </w:tc>
        <w:tc>
          <w:tcPr>
            <w:tcW w:w="10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EQUITY:</w:t>
            </w: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7100" w:type="dxa"/>
            <w:vAlign w:val="bottom"/>
          </w:tcPr>
          <w:p>
            <w:pPr>
              <w:spacing w:after="0" w:line="130" w:lineRule="exact"/>
              <w:rPr>
                <w:sz w:val="20"/>
                <w:szCs w:val="20"/>
                <w:color w:val="auto"/>
              </w:rPr>
            </w:pPr>
            <w:r>
              <w:rPr>
                <w:rFonts w:ascii="Arial" w:cs="Arial" w:eastAsia="Arial" w:hAnsi="Arial"/>
                <w:sz w:val="14"/>
                <w:szCs w:val="14"/>
                <w:color w:val="auto"/>
                <w:w w:val="98"/>
              </w:rPr>
              <w:t>Class A ordinary shares (US$0.0001 par value, 483,489,642 shares authorized,124,060,090 and 98,537,695 shares</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100" w:type="dxa"/>
            <w:vAlign w:val="bottom"/>
          </w:tcPr>
          <w:p>
            <w:pPr>
              <w:ind w:left="140"/>
              <w:spacing w:after="0" w:line="149" w:lineRule="exact"/>
              <w:rPr>
                <w:sz w:val="20"/>
                <w:szCs w:val="20"/>
                <w:color w:val="auto"/>
              </w:rPr>
            </w:pPr>
            <w:r>
              <w:rPr>
                <w:rFonts w:ascii="Arial" w:cs="Arial" w:eastAsia="Arial" w:hAnsi="Arial"/>
                <w:sz w:val="14"/>
                <w:szCs w:val="14"/>
                <w:color w:val="auto"/>
              </w:rPr>
              <w:t>issued, of which 101,621,330 and 92,789,889 shares were outstanding as of December 31, 2022 and June 30,</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100" w:type="dxa"/>
            <w:vAlign w:val="bottom"/>
          </w:tcPr>
          <w:p>
            <w:pPr>
              <w:ind w:left="140"/>
              <w:spacing w:after="0"/>
              <w:rPr>
                <w:sz w:val="20"/>
                <w:szCs w:val="20"/>
                <w:color w:val="auto"/>
              </w:rPr>
            </w:pPr>
            <w:r>
              <w:rPr>
                <w:rFonts w:ascii="Arial" w:cs="Arial" w:eastAsia="Arial" w:hAnsi="Arial"/>
                <w:sz w:val="14"/>
                <w:szCs w:val="14"/>
                <w:color w:val="auto"/>
              </w:rPr>
              <w:t>2023, respectively)</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62</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r>
      <w:tr>
        <w:trPr>
          <w:trHeight w:val="130"/>
        </w:trPr>
        <w:tc>
          <w:tcPr>
            <w:tcW w:w="7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Class B ordinary shares (US$0.0001 par value, 16,510,358 shares authorized, and 15,560,358 and 15,560,358 shares</w:t>
            </w: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issued and outstanding as of December 31, 2022 and June 30, 2023, respectively)</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4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r>
      <w:tr>
        <w:trPr>
          <w:trHeight w:val="130"/>
        </w:trPr>
        <w:tc>
          <w:tcPr>
            <w:tcW w:w="7100" w:type="dxa"/>
            <w:vAlign w:val="bottom"/>
          </w:tcPr>
          <w:p>
            <w:pPr>
              <w:spacing w:after="0" w:line="130" w:lineRule="exact"/>
              <w:rPr>
                <w:sz w:val="20"/>
                <w:szCs w:val="20"/>
                <w:color w:val="auto"/>
              </w:rPr>
            </w:pPr>
            <w:r>
              <w:rPr>
                <w:rFonts w:ascii="Arial" w:cs="Arial" w:eastAsia="Arial" w:hAnsi="Arial"/>
                <w:sz w:val="14"/>
                <w:szCs w:val="14"/>
                <w:color w:val="auto"/>
              </w:rPr>
              <w:t>Treasury shares, at cost(22,438,760 and 5,747,806 Class A shares as of December 31, 2022 and June 30, 2023,</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100" w:type="dxa"/>
            <w:vAlign w:val="bottom"/>
          </w:tcPr>
          <w:p>
            <w:pPr>
              <w:ind w:left="140"/>
              <w:spacing w:after="0"/>
              <w:rPr>
                <w:sz w:val="20"/>
                <w:szCs w:val="20"/>
                <w:color w:val="auto"/>
              </w:rPr>
            </w:pPr>
            <w:r>
              <w:rPr>
                <w:rFonts w:ascii="Arial" w:cs="Arial" w:eastAsia="Arial" w:hAnsi="Arial"/>
                <w:sz w:val="14"/>
                <w:szCs w:val="14"/>
                <w:color w:val="auto"/>
              </w:rPr>
              <w:t>respectively )</w:t>
            </w:r>
          </w:p>
        </w:tc>
        <w:tc>
          <w:tcPr>
            <w:tcW w:w="1660" w:type="dxa"/>
            <w:vAlign w:val="bottom"/>
            <w:gridSpan w:val="3"/>
          </w:tcPr>
          <w:p>
            <w:pPr>
              <w:jc w:val="right"/>
              <w:ind w:right="440"/>
              <w:spacing w:after="0"/>
              <w:rPr>
                <w:sz w:val="20"/>
                <w:szCs w:val="20"/>
                <w:color w:val="auto"/>
              </w:rPr>
            </w:pPr>
            <w:r>
              <w:rPr>
                <w:rFonts w:ascii="Arial" w:cs="Arial" w:eastAsia="Arial" w:hAnsi="Arial"/>
                <w:sz w:val="14"/>
                <w:szCs w:val="14"/>
                <w:color w:val="auto"/>
              </w:rPr>
              <w:t>(8,352,511)</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(3,502,901)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(483,072)</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13,091,781</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3,918,724</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540,417</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28,720,304</w:t>
            </w:r>
          </w:p>
        </w:tc>
        <w:tc>
          <w:tcPr>
            <w:tcW w:w="46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32,676,488</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4,506,294</w:t>
            </w:r>
          </w:p>
        </w:tc>
      </w:tr>
      <w:tr>
        <w:trPr>
          <w:trHeight w:val="148"/>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6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(707,628)</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(736,986)</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(101,635)</w:t>
            </w:r>
          </w:p>
        </w:tc>
      </w:tr>
      <w:tr>
        <w:trPr>
          <w:trHeight w:val="155"/>
        </w:trPr>
        <w:tc>
          <w:tcPr>
            <w:tcW w:w="710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1,321,006</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1,357,180</w:t>
            </w:r>
          </w:p>
        </w:tc>
        <w:tc>
          <w:tcPr>
            <w:tcW w:w="4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187,164</w:t>
            </w:r>
          </w:p>
        </w:tc>
        <w:tc>
          <w:tcPr>
            <w:tcW w:w="100" w:type="dxa"/>
            <w:vAlign w:val="bottom"/>
          </w:tcPr>
          <w:p>
            <w:pPr>
              <w:spacing w:after="0"/>
              <w:rPr>
                <w:sz w:val="13"/>
                <w:szCs w:val="13"/>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1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34,073,043</w:t>
            </w:r>
          </w:p>
        </w:tc>
        <w:tc>
          <w:tcPr>
            <w:tcW w:w="4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33,712,578</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4,649,179</w:t>
            </w:r>
          </w:p>
        </w:tc>
      </w:tr>
      <w:tr>
        <w:trPr>
          <w:trHeight w:val="155"/>
        </w:trPr>
        <w:tc>
          <w:tcPr>
            <w:tcW w:w="710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SHAREHOLDERS’ EQUITY</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65,475,510</w:t>
            </w:r>
          </w:p>
        </w:tc>
        <w:tc>
          <w:tcPr>
            <w:tcW w:w="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60,486,610</w:t>
            </w:r>
          </w:p>
        </w:tc>
        <w:tc>
          <w:tcPr>
            <w:tcW w:w="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8,341,485</w:t>
            </w:r>
          </w:p>
        </w:tc>
        <w:tc>
          <w:tcPr>
            <w:tcW w:w="100" w:type="dxa"/>
            <w:vAlign w:val="bottom"/>
          </w:tcPr>
          <w:p>
            <w:pPr>
              <w:spacing w:after="0"/>
              <w:rPr>
                <w:sz w:val="13"/>
                <w:szCs w:val="13"/>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GAAP and Non-GAAP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7"/>
              </w:rPr>
              <w:t>June 30, 2022</w:t>
            </w:r>
          </w:p>
        </w:tc>
        <w:tc>
          <w:tcPr>
            <w:tcW w:w="102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2023</w:t>
            </w: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90"/>
              </w:rPr>
              <w:t>June 30, 2022</w:t>
            </w:r>
          </w:p>
        </w:tc>
        <w:tc>
          <w:tcPr>
            <w:tcW w:w="102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June 30, 2023</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June 30,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RMB’000</w:t>
            </w:r>
          </w:p>
        </w:tc>
        <w:tc>
          <w:tcPr>
            <w:tcW w:w="180" w:type="dxa"/>
            <w:vAlign w:val="bottom"/>
            <w:gridSpan w:val="2"/>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USD’000</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RMB’000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USD’000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1,268,285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1,916,499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264,297</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2,550,900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3,902,192</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538,139</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expenses</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282,799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381,458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52,605</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520,469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685,602</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94,548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income from operations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1,551,084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2,297,957</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316,902</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3,071,369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4,587,794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632,687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Net income attributable to Vipshop’s shareholders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1,282,890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2,097,454</w:t>
            </w:r>
          </w:p>
        </w:tc>
        <w:tc>
          <w:tcPr>
            <w:tcW w:w="1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289,251</w:t>
            </w:r>
          </w:p>
        </w:tc>
        <w:tc>
          <w:tcPr>
            <w:tcW w:w="16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2,378,554</w:t>
            </w:r>
          </w:p>
        </w:tc>
        <w:tc>
          <w:tcPr>
            <w:tcW w:w="1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3,956,184</w:t>
            </w:r>
          </w:p>
        </w:tc>
        <w:tc>
          <w:tcPr>
            <w:tcW w:w="1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545,585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expenses</w:t>
            </w: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282,799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381,458</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52,605</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520,469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685,602</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94,548</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Impairment loss of investments</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19,105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2,635</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50,000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19,105</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loss (gain) and revaluation of investments excluding dividends</w:t>
            </w: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9,884</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(39,352)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(5,427)</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45,619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(81,333)</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(11,216)</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4"/>
                <w:szCs w:val="14"/>
                <w:color w:val="auto"/>
              </w:rPr>
              <w:t>Reconciling items on the share of equity method investments(4)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(31,777)</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(22,897)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(3,158)</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19,737</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(37,612)</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(5,187)</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effects on non-GAAP adjustments</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(1,387)</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(34,432)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(4,748)</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(3,144)</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(71,390)</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156"/>
        </w:trPr>
        <w:tc>
          <w:tcPr>
            <w:tcW w:w="5000" w:type="dxa"/>
            <w:vAlign w:val="bottom"/>
          </w:tcPr>
          <w:p>
            <w:pPr>
              <w:spacing w:after="0" w:line="155" w:lineRule="exact"/>
              <w:rPr>
                <w:sz w:val="20"/>
                <w:szCs w:val="20"/>
                <w:color w:val="auto"/>
              </w:rPr>
            </w:pPr>
            <w:r>
              <w:rPr>
                <w:rFonts w:ascii="Arial" w:cs="Arial" w:eastAsia="Arial" w:hAnsi="Arial"/>
                <w:sz w:val="14"/>
                <w:szCs w:val="14"/>
                <w:color w:val="auto"/>
              </w:rPr>
              <w:t>Non-GAAP net income attributable to Vipshop’s shareholders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1,592,409</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2,401,336</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331,158</w:t>
            </w:r>
          </w:p>
        </w:tc>
        <w:tc>
          <w:tcPr>
            <w:tcW w:w="16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3,011,235</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4,470,556</w:t>
            </w:r>
          </w:p>
        </w:tc>
        <w:tc>
          <w:tcPr>
            <w:tcW w:w="1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616,520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900"/>
        <w:spacing w:after="0"/>
        <w:rPr>
          <w:sz w:val="20"/>
          <w:szCs w:val="20"/>
          <w:color w:val="auto"/>
        </w:rPr>
      </w:pPr>
      <w:r>
        <w:rPr>
          <w:rFonts w:ascii="Arial" w:cs="Arial" w:eastAsia="Arial" w:hAnsi="Arial"/>
          <w:sz w:val="14"/>
          <w:szCs w:val="14"/>
          <w:i w:val="1"/>
          <w:iCs w:val="1"/>
          <w:color w:val="auto"/>
        </w:rPr>
        <w:t>   </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(4)   To exclude the GAAP to non-GAAP reconciling items relating to investment loss (gain) and revaluation of investments on the share of equity method investments.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Shares used in calculating earnings per share:</w:t>
            </w:r>
          </w:p>
        </w:tc>
        <w:tc>
          <w:tcPr>
            <w:tcW w:w="1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Weighted average number of Class A and Class B ordinary shares:</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3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129,149,941</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110,053,473</w:t>
            </w:r>
          </w:p>
        </w:tc>
        <w:tc>
          <w:tcPr>
            <w:tcW w:w="10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110,053,473</w:t>
            </w:r>
          </w:p>
        </w:tc>
        <w:tc>
          <w:tcPr>
            <w:tcW w:w="10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132,186,466</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112,975,907</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112,975,907</w:t>
            </w: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3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129,934,399</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111,819,666</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111,819,666</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132,973,941</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114,669,108</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114,669,108</w:t>
            </w: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net income per Class A and Class B ordinary share</w:t>
            </w:r>
          </w:p>
        </w:tc>
        <w:tc>
          <w:tcPr>
            <w:tcW w:w="1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Non-GAAP net income attributable to Vipshop’s shareholders—Basic</w:t>
            </w:r>
          </w:p>
        </w:tc>
        <w:tc>
          <w:tcPr>
            <w:tcW w:w="13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12.33</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21.82</w:t>
            </w:r>
          </w:p>
        </w:tc>
        <w:tc>
          <w:tcPr>
            <w:tcW w:w="10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3.01</w:t>
            </w: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22.78</w:t>
            </w: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39.57</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5.46</w:t>
            </w:r>
          </w:p>
        </w:tc>
      </w:tr>
      <w:tr>
        <w:trPr>
          <w:trHeight w:val="149"/>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net income attributable to Vipshop’s shareholders—Diluted</w:t>
            </w:r>
          </w:p>
        </w:tc>
        <w:tc>
          <w:tcPr>
            <w:tcW w:w="13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12.26</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21.48</w:t>
            </w:r>
          </w:p>
        </w:tc>
        <w:tc>
          <w:tcPr>
            <w:tcW w:w="10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2.96</w:t>
            </w:r>
          </w:p>
        </w:tc>
        <w:tc>
          <w:tcPr>
            <w:tcW w:w="10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22.65</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38.99</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5.38</w:t>
            </w: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Non-GAAP net income per ADS (1 ordinary share equal to 5 ADSs)</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Non-GAAP net income attributable to Vipshop’s shareholders—Basic</w:t>
            </w:r>
          </w:p>
        </w:tc>
        <w:tc>
          <w:tcPr>
            <w:tcW w:w="13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2.47</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4.36</w:t>
            </w:r>
          </w:p>
        </w:tc>
        <w:tc>
          <w:tcPr>
            <w:tcW w:w="10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0.60</w:t>
            </w:r>
          </w:p>
        </w:tc>
        <w:tc>
          <w:tcPr>
            <w:tcW w:w="10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4.56</w:t>
            </w:r>
          </w:p>
        </w:tc>
        <w:tc>
          <w:tcPr>
            <w:tcW w:w="10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7.91</w:t>
            </w:r>
          </w:p>
        </w:tc>
        <w:tc>
          <w:tcPr>
            <w:tcW w:w="10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1.09</w:t>
            </w: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Non-GAAP net income attributable to Vipshop’s shareholders—Diluted</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0.59</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4.53</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7.80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1.08</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lvl w:ilvl="1">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5"/>
      <w:numFmt w:val="bullet"/>
      <w:start w:val="1"/>
    </w:lvl>
  </w:abstractNum>
  <w:abstractNum w:abstractNumId="8">
    <w:nsid w:val="3352255A"/>
    <w:multiLevelType w:val="hybridMultilevel"/>
    <w:lvl w:ilvl="0">
      <w:lvlJc w:val="left"/>
      <w:lvlText w:val="6"/>
      <w:numFmt w:val="bullet"/>
      <w:start w:val="1"/>
    </w:lvl>
  </w:abstractNum>
  <w:abstractNum w:abstractNumId="9">
    <w:nsid w:val="109CF92E"/>
    <w:multiLevelType w:val="hybridMultilevel"/>
    <w:lvl w:ilvl="0">
      <w:lvlJc w:val="left"/>
      <w:lvlText w:val="7"/>
      <w:numFmt w:val="bullet"/>
      <w:start w:val="1"/>
    </w:lvl>
  </w:abstractNum>
  <w:abstractNum w:abstractNumId="10">
    <w:nsid w:val="DED7263"/>
    <w:multiLevelType w:val="hybridMultilevel"/>
    <w:lvl w:ilvl="0">
      <w:lvlJc w:val="left"/>
      <w:lvlText w:val="8"/>
      <w:numFmt w:val="bullet"/>
      <w:start w:val="1"/>
    </w:lvl>
  </w:abstractNum>
  <w:abstractNum w:abstractNumId="11">
    <w:nsid w:val="7FDCC233"/>
    <w:multiLevelType w:val="hybridMultilevel"/>
    <w:lvl w:ilvl="0">
      <w:lvlJc w:val="left"/>
      <w:lvlText w:val="9"/>
      <w:numFmt w:val="bullet"/>
      <w:start w:val="1"/>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lowerRoman"/>
      <w:start w:val="4"/>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2023-08-18T08:10:23Z</dcterms:created>
  <dcterms:modified xsi:type="dcterms:W3CDTF">2023-08-18T08:10:23Z</dcterms:modified>
</cp:coreProperties>
</file>