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180847dsc13ga.htm"/>
      <w:bookmarkStart w:id="1" w:name="ksd180847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13G/A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8)*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Class A ordinary shares, par value US$0.0001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G93629 106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December 31,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13d-1(d)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CUSIP No. G93629 106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94"/>
        <w:gridCol w:w="121"/>
        <w:gridCol w:w="752"/>
        <w:gridCol w:w="172"/>
        <w:gridCol w:w="169"/>
        <w:gridCol w:w="172"/>
        <w:gridCol w:w="8222"/>
      </w:tblGrid>
      <w:tr>
        <w:trPr/>
        <w:tc>
          <w:tcPr>
            <w:tcW w:w="4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22" w:type="dxa"/>
            <w:tcBorders/>
            <w:vAlign w:val="center"/>
          </w:tcPr>
          <w:p>
            <w:pPr>
              <w:pStyle w:val="TableContents"/>
              <w:bidi w:val="0"/>
              <w:spacing w:before="0" w:after="283"/>
              <w:jc w:val="left"/>
              <w:rPr>
                <w:sz w:val="4"/>
                <w:szCs w:val="4"/>
              </w:rPr>
            </w:pPr>
            <w:r>
              <w:rPr>
                <w:sz w:val="4"/>
                <w:szCs w:val="4"/>
              </w:rPr>
            </w:r>
          </w:p>
        </w:tc>
      </w:tr>
      <w:tr>
        <w:trPr/>
        <w:tc>
          <w:tcPr>
            <w:tcW w:w="49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Elegant Motion Holdings Limited</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British Virgin Islands</w:t>
            </w:r>
          </w:p>
        </w:tc>
      </w:tr>
    </w:tbl>
    <w:tbl>
      <w:tblPr>
        <w:tblW w:w="4950" w:type="pct"/>
        <w:jc w:val="left"/>
        <w:tblInd w:w="0" w:type="dxa"/>
        <w:tblLayout w:type="fixed"/>
        <w:tblCellMar>
          <w:top w:w="0" w:type="dxa"/>
          <w:left w:w="0" w:type="dxa"/>
          <w:bottom w:w="0" w:type="dxa"/>
          <w:right w:w="0" w:type="dxa"/>
        </w:tblCellMar>
      </w:tblPr>
      <w:tblGrid>
        <w:gridCol w:w="445"/>
        <w:gridCol w:w="365"/>
        <w:gridCol w:w="776"/>
        <w:gridCol w:w="177"/>
        <w:gridCol w:w="275"/>
        <w:gridCol w:w="129"/>
        <w:gridCol w:w="7935"/>
      </w:tblGrid>
      <w:tr>
        <w:trPr/>
        <w:tc>
          <w:tcPr>
            <w:tcW w:w="445"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935" w:type="dxa"/>
            <w:tcBorders/>
            <w:vAlign w:val="center"/>
          </w:tcPr>
          <w:p>
            <w:pPr>
              <w:pStyle w:val="TableContents"/>
              <w:bidi w:val="0"/>
              <w:spacing w:before="0" w:after="283"/>
              <w:jc w:val="left"/>
              <w:rPr>
                <w:sz w:val="4"/>
                <w:szCs w:val="4"/>
              </w:rPr>
            </w:pPr>
            <w:r>
              <w:rPr>
                <w:sz w:val="4"/>
                <w:szCs w:val="4"/>
              </w:rPr>
            </w:r>
          </w:p>
        </w:tc>
      </w:tr>
      <w:tr>
        <w:trPr/>
        <w:tc>
          <w:tcPr>
            <w:tcW w:w="158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5 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15,941,084 shares (represented by 15,560,358 Class B ordinary shares and 380,726 Class A ordinary shares in the form of American depositary shares (ADSs))(1)</w:t>
            </w:r>
          </w:p>
        </w:tc>
      </w:tr>
      <w:tr>
        <w:trPr/>
        <w:tc>
          <w:tcPr>
            <w:tcW w:w="158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8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7</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15,941,084 shares (represented by 15,560,358 Class B ordinary shares and 380,726 Class A ordinary shares in the form of ADSs)(1)</w:t>
            </w:r>
          </w:p>
        </w:tc>
      </w:tr>
      <w:tr>
        <w:trPr/>
        <w:tc>
          <w:tcPr>
            <w:tcW w:w="158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5" w:type="dxa"/>
            <w:tcBorders/>
          </w:tcPr>
          <w:p>
            <w:pPr>
              <w:pStyle w:val="TableContents"/>
              <w:bidi w:val="0"/>
              <w:spacing w:before="0" w:after="283"/>
              <w:jc w:val="left"/>
              <w:rPr/>
            </w:pPr>
            <w:r>
              <w:rPr/>
              <w:t>8</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93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15,941,084 shares</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14.7%(2)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Notes: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held by Elegant Motion Holdings Limited, which is ultimately wholly owned by the SYZXC Trust. See Item 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conversion of all Class B ordinary shares into Class A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CUSIP No. G93629 106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94"/>
        <w:gridCol w:w="121"/>
        <w:gridCol w:w="752"/>
        <w:gridCol w:w="172"/>
        <w:gridCol w:w="169"/>
        <w:gridCol w:w="172"/>
        <w:gridCol w:w="8222"/>
      </w:tblGrid>
      <w:tr>
        <w:trPr/>
        <w:tc>
          <w:tcPr>
            <w:tcW w:w="4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22" w:type="dxa"/>
            <w:tcBorders/>
            <w:vAlign w:val="center"/>
          </w:tcPr>
          <w:p>
            <w:pPr>
              <w:pStyle w:val="TableContents"/>
              <w:bidi w:val="0"/>
              <w:spacing w:before="0" w:after="283"/>
              <w:jc w:val="left"/>
              <w:rPr>
                <w:sz w:val="4"/>
                <w:szCs w:val="4"/>
              </w:rPr>
            </w:pPr>
            <w:r>
              <w:rPr>
                <w:sz w:val="4"/>
                <w:szCs w:val="4"/>
              </w:rPr>
            </w:r>
          </w:p>
        </w:tc>
      </w:tr>
      <w:tr>
        <w:trPr/>
        <w:tc>
          <w:tcPr>
            <w:tcW w:w="49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Eric Ya Shen</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Peoples Republic of China</w:t>
            </w:r>
          </w:p>
        </w:tc>
      </w:tr>
    </w:tbl>
    <w:tbl>
      <w:tblPr>
        <w:tblW w:w="4950" w:type="pct"/>
        <w:jc w:val="left"/>
        <w:tblInd w:w="0" w:type="dxa"/>
        <w:tblLayout w:type="fixed"/>
        <w:tblCellMar>
          <w:top w:w="0" w:type="dxa"/>
          <w:left w:w="0" w:type="dxa"/>
          <w:bottom w:w="0" w:type="dxa"/>
          <w:right w:w="0" w:type="dxa"/>
        </w:tblCellMar>
      </w:tblPr>
      <w:tblGrid>
        <w:gridCol w:w="437"/>
        <w:gridCol w:w="356"/>
        <w:gridCol w:w="766"/>
        <w:gridCol w:w="174"/>
        <w:gridCol w:w="271"/>
        <w:gridCol w:w="127"/>
        <w:gridCol w:w="7971"/>
      </w:tblGrid>
      <w:tr>
        <w:trPr/>
        <w:tc>
          <w:tcPr>
            <w:tcW w:w="43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971" w:type="dxa"/>
            <w:tcBorders/>
            <w:vAlign w:val="center"/>
          </w:tcPr>
          <w:p>
            <w:pPr>
              <w:pStyle w:val="TableContents"/>
              <w:bidi w:val="0"/>
              <w:spacing w:before="0" w:after="283"/>
              <w:jc w:val="left"/>
              <w:rPr>
                <w:sz w:val="4"/>
                <w:szCs w:val="4"/>
              </w:rPr>
            </w:pPr>
            <w:r>
              <w:rPr>
                <w:sz w:val="4"/>
                <w:szCs w:val="4"/>
              </w:rPr>
            </w:r>
          </w:p>
        </w:tc>
      </w:tr>
      <w:tr>
        <w:trPr/>
        <w:tc>
          <w:tcPr>
            <w:tcW w:w="1559"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1" w:type="dxa"/>
            <w:tcBorders>
              <w:bottom w:val="single" w:sz="2" w:space="0" w:color="000000"/>
            </w:tcBorders>
            <w:tcMar>
              <w:bottom w:w="28" w:type="dxa"/>
            </w:tcMar>
          </w:tcPr>
          <w:p>
            <w:pPr>
              <w:pStyle w:val="TableContents"/>
              <w:bidi w:val="0"/>
              <w:spacing w:before="0" w:after="283"/>
              <w:jc w:val="left"/>
              <w:rPr/>
            </w:pPr>
            <w:r>
              <w:rPr/>
              <w:t>5 </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71"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1,799,380 shares (represented by options to acquire 1,796,847 Class A ordinary shares exercisable within 60 days after December 31, 2023 and 2,533 Class A ordinary shares in the form of ADSs, which are directly held by Eric Ya Shen)</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1" w:type="dxa"/>
            <w:tcBorders>
              <w:bottom w:val="single" w:sz="2" w:space="0" w:color="000000"/>
            </w:tcBorders>
            <w:tcMar>
              <w:bottom w:w="28" w:type="dxa"/>
            </w:tcMar>
          </w:tcPr>
          <w:p>
            <w:pPr>
              <w:pStyle w:val="TableContents"/>
              <w:bidi w:val="0"/>
              <w:spacing w:before="0" w:after="283"/>
              <w:jc w:val="left"/>
              <w:rPr/>
            </w:pPr>
            <w:r>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71"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15,941,084 shares (represented by 15,560,358 Class B ordinary shares and 380,726 Class A ordinary shares in the form of ADSs)(1)</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1" w:type="dxa"/>
            <w:tcBorders>
              <w:bottom w:val="single" w:sz="2" w:space="0" w:color="000000"/>
            </w:tcBorders>
            <w:tcMar>
              <w:bottom w:w="28" w:type="dxa"/>
            </w:tcMar>
          </w:tcPr>
          <w:p>
            <w:pPr>
              <w:pStyle w:val="TableContents"/>
              <w:bidi w:val="0"/>
              <w:spacing w:before="0" w:after="283"/>
              <w:jc w:val="left"/>
              <w:rPr/>
            </w:pPr>
            <w:r>
              <w:rPr/>
              <w:t>7</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71"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1,799,380 shares (represented by options to acquire 1,796,847 Class A ordinary shares exercisable within 60 days after December 31, 2023 and 2,533 Class A ordinary shares in the form of ADSs, which are directly held by Eric Ya Shen)</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8</w:t>
            </w:r>
          </w:p>
        </w:tc>
        <w:tc>
          <w:tcPr>
            <w:tcW w:w="127" w:type="dxa"/>
            <w:tcBorders>
              <w:left w:val="single" w:sz="2" w:space="0" w:color="000000"/>
            </w:tcBorders>
            <w:tcMar>
              <w:left w:w="28" w:type="dxa"/>
            </w:tcMar>
            <w:vAlign w:val="bottom"/>
          </w:tcPr>
          <w:p>
            <w:pPr>
              <w:pStyle w:val="TableContents"/>
              <w:bidi w:val="0"/>
              <w:spacing w:before="0" w:after="283"/>
              <w:jc w:val="left"/>
              <w:rPr/>
            </w:pPr>
            <w:r>
              <w:rPr/>
              <w:t> </w:t>
            </w:r>
          </w:p>
        </w:tc>
        <w:tc>
          <w:tcPr>
            <w:tcW w:w="7971"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15,941,084 shares (represented by 15,560,358 Class B ordinary shares and 380,726 Class A ordinary shares in the form of ADSs)(1)</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17,740,464 shares</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16.1%(2)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Notes: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held by Elegant Motion Holdings Limited, which is ultimately wholly owned by the SYZXC Trust. See Item 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conversion of all Class B ordinary shares into Class A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CUSIP No. G93629 106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94"/>
        <w:gridCol w:w="121"/>
        <w:gridCol w:w="752"/>
        <w:gridCol w:w="172"/>
        <w:gridCol w:w="169"/>
        <w:gridCol w:w="172"/>
        <w:gridCol w:w="8222"/>
      </w:tblGrid>
      <w:tr>
        <w:trPr/>
        <w:tc>
          <w:tcPr>
            <w:tcW w:w="4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22" w:type="dxa"/>
            <w:tcBorders/>
            <w:vAlign w:val="center"/>
          </w:tcPr>
          <w:p>
            <w:pPr>
              <w:pStyle w:val="TableContents"/>
              <w:bidi w:val="0"/>
              <w:spacing w:before="0" w:after="283"/>
              <w:jc w:val="left"/>
              <w:rPr>
                <w:sz w:val="4"/>
                <w:szCs w:val="4"/>
              </w:rPr>
            </w:pPr>
            <w:r>
              <w:rPr>
                <w:sz w:val="4"/>
                <w:szCs w:val="4"/>
              </w:rPr>
            </w:r>
          </w:p>
        </w:tc>
      </w:tr>
      <w:tr>
        <w:trPr/>
        <w:tc>
          <w:tcPr>
            <w:tcW w:w="49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8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Xiaochun Zhang</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8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Peoples Republic of China</w:t>
            </w:r>
          </w:p>
        </w:tc>
      </w:tr>
    </w:tbl>
    <w:tbl>
      <w:tblPr>
        <w:tblW w:w="4950" w:type="pct"/>
        <w:jc w:val="left"/>
        <w:tblInd w:w="0" w:type="dxa"/>
        <w:tblLayout w:type="fixed"/>
        <w:tblCellMar>
          <w:top w:w="0" w:type="dxa"/>
          <w:left w:w="0" w:type="dxa"/>
          <w:bottom w:w="0" w:type="dxa"/>
          <w:right w:w="0" w:type="dxa"/>
        </w:tblCellMar>
      </w:tblPr>
      <w:tblGrid>
        <w:gridCol w:w="445"/>
        <w:gridCol w:w="365"/>
        <w:gridCol w:w="776"/>
        <w:gridCol w:w="177"/>
        <w:gridCol w:w="275"/>
        <w:gridCol w:w="129"/>
        <w:gridCol w:w="7935"/>
      </w:tblGrid>
      <w:tr>
        <w:trPr/>
        <w:tc>
          <w:tcPr>
            <w:tcW w:w="445"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935" w:type="dxa"/>
            <w:tcBorders/>
            <w:vAlign w:val="center"/>
          </w:tcPr>
          <w:p>
            <w:pPr>
              <w:pStyle w:val="TableContents"/>
              <w:bidi w:val="0"/>
              <w:spacing w:before="0" w:after="283"/>
              <w:jc w:val="left"/>
              <w:rPr>
                <w:sz w:val="4"/>
                <w:szCs w:val="4"/>
              </w:rPr>
            </w:pPr>
            <w:r>
              <w:rPr>
                <w:sz w:val="4"/>
                <w:szCs w:val="4"/>
              </w:rPr>
            </w:r>
          </w:p>
        </w:tc>
      </w:tr>
      <w:tr>
        <w:trPr/>
        <w:tc>
          <w:tcPr>
            <w:tcW w:w="158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5 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8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15,941,084 shares (represented by 15,560,358 Class B ordinary shares and 380,726 Class A ordinary shares in the form of ADSs)(1)</w:t>
            </w:r>
          </w:p>
        </w:tc>
      </w:tr>
      <w:tr>
        <w:trPr/>
        <w:tc>
          <w:tcPr>
            <w:tcW w:w="158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7</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8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5" w:type="dxa"/>
            <w:tcBorders/>
          </w:tcPr>
          <w:p>
            <w:pPr>
              <w:pStyle w:val="TableContents"/>
              <w:bidi w:val="0"/>
              <w:spacing w:before="0" w:after="283"/>
              <w:jc w:val="left"/>
              <w:rPr/>
            </w:pPr>
            <w:r>
              <w:rPr/>
              <w:t>8</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93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15,941,084 shares (represented by 15,560,358 Class B ordinary shares and 380,726 Class A ordinary shares in the form of ADSs)(1)</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15,941,084 shares</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14.7%(2)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Notes: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held by Elegant Motion Holdings Limited, which is ultimately wholly owned by the SYZXC Trust. See Item 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conversion of all Class B ordinary shares into Class A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13"/>
        <w:gridCol w:w="203"/>
        <w:gridCol w:w="9289"/>
      </w:tblGrid>
      <w:tr>
        <w:trPr/>
        <w:tc>
          <w:tcPr>
            <w:tcW w:w="71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b/>
              </w:rPr>
            </w:pPr>
            <w:r>
              <w:rPr>
                <w:b/>
              </w:rPr>
              <w:t>Item 1(a).</w:t>
            </w:r>
          </w:p>
        </w:tc>
        <w:tc>
          <w:tcPr>
            <w:tcW w:w="203" w:type="dxa"/>
            <w:tcBorders/>
            <w:vAlign w:val="bottom"/>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Name of Issuer:</w:t>
            </w:r>
          </w:p>
          <w:p>
            <w:pPr>
              <w:pStyle w:val="TableContents"/>
              <w:bidi w:val="0"/>
              <w:spacing w:before="0" w:after="0"/>
              <w:jc w:val="left"/>
              <w:rPr/>
            </w:pPr>
            <w:r>
              <w:rPr/>
              <w:t> </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Vipshop Holdings Limited (the Issuer)</w:t>
            </w:r>
          </w:p>
        </w:tc>
      </w:tr>
      <w:tr>
        <w:trPr>
          <w:trHeight w:val="36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b/>
              </w:rPr>
            </w:pPr>
            <w:r>
              <w:rPr>
                <w:b/>
              </w:rPr>
              <w:t>Item 1(b).</w:t>
            </w:r>
          </w:p>
        </w:tc>
        <w:tc>
          <w:tcPr>
            <w:tcW w:w="203" w:type="dxa"/>
            <w:tcBorders/>
            <w:vAlign w:val="bottom"/>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Address of Issuers Principal Executive Offices: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Vipshop Headquarters, 128 Dingxin Road</w:t>
            </w:r>
          </w:p>
          <w:p>
            <w:pPr>
              <w:pStyle w:val="TableContents"/>
              <w:bidi w:val="0"/>
              <w:spacing w:before="0" w:after="0"/>
              <w:jc w:val="left"/>
              <w:rPr>
                <w:rFonts w:ascii="Times New Roman" w:hAnsi="Times New Roman"/>
                <w:sz w:val="20"/>
              </w:rPr>
            </w:pPr>
            <w:r>
              <w:rPr>
                <w:rFonts w:ascii="Times New Roman" w:hAnsi="Times New Roman"/>
                <w:sz w:val="20"/>
              </w:rPr>
              <w:t>Haizhu District, Guangzhou 510220</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Peoples Republic of China</w:t>
            </w:r>
          </w:p>
        </w:tc>
      </w:tr>
      <w:tr>
        <w:trPr>
          <w:trHeight w:val="36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b/>
              </w:rPr>
            </w:pPr>
            <w:r>
              <w:rPr>
                <w:b/>
              </w:rPr>
              <w:t>Item 2(a).</w:t>
            </w:r>
          </w:p>
        </w:tc>
        <w:tc>
          <w:tcPr>
            <w:tcW w:w="203" w:type="dxa"/>
            <w:tcBorders/>
            <w:vAlign w:val="bottom"/>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Name of Person Filing: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Elegant Motion Holdings Limited</w:t>
            </w:r>
          </w:p>
          <w:p>
            <w:pPr>
              <w:pStyle w:val="TableContents"/>
              <w:bidi w:val="0"/>
              <w:spacing w:before="0" w:after="0"/>
              <w:jc w:val="left"/>
              <w:rPr>
                <w:rFonts w:ascii="Times New Roman" w:hAnsi="Times New Roman"/>
                <w:sz w:val="20"/>
              </w:rPr>
            </w:pPr>
            <w:r>
              <w:rPr>
                <w:rFonts w:ascii="Times New Roman" w:hAnsi="Times New Roman"/>
                <w:sz w:val="20"/>
              </w:rPr>
              <w:t>Eric Ya Shen</w:t>
            </w:r>
          </w:p>
          <w:p>
            <w:pPr>
              <w:pStyle w:val="TableContents"/>
              <w:bidi w:val="0"/>
              <w:spacing w:before="0" w:after="0"/>
              <w:jc w:val="left"/>
              <w:rPr>
                <w:rFonts w:ascii="Times New Roman" w:hAnsi="Times New Roman"/>
                <w:sz w:val="20"/>
              </w:rPr>
            </w:pPr>
            <w:r>
              <w:rPr>
                <w:rFonts w:ascii="Times New Roman" w:hAnsi="Times New Roman"/>
                <w:sz w:val="20"/>
              </w:rPr>
              <w:t>Xiaochun Zhang</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(collectively, the Reporting Persons)</w:t>
            </w:r>
          </w:p>
        </w:tc>
      </w:tr>
      <w:tr>
        <w:trPr>
          <w:trHeight w:val="36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b/>
              </w:rPr>
            </w:pPr>
            <w:r>
              <w:rPr>
                <w:b/>
              </w:rPr>
              <w:t>Item 2(b).</w:t>
            </w:r>
          </w:p>
        </w:tc>
        <w:tc>
          <w:tcPr>
            <w:tcW w:w="203" w:type="dxa"/>
            <w:tcBorders/>
            <w:vAlign w:val="bottom"/>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Address of Principal Business Office or, if none, Residence: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Elegant Motion Holdings Limited:</w:t>
            </w:r>
          </w:p>
          <w:p>
            <w:pPr>
              <w:pStyle w:val="TableContents"/>
              <w:bidi w:val="0"/>
              <w:spacing w:before="0" w:after="0"/>
              <w:jc w:val="left"/>
              <w:rPr>
                <w:rFonts w:ascii="Times New Roman" w:hAnsi="Times New Roman"/>
                <w:sz w:val="20"/>
              </w:rPr>
            </w:pPr>
            <w:r>
              <w:rPr>
                <w:rFonts w:ascii="Times New Roman" w:hAnsi="Times New Roman"/>
                <w:sz w:val="20"/>
              </w:rPr>
              <w:t>Trident Chambers, Wickhams Cay, PO Box 146</w:t>
            </w:r>
          </w:p>
          <w:p>
            <w:pPr>
              <w:pStyle w:val="TableContents"/>
              <w:bidi w:val="0"/>
              <w:spacing w:before="0" w:after="0"/>
              <w:jc w:val="left"/>
              <w:rPr>
                <w:rFonts w:ascii="Times New Roman" w:hAnsi="Times New Roman"/>
                <w:sz w:val="20"/>
              </w:rPr>
            </w:pPr>
            <w:r>
              <w:rPr>
                <w:rFonts w:ascii="Times New Roman" w:hAnsi="Times New Roman"/>
                <w:sz w:val="20"/>
              </w:rPr>
              <w:t>Road Town, Tortola, British Virgin Islands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Eric Ya Shen and Xiaochun Zhang:</w:t>
            </w:r>
          </w:p>
          <w:p>
            <w:pPr>
              <w:pStyle w:val="TableContents"/>
              <w:bidi w:val="0"/>
              <w:spacing w:before="0" w:after="0"/>
              <w:jc w:val="left"/>
              <w:rPr>
                <w:rFonts w:ascii="Times New Roman" w:hAnsi="Times New Roman"/>
                <w:sz w:val="20"/>
              </w:rPr>
            </w:pPr>
            <w:r>
              <w:rPr>
                <w:rFonts w:ascii="Times New Roman" w:hAnsi="Times New Roman"/>
                <w:sz w:val="20"/>
              </w:rPr>
              <w:t>Vipshop Headquarters, 128 Dingxin Road</w:t>
            </w:r>
          </w:p>
          <w:p>
            <w:pPr>
              <w:pStyle w:val="TableContents"/>
              <w:bidi w:val="0"/>
              <w:spacing w:before="0" w:after="0"/>
              <w:jc w:val="left"/>
              <w:rPr>
                <w:rFonts w:ascii="Times New Roman" w:hAnsi="Times New Roman"/>
                <w:sz w:val="20"/>
              </w:rPr>
            </w:pPr>
            <w:r>
              <w:rPr>
                <w:rFonts w:ascii="Times New Roman" w:hAnsi="Times New Roman"/>
                <w:sz w:val="20"/>
              </w:rPr>
              <w:t>Haizhu District, Guangzhou 510220</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Peoples Republic of China</w:t>
            </w:r>
          </w:p>
        </w:tc>
      </w:tr>
      <w:tr>
        <w:trPr>
          <w:trHeight w:val="36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b/>
              </w:rPr>
            </w:pPr>
            <w:r>
              <w:rPr>
                <w:b/>
              </w:rPr>
              <w:t>Item 2(c)</w:t>
            </w:r>
          </w:p>
        </w:tc>
        <w:tc>
          <w:tcPr>
            <w:tcW w:w="203" w:type="dxa"/>
            <w:tcBorders/>
            <w:vAlign w:val="bottom"/>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Citizenship: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Elegant Motion Holdings Limited  British Virgin Islands</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Eric Ya Shen and Xiaochun Zhang  Peoples Republic of China</w:t>
            </w:r>
          </w:p>
        </w:tc>
      </w:tr>
      <w:tr>
        <w:trPr>
          <w:trHeight w:val="36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b/>
              </w:rPr>
            </w:pPr>
            <w:r>
              <w:rPr>
                <w:b/>
              </w:rPr>
              <w:t>Item 2(d).</w:t>
            </w:r>
          </w:p>
        </w:tc>
        <w:tc>
          <w:tcPr>
            <w:tcW w:w="203" w:type="dxa"/>
            <w:tcBorders/>
            <w:vAlign w:val="bottom"/>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Title of Class of Securities: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Class A ordinary shares, par value US$0.0001 per share, of the Issuer</w:t>
            </w:r>
          </w:p>
          <w:p>
            <w:pPr>
              <w:pStyle w:val="TableContents"/>
              <w:bidi w:val="0"/>
              <w:spacing w:before="0" w:after="0"/>
              <w:jc w:val="left"/>
              <w:rPr/>
            </w:pPr>
            <w:r>
              <w:rPr/>
              <w:t> </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The Issuers ordinary shares consist of Class A ordinary shares and Class B ordinary shares, each with par value of US$0.0001 per share. The rights of the holders of Class A ordinary shares and Class B ordinary shares are identical, except with respect to conversion rights and voting rights. Each Class B ordinary share is convertible at the option of the holder at any time into one Class A ordinary share. Class A ordinary shares are not convertible into Class B ordinary shares under any circumstance. Each holder of Class A ordinary shares is entitled to one vote per share and each holder of Class B ordinary shares is entitled to ten votes per share on all matters submitted to them for vote.</w:t>
            </w:r>
          </w:p>
        </w:tc>
      </w:tr>
      <w:tr>
        <w:trPr>
          <w:trHeight w:val="36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b/>
              </w:rPr>
            </w:pPr>
            <w:r>
              <w:rPr>
                <w:b/>
              </w:rPr>
              <w:t>Item 2(e).</w:t>
            </w:r>
          </w:p>
        </w:tc>
        <w:tc>
          <w:tcPr>
            <w:tcW w:w="203" w:type="dxa"/>
            <w:tcBorders/>
            <w:vAlign w:val="bottom"/>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CUSIP Number:</w:t>
            </w:r>
          </w:p>
          <w:p>
            <w:pPr>
              <w:pStyle w:val="TableContents"/>
              <w:bidi w:val="0"/>
              <w:spacing w:before="0" w:after="0"/>
              <w:jc w:val="left"/>
              <w:rPr/>
            </w:pPr>
            <w:r>
              <w:rPr/>
              <w:t> </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G93629 106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b/>
              </w:rPr>
            </w:pPr>
            <w:r>
              <w:rPr>
                <w:b/>
              </w:rPr>
              <w:t>Item 3.</w:t>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If this statement is filed pursuant to §§ 240.13d-1(b), or 240.13d-2(b) or (c), check whether the persons filing is a:</w:t>
            </w:r>
          </w:p>
          <w:p>
            <w:pPr>
              <w:pStyle w:val="TableContents"/>
              <w:bidi w:val="0"/>
              <w:spacing w:before="0" w:after="20"/>
              <w:jc w:val="left"/>
              <w:rPr/>
            </w:pPr>
            <w:r>
              <w:rPr/>
              <w:t> </w:t>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Not applicable</w:t>
            </w:r>
          </w:p>
        </w:tc>
      </w:tr>
      <w:tr>
        <w:trPr>
          <w:trHeight w:val="36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b/>
              </w:rPr>
            </w:pPr>
            <w:r>
              <w:rPr>
                <w:b/>
              </w:rPr>
              <w:t>Item 4.</w:t>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b/>
              </w:rPr>
            </w:pPr>
            <w:r>
              <w:rPr>
                <w:b/>
              </w:rPr>
              <w:t>Ownership.</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The following information with respect to the ownership of the ordinary shares of the Issuer by each of the Reporting Persons is provided as of December 31, 2023:</w:t>
            </w:r>
          </w:p>
        </w:tc>
      </w:tr>
    </w:tbl>
    <w:p>
      <w:pPr>
        <w:pStyle w:val="TextBody"/>
        <w:bidi w:val="0"/>
        <w:spacing w:before="0" w:after="0"/>
        <w:jc w:val="left"/>
        <w:rPr/>
      </w:pPr>
      <w:r>
        <w:rPr/>
        <w:t> </w:t>
      </w:r>
    </w:p>
    <w:tbl>
      <w:tblPr>
        <w:tblW w:w="11075" w:type="dxa"/>
        <w:jc w:val="center"/>
        <w:tblInd w:w="0" w:type="dxa"/>
        <w:tblLayout w:type="fixed"/>
        <w:tblCellMar>
          <w:top w:w="0" w:type="dxa"/>
          <w:left w:w="0" w:type="dxa"/>
          <w:bottom w:w="0" w:type="dxa"/>
          <w:right w:w="0" w:type="dxa"/>
        </w:tblCellMar>
      </w:tblPr>
      <w:tblGrid>
        <w:gridCol w:w="1295"/>
        <w:gridCol w:w="120"/>
        <w:gridCol w:w="60"/>
        <w:gridCol w:w="1100"/>
        <w:gridCol w:w="60"/>
        <w:gridCol w:w="120"/>
        <w:gridCol w:w="96"/>
        <w:gridCol w:w="704"/>
        <w:gridCol w:w="275"/>
        <w:gridCol w:w="60"/>
        <w:gridCol w:w="126"/>
        <w:gridCol w:w="929"/>
        <w:gridCol w:w="275"/>
        <w:gridCol w:w="60"/>
        <w:gridCol w:w="72"/>
        <w:gridCol w:w="1328"/>
        <w:gridCol w:w="60"/>
        <w:gridCol w:w="120"/>
        <w:gridCol w:w="60"/>
        <w:gridCol w:w="1100"/>
        <w:gridCol w:w="60"/>
        <w:gridCol w:w="120"/>
        <w:gridCol w:w="72"/>
        <w:gridCol w:w="1328"/>
        <w:gridCol w:w="60"/>
        <w:gridCol w:w="120"/>
        <w:gridCol w:w="63"/>
        <w:gridCol w:w="1172"/>
        <w:gridCol w:w="60"/>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Reporting Person</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of class: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pPr>
            <w:r>
              <w:rPr>
                <w:b/>
              </w:rPr>
              <w:t>Percent of</w:t>
            </w:r>
            <w:r>
              <w:rPr/>
              <w:br/>
            </w:r>
            <w:r>
              <w:rPr>
                <w:b/>
              </w:rPr>
              <w:t>aggregate</w:t>
            </w:r>
            <w:r>
              <w:rPr/>
              <w:br/>
            </w:r>
            <w:r>
              <w:rPr>
                <w:b/>
              </w:rPr>
              <w:t>voting</w:t>
            </w:r>
            <w:r>
              <w:rPr/>
              <w:br/>
            </w:r>
            <w:r>
              <w:rPr>
                <w:b/>
              </w:rPr>
              <w:t>power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pPr>
            <w:r>
              <w:rPr>
                <w:b/>
              </w:rPr>
              <w:t>Sole power to</w:t>
              <w:br/>
              <w:t>vote or direct</w:t>
            </w:r>
            <w:r>
              <w:rPr/>
              <w:br/>
            </w:r>
            <w:r>
              <w:rPr>
                <w:b/>
              </w:rPr>
              <w:t>the vote: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Shared</w:t>
              <w:br/>
              <w:t>power to</w:t>
              <w:br/>
              <w:t>vote or to</w:t>
              <w:br/>
              <w:t>direct the</w:t>
              <w:br/>
              <w:t>vote: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Sole power to</w:t>
              <w:br/>
              <w:t>dispose or to</w:t>
              <w:br/>
              <w:t>direct the</w:t>
              <w:br/>
              <w:t>disposition of:</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b/>
              </w:rPr>
              <w:t>Shared</w:t>
              <w:br/>
              <w:t>power to</w:t>
              <w:br/>
              <w:t>dispose or</w:t>
            </w:r>
            <w:r>
              <w:rPr/>
              <w:br/>
            </w:r>
            <w:r>
              <w:rPr>
                <w:b/>
              </w:rPr>
              <w:t>to direct the</w:t>
              <w:br/>
              <w:t>disposition</w:t>
              <w:br/>
              <w:t>of:</w:t>
            </w:r>
          </w:p>
        </w:tc>
        <w:tc>
          <w:tcPr>
            <w:tcW w:w="60"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Elegant Motion Holdings Limited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15,941,084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62.8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15,941,084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15,941,084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Eric Ya Shen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17,740,464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63.0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1,799,380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15,941,084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1,799,380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right"/>
              <w:rPr/>
            </w:pPr>
            <w:r>
              <w:rPr/>
              <w:t>15,941,084</w:t>
            </w:r>
          </w:p>
        </w:tc>
        <w:tc>
          <w:tcPr>
            <w:tcW w:w="60"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Xiaochun Zhang</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15,941,084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62.8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15,941,084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right"/>
              <w:rPr/>
            </w:pPr>
            <w:r>
              <w:rPr/>
              <w:t>15,941,084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Rule 13d-3(d)(1), all Class B ordinary shares (which are convertible into Class A ordinary shares) were deemed to be converted for the purpose of (i) determining the aggregate amount of Class A ordinary shares beneficially owned by the Reporting Persons and (ii) calculating the percentages of the Class A ordinary shares beneficially owned by the Reporting Persons. The percentage of the class of securities beneficially owned by each Reporting Person is calculated based on a total of 108,460,605 issued and outstanding ordinary shares (consisting of 92,900,247 Class A ordinary shares and 15,560,358 Class B ordinary shares) of the Issuer as of December 31, 2023 as a single class. In computing the percentage ownership of the Reporting Persons, the Reporting Persons have included, where applicable, shares that the reporting persons have the right to acquire within 60 days, including through the exercise of any option, warrant, or other right or the conversion of any other security, after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15,560,358 Class B ordinary shares of the Issuer and 380,726 Class A ordinary shares in the form of ADSs of the Issuer were held by Elegant Motion Holdings Limited, a British Virgin Islands company. Elegant Motion Holdings Limited is ultimately wholly owned by the SYZXC Trust. Under the terms of the SYZXC Trust, Eric Ya Shen and his wife Xiaochun Zhang have the power to direct the trustee with respect to the retention or disposal of the ordinary shares of the Issuer held by Elegant Motion Holdings Limited and the exercise of any voting and other rights attached thereto. Other than the trustee, no other person has the power to direct the receipt of dividends from, or proceeds from the sale of the ordinary shares of the Issuer held by Elegant Motion Holdings Limited. Pursuant to Section 13(d) of the Securities Exchange Act of 1934, as amended, and the rules promulgated thereunder, Eric Ya Shen and Xiaochun Zhang may be deemed to beneficially own all the ordinary shares of the Issuer held by Elegant Motion Holdings Limited.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b/>
              </w:rPr>
            </w:pPr>
            <w:r>
              <w:rPr>
                <w:b/>
              </w:rPr>
              <w:t>Item 5.</w:t>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Ownership of Five Percent or Less of a Class.</w:t>
            </w:r>
          </w:p>
          <w:p>
            <w:pPr>
              <w:pStyle w:val="TableContents"/>
              <w:bidi w:val="0"/>
              <w:spacing w:before="0" w:after="20"/>
              <w:jc w:val="left"/>
              <w:rPr/>
            </w:pPr>
            <w:r>
              <w:rPr/>
              <w:t> </w:t>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Not applicable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14"/>
        <w:gridCol w:w="203"/>
        <w:gridCol w:w="9288"/>
      </w:tblGrid>
      <w:tr>
        <w:trPr/>
        <w:tc>
          <w:tcPr>
            <w:tcW w:w="71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b/>
              </w:rPr>
            </w:pPr>
            <w:r>
              <w:rPr>
                <w:b/>
              </w:rPr>
              <w:t>Item 6.</w:t>
            </w:r>
          </w:p>
        </w:tc>
        <w:tc>
          <w:tcPr>
            <w:tcW w:w="203"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b/>
              </w:rPr>
            </w:pPr>
            <w:r>
              <w:rPr>
                <w:b/>
              </w:rPr>
              <w:t>Ownership of More Than Five Percent on Behalf of Another Person.</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9491"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Not applicable</w:t>
            </w:r>
          </w:p>
        </w:tc>
      </w:tr>
      <w:tr>
        <w:trPr>
          <w:trHeight w:val="360" w:hRule="atLeast"/>
        </w:trPr>
        <w:tc>
          <w:tcPr>
            <w:tcW w:w="714" w:type="dxa"/>
            <w:tcBorders/>
            <w:vAlign w:val="center"/>
          </w:tcPr>
          <w:p>
            <w:pPr>
              <w:pStyle w:val="TableContents"/>
              <w:bidi w:val="0"/>
              <w:spacing w:before="0" w:after="283"/>
              <w:jc w:val="left"/>
              <w:rPr>
                <w:sz w:val="4"/>
                <w:szCs w:val="4"/>
              </w:rPr>
            </w:pPr>
            <w:r>
              <w:rPr>
                <w:sz w:val="4"/>
                <w:szCs w:val="4"/>
              </w:rPr>
            </w:r>
          </w:p>
        </w:tc>
        <w:tc>
          <w:tcPr>
            <w:tcW w:w="9491"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b/>
              </w:rPr>
            </w:pPr>
            <w:r>
              <w:rPr>
                <w:b/>
              </w:rPr>
              <w:t>Item 7.</w:t>
            </w:r>
          </w:p>
        </w:tc>
        <w:tc>
          <w:tcPr>
            <w:tcW w:w="203"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b/>
              </w:rPr>
            </w:pPr>
            <w:r>
              <w:rPr>
                <w:b/>
              </w:rPr>
              <w:t>Identification and Classification of the Subsidiary Which Acquired the Security Being Reported on By the Parent Holding Company or Control Person.</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9491"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Not applicable</w:t>
            </w:r>
          </w:p>
        </w:tc>
      </w:tr>
      <w:tr>
        <w:trPr>
          <w:trHeight w:val="360" w:hRule="atLeast"/>
        </w:trPr>
        <w:tc>
          <w:tcPr>
            <w:tcW w:w="714" w:type="dxa"/>
            <w:tcBorders/>
            <w:vAlign w:val="center"/>
          </w:tcPr>
          <w:p>
            <w:pPr>
              <w:pStyle w:val="TableContents"/>
              <w:bidi w:val="0"/>
              <w:spacing w:before="0" w:after="283"/>
              <w:jc w:val="left"/>
              <w:rPr>
                <w:sz w:val="4"/>
                <w:szCs w:val="4"/>
              </w:rPr>
            </w:pPr>
            <w:r>
              <w:rPr>
                <w:sz w:val="4"/>
                <w:szCs w:val="4"/>
              </w:rPr>
            </w:r>
          </w:p>
        </w:tc>
        <w:tc>
          <w:tcPr>
            <w:tcW w:w="9491"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b/>
              </w:rPr>
            </w:pPr>
            <w:r>
              <w:rPr>
                <w:b/>
              </w:rPr>
              <w:t>Item 8.</w:t>
            </w:r>
          </w:p>
        </w:tc>
        <w:tc>
          <w:tcPr>
            <w:tcW w:w="203"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b/>
              </w:rPr>
            </w:pPr>
            <w:r>
              <w:rPr>
                <w:b/>
              </w:rPr>
              <w:t>Identification and Classification of Members of the Group.</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9491"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Not applicable</w:t>
            </w:r>
          </w:p>
        </w:tc>
      </w:tr>
      <w:tr>
        <w:trPr>
          <w:trHeight w:val="360" w:hRule="atLeast"/>
        </w:trPr>
        <w:tc>
          <w:tcPr>
            <w:tcW w:w="714" w:type="dxa"/>
            <w:tcBorders/>
            <w:vAlign w:val="center"/>
          </w:tcPr>
          <w:p>
            <w:pPr>
              <w:pStyle w:val="TableContents"/>
              <w:bidi w:val="0"/>
              <w:spacing w:before="0" w:after="283"/>
              <w:jc w:val="left"/>
              <w:rPr>
                <w:sz w:val="4"/>
                <w:szCs w:val="4"/>
              </w:rPr>
            </w:pPr>
            <w:r>
              <w:rPr>
                <w:sz w:val="4"/>
                <w:szCs w:val="4"/>
              </w:rPr>
            </w:r>
          </w:p>
        </w:tc>
        <w:tc>
          <w:tcPr>
            <w:tcW w:w="9491"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b/>
              </w:rPr>
            </w:pPr>
            <w:r>
              <w:rPr>
                <w:b/>
              </w:rPr>
              <w:t>Item 9.</w:t>
            </w:r>
          </w:p>
        </w:tc>
        <w:tc>
          <w:tcPr>
            <w:tcW w:w="203"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b/>
              </w:rPr>
            </w:pPr>
            <w:r>
              <w:rPr>
                <w:b/>
              </w:rPr>
              <w:t>Notice of Dissolution of Group.</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9491"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Not applicable</w:t>
            </w:r>
          </w:p>
        </w:tc>
      </w:tr>
      <w:tr>
        <w:trPr>
          <w:trHeight w:val="360" w:hRule="atLeast"/>
        </w:trPr>
        <w:tc>
          <w:tcPr>
            <w:tcW w:w="714" w:type="dxa"/>
            <w:tcBorders/>
            <w:vAlign w:val="center"/>
          </w:tcPr>
          <w:p>
            <w:pPr>
              <w:pStyle w:val="TableContents"/>
              <w:bidi w:val="0"/>
              <w:spacing w:before="0" w:after="283"/>
              <w:jc w:val="left"/>
              <w:rPr>
                <w:sz w:val="4"/>
                <w:szCs w:val="4"/>
              </w:rPr>
            </w:pPr>
            <w:r>
              <w:rPr>
                <w:sz w:val="4"/>
                <w:szCs w:val="4"/>
              </w:rPr>
            </w:r>
          </w:p>
        </w:tc>
        <w:tc>
          <w:tcPr>
            <w:tcW w:w="9491"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b/>
              </w:rPr>
            </w:pPr>
            <w:r>
              <w:rPr>
                <w:b/>
              </w:rPr>
              <w:t>Item 10.</w:t>
            </w:r>
          </w:p>
        </w:tc>
        <w:tc>
          <w:tcPr>
            <w:tcW w:w="203"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b/>
              </w:rPr>
            </w:pPr>
            <w:r>
              <w:rPr>
                <w:b/>
              </w:rPr>
              <w:t>Certifications.</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9491"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Not applicable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LIST OF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5"/>
        <w:gridCol w:w="812"/>
        <w:gridCol w:w="8198"/>
      </w:tblGrid>
      <w:tr>
        <w:trPr/>
        <w:tc>
          <w:tcPr>
            <w:tcW w:w="1195" w:type="dxa"/>
            <w:tcBorders/>
            <w:vAlign w:val="center"/>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8198" w:type="dxa"/>
            <w:tcBorders/>
            <w:vAlign w:val="center"/>
          </w:tcPr>
          <w:p>
            <w:pPr>
              <w:pStyle w:val="TableContents"/>
              <w:bidi w:val="0"/>
              <w:spacing w:before="0" w:after="283"/>
              <w:jc w:val="left"/>
              <w:rPr>
                <w:sz w:val="4"/>
                <w:szCs w:val="4"/>
              </w:rPr>
            </w:pPr>
            <w:r>
              <w:rPr>
                <w:sz w:val="4"/>
                <w:szCs w:val="4"/>
              </w:rPr>
            </w:r>
          </w:p>
        </w:tc>
      </w:tr>
      <w:tr>
        <w:trPr/>
        <w:tc>
          <w:tcPr>
            <w:tcW w:w="1195"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812" w:type="dxa"/>
            <w:tcBorders/>
            <w:vAlign w:val="bottom"/>
          </w:tcPr>
          <w:p>
            <w:pPr>
              <w:pStyle w:val="TableContents"/>
              <w:bidi w:val="0"/>
              <w:spacing w:before="0" w:after="283"/>
              <w:jc w:val="left"/>
              <w:rPr/>
            </w:pPr>
            <w:r>
              <w:rPr/>
              <w:t>  </w:t>
            </w:r>
          </w:p>
        </w:tc>
        <w:tc>
          <w:tcPr>
            <w:tcW w:w="81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195"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r>
      <w:tr>
        <w:trPr/>
        <w:tc>
          <w:tcPr>
            <w:tcW w:w="1195" w:type="dxa"/>
            <w:tcBorders/>
          </w:tcPr>
          <w:p>
            <w:pPr>
              <w:pStyle w:val="TableContents"/>
              <w:bidi w:val="0"/>
              <w:spacing w:before="0" w:after="283"/>
              <w:jc w:val="left"/>
              <w:rPr/>
            </w:pPr>
            <w:r>
              <w:rPr/>
              <w:t>A</w:t>
            </w:r>
          </w:p>
        </w:tc>
        <w:tc>
          <w:tcPr>
            <w:tcW w:w="812" w:type="dxa"/>
            <w:tcBorders/>
            <w:vAlign w:val="bottom"/>
          </w:tcPr>
          <w:p>
            <w:pPr>
              <w:pStyle w:val="TableContents"/>
              <w:bidi w:val="0"/>
              <w:spacing w:before="0" w:after="283"/>
              <w:jc w:val="left"/>
              <w:rPr/>
            </w:pPr>
            <w:r>
              <w:rPr/>
              <w:t>  </w:t>
            </w:r>
          </w:p>
        </w:tc>
        <w:tc>
          <w:tcPr>
            <w:tcW w:w="8198" w:type="dxa"/>
            <w:tcBorders/>
          </w:tcPr>
          <w:p>
            <w:pPr>
              <w:pStyle w:val="TableContents"/>
              <w:bidi w:val="0"/>
              <w:spacing w:before="0" w:after="283"/>
              <w:jc w:val="left"/>
              <w:rPr/>
            </w:pPr>
            <w:hyperlink r:id="rId2">
              <w:r>
                <w:rPr>
                  <w:rStyle w:val="InternetLink"/>
                </w:rPr>
                <w:t xml:space="preserve">Joint Filing Agreement (incorporated by reference to Exhibit A to Schedule 13G/A filed on February  11, 2015 by the reporting persons with the Securities and Exchange Commission)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February 8,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Elegant Motion Holdings Limited</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Authorized Signatories</w:t>
            </w:r>
          </w:p>
        </w:tc>
      </w:tr>
      <w:tr>
        <w:trPr/>
        <w:tc>
          <w:tcPr>
            <w:tcW w:w="4082" w:type="dxa"/>
            <w:gridSpan w:val="3"/>
            <w:tcBorders/>
          </w:tcPr>
          <w:p>
            <w:pPr>
              <w:pStyle w:val="TableContents"/>
              <w:bidi w:val="0"/>
              <w:spacing w:before="0" w:after="283"/>
              <w:jc w:val="left"/>
              <w:rPr/>
            </w:pPr>
            <w:r>
              <w:rPr/>
              <w:t>Name: Stepway Limited</w:t>
            </w:r>
          </w:p>
        </w:tc>
      </w:tr>
      <w:tr>
        <w:trPr/>
        <w:tc>
          <w:tcPr>
            <w:tcW w:w="4082" w:type="dxa"/>
            <w:gridSpan w:val="3"/>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Eric Ya Shen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Ya Shen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Xiaochun Zhang</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Xiaochun Zhang</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29192/000110465915008504/a15-4286_1ex99d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1780</Words>
  <Characters>8824</Characters>
  <CharactersWithSpaces>10713</CharactersWithSpaces>
  <Paragraphs>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13G/A</dc:title>
</cp:coreProperties>
</file>