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907177d20f.htm"/>
        <w:bookmarkStart w:id="1" w:name="ksd907177d20f"/>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20-F</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16"/>
        </w:rPr>
      </w:pPr>
      <w:r>
        <w:rPr>
          <w:rFonts w:ascii="Times New Roman" w:hAnsi="Times New Roman"/>
          <w:b/>
          <w:sz w:val="16"/>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REGISTRATION STATEMENT PURSUANT TO SECTION 12(b) OR (g)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For the fiscal year ended December 31, 2024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For the transition period from    to    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SHELL COMPANY REPORT PURSUANT TO SECTION 13 OR 15(d) OF THE SECURITIES EXCHANGE ACT OF 1934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Date of event requiring this shell company report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001-35454</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center"/>
        <w:rPr>
          <w:rFonts w:ascii="Times New Roman" w:hAnsi="Times New Roman"/>
          <w:b/>
          <w:sz w:val="16"/>
        </w:rPr>
      </w:pPr>
      <w:r>
        <w:rPr>
          <w:rFonts w:ascii="Times New Roman" w:hAnsi="Times New Roman"/>
          <w:b/>
          <w:sz w:val="16"/>
        </w:rPr>
        <w:t xml:space="preserve">(Translation of Registrant’s Name into English) </w:t>
      </w:r>
    </w:p>
    <w:p>
      <w:pPr>
        <w:pStyle w:val="TextBody"/>
        <w:bidi w:val="0"/>
        <w:spacing w:before="240" w:after="0"/>
        <w:jc w:val="center"/>
        <w:rPr>
          <w:rFonts w:ascii="Times New Roman" w:hAnsi="Times New Roman"/>
          <w:b/>
          <w:sz w:val="20"/>
        </w:rPr>
      </w:pPr>
      <w:r>
        <w:rPr>
          <w:rFonts w:ascii="Times New Roman" w:hAnsi="Times New Roman"/>
          <w:b/>
          <w:sz w:val="20"/>
        </w:rPr>
        <w:t xml:space="preserve">Cayman Islands </w:t>
      </w:r>
    </w:p>
    <w:p>
      <w:pPr>
        <w:pStyle w:val="TextBody"/>
        <w:bidi w:val="0"/>
        <w:spacing w:before="0" w:after="0"/>
        <w:jc w:val="center"/>
        <w:rPr>
          <w:rFonts w:ascii="Times New Roman" w:hAnsi="Times New Roman"/>
          <w:b/>
          <w:sz w:val="16"/>
        </w:rPr>
      </w:pPr>
      <w:r>
        <w:rPr>
          <w:rFonts w:ascii="Times New Roman" w:hAnsi="Times New Roman"/>
          <w:b/>
          <w:sz w:val="16"/>
        </w:rPr>
        <w:t xml:space="preserve">(Jurisdiction of Incorporation or Organization) </w:t>
      </w:r>
    </w:p>
    <w:p>
      <w:pPr>
        <w:pStyle w:val="TextBody"/>
        <w:bidi w:val="0"/>
        <w:spacing w:before="240" w:after="0"/>
        <w:jc w:val="center"/>
        <w:rPr>
          <w:rFonts w:ascii="Times New Roman" w:hAnsi="Times New Roman"/>
          <w:b/>
          <w:sz w:val="20"/>
        </w:rPr>
      </w:pPr>
      <w:r>
        <w:rPr>
          <w:rFonts w:ascii="Times New Roman" w:hAnsi="Times New Roman"/>
          <w:b/>
          <w:sz w:val="20"/>
        </w:rPr>
        <w:t xml:space="preserve">128 Dingxin Road </w:t>
      </w:r>
    </w:p>
    <w:p>
      <w:pPr>
        <w:pStyle w:val="TextBody"/>
        <w:bidi w:val="0"/>
        <w:spacing w:before="0" w:after="0"/>
        <w:jc w:val="center"/>
        <w:rPr>
          <w:rFonts w:ascii="Times New Roman" w:hAnsi="Times New Roman"/>
          <w:b/>
          <w:sz w:val="20"/>
        </w:rPr>
      </w:pPr>
      <w:r>
        <w:rPr>
          <w:rFonts w:ascii="Times New Roman" w:hAnsi="Times New Roman"/>
          <w:b/>
          <w:sz w:val="20"/>
        </w:rPr>
        <w:t xml:space="preserve">Haizhu District, Guangzhou 510220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Mark Wang,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128 Dingxin Road </w:t>
      </w:r>
    </w:p>
    <w:p>
      <w:pPr>
        <w:pStyle w:val="TextBody"/>
        <w:bidi w:val="0"/>
        <w:spacing w:before="0" w:after="0"/>
        <w:jc w:val="center"/>
        <w:rPr>
          <w:rFonts w:ascii="Times New Roman" w:hAnsi="Times New Roman"/>
          <w:b/>
          <w:sz w:val="20"/>
        </w:rPr>
      </w:pPr>
      <w:r>
        <w:rPr>
          <w:rFonts w:ascii="Times New Roman" w:hAnsi="Times New Roman"/>
          <w:b/>
          <w:sz w:val="20"/>
        </w:rPr>
        <w:t xml:space="preserve">Haizhu District, Guangzhou 510220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+86 (20) 2233-0025 </w:t>
      </w:r>
    </w:p>
    <w:p>
      <w:pPr>
        <w:pStyle w:val="TextBody"/>
        <w:bidi w:val="0"/>
        <w:spacing w:before="0" w:after="0"/>
        <w:jc w:val="center"/>
        <w:rPr>
          <w:rFonts w:ascii="Times New Roman" w:hAnsi="Times New Roman"/>
          <w:b/>
          <w:sz w:val="20"/>
        </w:rPr>
      </w:pPr>
      <w:r>
        <w:rPr>
          <w:rFonts w:ascii="Times New Roman" w:hAnsi="Times New Roman"/>
          <w:b/>
          <w:sz w:val="20"/>
        </w:rPr>
        <w:t xml:space="preserve">Facsimile: +86 (20) 2233-0111 </w:t>
      </w:r>
    </w:p>
    <w:p>
      <w:pPr>
        <w:pStyle w:val="TextBody"/>
        <w:bidi w:val="0"/>
        <w:spacing w:before="0" w:after="0"/>
        <w:jc w:val="center"/>
        <w:rPr>
          <w:rFonts w:ascii="Times New Roman" w:hAnsi="Times New Roman"/>
          <w:b/>
          <w:sz w:val="16"/>
        </w:rPr>
      </w:pPr>
      <w:r>
        <w:rPr>
          <w:rFonts w:ascii="Times New Roman" w:hAnsi="Times New Roman"/>
          <w:b/>
          <w:sz w:val="16"/>
        </w:rPr>
        <w:t xml:space="preserve">(Name, Telephone, Email and/or Facsimile Number and Address of Company Contact Person)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6"/>
        </w:rPr>
      </w:pPr>
      <w:r>
        <w:rPr>
          <w:rFonts w:ascii="Times New Roman" w:hAnsi="Times New Roman"/>
          <w:b/>
          <w:sz w:val="16"/>
        </w:rPr>
        <w:t xml:space="preserve">Securities registered or to be registered pursuant to Section 12(b) of the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52"/>
        <w:gridCol w:w="60"/>
        <w:gridCol w:w="1148"/>
        <w:gridCol w:w="60"/>
        <w:gridCol w:w="3185"/>
      </w:tblGrid>
      <w:tr>
        <w:trPr/>
        <w:tc>
          <w:tcPr>
            <w:tcW w:w="57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r>
      <w:tr>
        <w:trPr/>
        <w:tc>
          <w:tcPr>
            <w:tcW w:w="5752"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Title of Each Class</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Trading Symbol</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center"/>
              <w:rPr>
                <w:rFonts w:ascii="Times New Roman" w:hAnsi="Times New Roman"/>
                <w:b/>
                <w:sz w:val="16"/>
                <w:bdr w:val="single" w:sz="8" w:space="1" w:color="000000"/>
              </w:rPr>
            </w:pPr>
            <w:r>
              <w:rPr>
                <w:rFonts w:ascii="Times New Roman" w:hAnsi="Times New Roman"/>
                <w:b/>
                <w:sz w:val="16"/>
                <w:bdr w:val="single" w:sz="8" w:space="1" w:color="000000"/>
              </w:rPr>
              <w:t>Name of Each Exchange on Which Registered</w:t>
            </w:r>
          </w:p>
        </w:tc>
      </w:tr>
      <w:tr>
        <w:trPr/>
        <w:tc>
          <w:tcPr>
            <w:tcW w:w="5752" w:type="dxa"/>
            <w:tcBorders/>
            <w:vAlign w:val="center"/>
          </w:tcPr>
          <w:p>
            <w:pPr>
              <w:pStyle w:val="TableContents"/>
              <w:bidi w:val="0"/>
              <w:spacing w:before="0" w:after="0"/>
              <w:jc w:val="center"/>
              <w:rPr>
                <w:b/>
                <w:spacing w:val="0"/>
              </w:rPr>
            </w:pPr>
            <w:r>
              <w:rPr>
                <w:b/>
                <w:spacing w:val="0"/>
              </w:rPr>
              <w:t>American depositary shares, each representing</w:t>
            </w:r>
          </w:p>
          <w:p>
            <w:pPr>
              <w:pStyle w:val="TableContents"/>
              <w:bidi w:val="0"/>
              <w:spacing w:before="0" w:after="0"/>
              <w:jc w:val="center"/>
              <w:rPr>
                <w:b/>
                <w:spacing w:val="0"/>
              </w:rPr>
            </w:pPr>
            <w:r>
              <w:rPr>
                <w:b/>
                <w:spacing w:val="0"/>
              </w:rPr>
              <w:t>0.2 Class A ordinary shares, par value US$0.0001 per share</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0"/>
              <w:jc w:val="center"/>
              <w:rPr>
                <w:b/>
                <w:spacing w:val="0"/>
              </w:rPr>
            </w:pPr>
            <w:r>
              <w:rPr>
                <w:b/>
                <w:spacing w:val="0"/>
              </w:rPr>
              <w:t>VIPS</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center"/>
              <w:rPr>
                <w:b/>
                <w:spacing w:val="0"/>
              </w:rPr>
            </w:pPr>
            <w:r>
              <w:rPr>
                <w:b/>
                <w:spacing w:val="0"/>
              </w:rPr>
              <w:t>New York Stock Exchange</w:t>
            </w:r>
          </w:p>
        </w:tc>
      </w:tr>
      <w:tr>
        <w:trPr/>
        <w:tc>
          <w:tcPr>
            <w:tcW w:w="5752" w:type="dxa"/>
            <w:tcBorders/>
            <w:vAlign w:val="center"/>
          </w:tcPr>
          <w:p>
            <w:pPr>
              <w:pStyle w:val="TableContents"/>
              <w:bidi w:val="0"/>
              <w:spacing w:before="0" w:after="283"/>
              <w:jc w:val="left"/>
              <w:rPr>
                <w:sz w:val="4"/>
                <w:szCs w:val="4"/>
              </w:rPr>
            </w:pPr>
            <w:r>
              <w:rPr>
                <w:sz w:val="4"/>
                <w:szCs w:val="4"/>
              </w:rPr>
            </w:r>
          </w:p>
        </w:tc>
        <w:tc>
          <w:tcPr>
            <w:tcW w:w="1208" w:type="dxa"/>
            <w:gridSpan w:val="2"/>
            <w:tcBorders/>
            <w:vAlign w:val="center"/>
          </w:tcPr>
          <w:p>
            <w:pPr>
              <w:pStyle w:val="TableContents"/>
              <w:bidi w:val="0"/>
              <w:spacing w:before="0" w:after="283"/>
              <w:jc w:val="left"/>
              <w:rPr>
                <w:sz w:val="4"/>
                <w:szCs w:val="4"/>
              </w:rPr>
            </w:pPr>
            <w:r>
              <w:rPr>
                <w:sz w:val="4"/>
                <w:szCs w:val="4"/>
              </w:rPr>
            </w:r>
          </w:p>
        </w:tc>
        <w:tc>
          <w:tcPr>
            <w:tcW w:w="3245" w:type="dxa"/>
            <w:gridSpan w:val="2"/>
            <w:tcBorders/>
            <w:vAlign w:val="center"/>
          </w:tcPr>
          <w:p>
            <w:pPr>
              <w:pStyle w:val="TableContents"/>
              <w:bidi w:val="0"/>
              <w:spacing w:before="0" w:after="283"/>
              <w:jc w:val="left"/>
              <w:rPr>
                <w:sz w:val="4"/>
                <w:szCs w:val="4"/>
              </w:rPr>
            </w:pPr>
            <w:r>
              <w:rPr>
                <w:sz w:val="4"/>
                <w:szCs w:val="4"/>
              </w:rPr>
            </w:r>
          </w:p>
        </w:tc>
      </w:tr>
      <w:tr>
        <w:trPr/>
        <w:tc>
          <w:tcPr>
            <w:tcW w:w="5752" w:type="dxa"/>
            <w:tcBorders/>
            <w:vAlign w:val="center"/>
          </w:tcPr>
          <w:p>
            <w:pPr>
              <w:pStyle w:val="TableContents"/>
              <w:bidi w:val="0"/>
              <w:spacing w:before="0" w:after="0"/>
              <w:jc w:val="center"/>
              <w:rPr>
                <w:b/>
                <w:spacing w:val="0"/>
              </w:rPr>
            </w:pPr>
            <w:r>
              <w:rPr>
                <w:b/>
                <w:spacing w:val="0"/>
              </w:rPr>
              <w:t>Class A ordinary shares, par value US$0.0001</w:t>
            </w:r>
          </w:p>
          <w:p>
            <w:pPr>
              <w:pStyle w:val="TableContents"/>
              <w:bidi w:val="0"/>
              <w:spacing w:before="0" w:after="0"/>
              <w:jc w:val="center"/>
              <w:rPr>
                <w:b/>
                <w:spacing w:val="0"/>
              </w:rPr>
            </w:pPr>
            <w:r>
              <w:rPr>
                <w:b/>
                <w:spacing w:val="0"/>
              </w:rPr>
              <w:t>per share*</w:t>
            </w:r>
          </w:p>
        </w:tc>
        <w:tc>
          <w:tcPr>
            <w:tcW w:w="6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center"/>
              <w:rPr>
                <w:b/>
                <w:spacing w:val="0"/>
              </w:rPr>
            </w:pPr>
            <w:r>
              <w:rPr>
                <w:b/>
                <w:spacing w:val="0"/>
              </w:rPr>
              <w:t>New York Stock Exchange</w:t>
            </w:r>
          </w:p>
        </w:tc>
      </w:tr>
    </w:tbl>
    <w:p>
      <w:pPr>
        <w:pStyle w:val="TextBody"/>
        <w:bidi w:val="0"/>
        <w:spacing w:lineRule="atLeast" w:line="160" w:before="0" w:after="40"/>
        <w:jc w:val="left"/>
        <w:rPr>
          <w:bdr w:val="single" w:sz="2" w:space="1" w:color="000000"/>
        </w:rPr>
      </w:pPr>
      <w:r>
        <w:rPr>
          <w:bdr w:val="single" w:sz="2" w:space="1" w:color="000000"/>
        </w:rPr>
        <w:t> </w:t>
      </w:r>
    </w:p>
    <w:tbl>
      <w:tblPr>
        <w:tblW w:w="8620" w:type="dxa"/>
        <w:jc w:val="left"/>
        <w:tblInd w:w="0" w:type="dxa"/>
        <w:tblLayout w:type="fixed"/>
        <w:tblCellMar>
          <w:top w:w="0" w:type="dxa"/>
          <w:left w:w="0" w:type="dxa"/>
          <w:bottom w:w="0" w:type="dxa"/>
          <w:right w:w="0" w:type="dxa"/>
        </w:tblCellMar>
      </w:tblPr>
      <w:tblGrid>
        <w:gridCol w:w="155"/>
        <w:gridCol w:w="8465"/>
      </w:tblGrid>
      <w:tr>
        <w:trPr/>
        <w:tc>
          <w:tcPr>
            <w:tcW w:w="155" w:type="dxa"/>
            <w:tcBorders/>
            <w:vAlign w:val="center"/>
          </w:tcPr>
          <w:p>
            <w:pPr>
              <w:pStyle w:val="TableContents"/>
              <w:bidi w:val="0"/>
              <w:spacing w:before="0" w:after="283"/>
              <w:jc w:val="left"/>
              <w:rPr/>
            </w:pPr>
            <w:r>
              <w:rPr/>
              <w:t>*</w:t>
            </w:r>
          </w:p>
        </w:tc>
        <w:tc>
          <w:tcPr>
            <w:tcW w:w="84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Not for trading, but only in connection with the listing of American depositary shares on the New York Stock Exchange.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Securities registered or to be registered pursuant to Section 12(g) of the Act: </w:t>
      </w:r>
    </w:p>
    <w:p>
      <w:pPr>
        <w:pStyle w:val="TextBody"/>
        <w:bidi w:val="0"/>
        <w:spacing w:before="24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center"/>
        <w:rPr>
          <w:rFonts w:ascii="Times New Roman" w:hAnsi="Times New Roman"/>
          <w:b/>
          <w:sz w:val="20"/>
        </w:rPr>
      </w:pPr>
      <w:r>
        <w:rPr>
          <w:rFonts w:ascii="Times New Roman" w:hAnsi="Times New Roman"/>
          <w:b/>
          <w:sz w:val="20"/>
        </w:rPr>
        <w:t xml:space="preserve">(Title of Class) </w:t>
      </w:r>
    </w:p>
    <w:p>
      <w:pPr>
        <w:pStyle w:val="TextBody"/>
        <w:bidi w:val="0"/>
        <w:spacing w:before="120" w:after="0"/>
        <w:jc w:val="left"/>
        <w:rPr>
          <w:rFonts w:ascii="Times New Roman" w:hAnsi="Times New Roman"/>
          <w:b/>
          <w:sz w:val="20"/>
        </w:rPr>
      </w:pPr>
      <w:r>
        <w:rPr>
          <w:rFonts w:ascii="Times New Roman" w:hAnsi="Times New Roman"/>
          <w:b/>
          <w:sz w:val="20"/>
        </w:rPr>
        <w:t xml:space="preserve">Securities for which there is a reporting obligation pursuant to Section 15(d) of the Act: </w:t>
      </w:r>
    </w:p>
    <w:p>
      <w:pPr>
        <w:pStyle w:val="TextBody"/>
        <w:bidi w:val="0"/>
        <w:spacing w:before="24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20" w:after="0"/>
        <w:jc w:val="left"/>
        <w:rPr>
          <w:rFonts w:ascii="Times New Roman" w:hAnsi="Times New Roman"/>
          <w:sz w:val="20"/>
        </w:rPr>
      </w:pPr>
      <w:r>
        <w:rPr>
          <w:rFonts w:ascii="Times New Roman" w:hAnsi="Times New Roman"/>
          <w:sz w:val="20"/>
        </w:rPr>
        <w:t>Indicate the number of outstanding shares of each of the issuer’s classes of capital or common stock as of the close of the period covered by the annual report: 86,982,144 Class A ordinary shares, par value US$0.0001 per share, and 15,560,358 Class B ordinary shares, par value US$</w:t>
      </w:r>
    </w:p>
    <w:p>
      <w:pPr>
        <w:pStyle w:val="TextBody"/>
        <w:bidi w:val="0"/>
        <w:spacing w:before="220" w:after="0"/>
        <w:jc w:val="left"/>
        <w:rPr>
          <w:rFonts w:ascii="Times New Roman" w:hAnsi="Times New Roman"/>
          <w:sz w:val="20"/>
        </w:rPr>
      </w:pPr>
      <w:r>
        <w:rPr>
          <w:rFonts w:ascii="Times New Roman" w:hAnsi="Times New Roman"/>
          <w:sz w:val="20"/>
        </w:rPr>
        <w:t>0.0001</w:t>
      </w:r>
    </w:p>
    <w:p>
      <w:pPr>
        <w:pStyle w:val="TextBody"/>
        <w:bidi w:val="0"/>
        <w:spacing w:before="220" w:after="0"/>
        <w:jc w:val="left"/>
        <w:rPr>
          <w:rFonts w:ascii="Times New Roman" w:hAnsi="Times New Roman"/>
          <w:sz w:val="20"/>
        </w:rPr>
      </w:pPr>
      <w:r>
        <w:rPr>
          <w:rFonts w:ascii="Times New Roman" w:hAnsi="Times New Roman"/>
          <w:sz w:val="20"/>
        </w:rPr>
        <w:t xml:space="preserve">per share, as of December 31,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61"/>
        <w:gridCol w:w="60"/>
        <w:gridCol w:w="1684"/>
      </w:tblGrid>
      <w:tr>
        <w:trPr/>
        <w:tc>
          <w:tcPr>
            <w:tcW w:w="8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r>
      <w:tr>
        <w:trPr/>
        <w:tc>
          <w:tcPr>
            <w:tcW w:w="8461" w:type="dxa"/>
            <w:tcBorders/>
            <w:vAlign w:val="center"/>
          </w:tcPr>
          <w:p>
            <w:pPr>
              <w:pStyle w:val="TableContents"/>
              <w:bidi w:val="0"/>
              <w:spacing w:before="0" w:after="283"/>
              <w:jc w:val="left"/>
              <w:rPr/>
            </w:pPr>
            <w:r>
              <w:rPr/>
              <w:t>Indicate by check mark if the registrant is a well-known seasoned issuer, as defined in Rule 405 of the Securities Act.</w:t>
            </w:r>
          </w:p>
        </w:tc>
        <w:tc>
          <w:tcPr>
            <w:tcW w:w="60" w:type="dxa"/>
            <w:tcBorders/>
            <w:vAlign w:val="center"/>
          </w:tcPr>
          <w:p>
            <w:pPr>
              <w:pStyle w:val="TableContents"/>
              <w:bidi w:val="0"/>
              <w:spacing w:before="0" w:after="283"/>
              <w:jc w:val="left"/>
              <w:rPr/>
            </w:pPr>
            <w:r>
              <w:rPr/>
              <w:t> </w:t>
            </w:r>
          </w:p>
        </w:tc>
        <w:tc>
          <w:tcPr>
            <w:tcW w:w="1684" w:type="dxa"/>
            <w:tcBorders/>
            <w:vAlign w:val="center"/>
          </w:tcPr>
          <w:p>
            <w:pPr>
              <w:pStyle w:val="TableContents"/>
              <w:bidi w:val="0"/>
              <w:spacing w:before="0" w:after="283"/>
              <w:jc w:val="right"/>
              <w:rPr/>
            </w:pPr>
            <w:r>
              <w:rPr/>
              <w:t> ☒ </w:t>
            </w:r>
            <w:r>
              <w:rPr/>
              <w:t>Yes ☐ No</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53"/>
        <w:gridCol w:w="130"/>
        <w:gridCol w:w="3822"/>
      </w:tblGrid>
      <w:tr>
        <w:trPr/>
        <w:tc>
          <w:tcPr>
            <w:tcW w:w="625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pPr>
            <w:r>
              <w:rPr/>
              <w:t>If this report is an annual or transition report, indicate by check mark if the registrant is not required to file reports pursuant to Section 13 or 15(d) of the</w:t>
            </w:r>
          </w:p>
        </w:tc>
      </w:tr>
      <w:tr>
        <w:trPr/>
        <w:tc>
          <w:tcPr>
            <w:tcW w:w="6253" w:type="dxa"/>
            <w:tcBorders/>
            <w:vAlign w:val="center"/>
          </w:tcPr>
          <w:p>
            <w:pPr>
              <w:pStyle w:val="TableContents"/>
              <w:bidi w:val="0"/>
              <w:spacing w:before="0" w:after="283"/>
              <w:jc w:val="left"/>
              <w:rPr/>
            </w:pPr>
            <w:r>
              <w:rPr/>
              <w:t>Securities Exchange Act of 1934.</w:t>
            </w:r>
          </w:p>
        </w:tc>
        <w:tc>
          <w:tcPr>
            <w:tcW w:w="130" w:type="dxa"/>
            <w:tcBorders/>
            <w:vAlign w:val="center"/>
          </w:tcPr>
          <w:p>
            <w:pPr>
              <w:pStyle w:val="TableContents"/>
              <w:bidi w:val="0"/>
              <w:spacing w:before="0" w:after="283"/>
              <w:jc w:val="left"/>
              <w:rPr/>
            </w:pPr>
            <w:r>
              <w:rPr/>
              <w:t> </w:t>
            </w:r>
          </w:p>
        </w:tc>
        <w:tc>
          <w:tcPr>
            <w:tcW w:w="3822" w:type="dxa"/>
            <w:tcBorders/>
            <w:vAlign w:val="center"/>
          </w:tcPr>
          <w:p>
            <w:pPr>
              <w:pStyle w:val="TableContents"/>
              <w:bidi w:val="0"/>
              <w:spacing w:before="0" w:after="283"/>
              <w:jc w:val="right"/>
              <w:rPr/>
            </w:pPr>
            <w:r>
              <w:rPr/>
              <w:t> ☐ </w:t>
            </w:r>
            <w:r>
              <w:rPr/>
              <w:t>Yes ☒ No</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Note—Checking the box above will not relieve any registrant required to file reports pursuant to Section 13 or 15(d) of the Securities Exchange Act of 1934 from their obligations under those Sections.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64"/>
        <w:gridCol w:w="140"/>
        <w:gridCol w:w="3901"/>
      </w:tblGrid>
      <w:tr>
        <w:trPr/>
        <w:tc>
          <w:tcPr>
            <w:tcW w:w="616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pPr>
            <w: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tc>
      </w:tr>
      <w:tr>
        <w:trPr/>
        <w:tc>
          <w:tcPr>
            <w:tcW w:w="6164" w:type="dxa"/>
            <w:tcBorders/>
            <w:vAlign w:val="center"/>
          </w:tcPr>
          <w:p>
            <w:pPr>
              <w:pStyle w:val="TableContents"/>
              <w:bidi w:val="0"/>
              <w:spacing w:before="0" w:after="283"/>
              <w:jc w:val="left"/>
              <w:rPr/>
            </w:pPr>
            <w:r>
              <w:rPr/>
              <w:t>requirements for the past 90 days.</w:t>
            </w:r>
          </w:p>
        </w:tc>
        <w:tc>
          <w:tcPr>
            <w:tcW w:w="140" w:type="dxa"/>
            <w:tcBorders/>
            <w:vAlign w:val="center"/>
          </w:tcPr>
          <w:p>
            <w:pPr>
              <w:pStyle w:val="TableContents"/>
              <w:bidi w:val="0"/>
              <w:spacing w:before="0" w:after="283"/>
              <w:jc w:val="left"/>
              <w:rPr/>
            </w:pPr>
            <w:r>
              <w:rPr/>
              <w:t> </w:t>
            </w:r>
          </w:p>
        </w:tc>
        <w:tc>
          <w:tcPr>
            <w:tcW w:w="3901" w:type="dxa"/>
            <w:tcBorders/>
            <w:vAlign w:val="center"/>
          </w:tcPr>
          <w:p>
            <w:pPr>
              <w:pStyle w:val="TableContents"/>
              <w:bidi w:val="0"/>
              <w:spacing w:before="0" w:after="283"/>
              <w:jc w:val="right"/>
              <w:rPr/>
            </w:pPr>
            <w:r>
              <w:rPr/>
              <w:t> ☒ </w:t>
            </w:r>
            <w:r>
              <w:rPr/>
              <w:t>Yes ☐ No</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67"/>
        <w:gridCol w:w="253"/>
        <w:gridCol w:w="7585"/>
      </w:tblGrid>
      <w:tr>
        <w:trPr/>
        <w:tc>
          <w:tcPr>
            <w:tcW w:w="236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58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pPr>
            <w:r>
              <w:rPr/>
              <w:t xml:space="preserve">Indicate by check mark whether the registrant has submitted electronically every Interactive Data File required to be submitted pursuant to Rule 405 of Regulation </w:t>
            </w:r>
          </w:p>
          <w:p>
            <w:pPr>
              <w:pStyle w:val="TableContents"/>
              <w:bidi w:val="0"/>
              <w:spacing w:before="0" w:after="0"/>
              <w:jc w:val="left"/>
              <w:rPr>
                <w:spacing w:val="0"/>
              </w:rPr>
            </w:pPr>
            <w:r>
              <w:rPr>
                <w:spacing w:val="0"/>
              </w:rPr>
              <w:t>S-T</w:t>
            </w:r>
          </w:p>
          <w:p>
            <w:pPr>
              <w:pStyle w:val="TableContents"/>
              <w:bidi w:val="0"/>
              <w:spacing w:before="0" w:after="0"/>
              <w:jc w:val="left"/>
              <w:rPr/>
            </w:pPr>
            <w:r>
              <w:rPr/>
              <w:t>(§232.405 of this chapter) during the preceding 12 months (or for such shorter period that the registrant was required to submit such</w:t>
            </w:r>
          </w:p>
        </w:tc>
      </w:tr>
      <w:tr>
        <w:trPr/>
        <w:tc>
          <w:tcPr>
            <w:tcW w:w="2367" w:type="dxa"/>
            <w:tcBorders/>
            <w:vAlign w:val="center"/>
          </w:tcPr>
          <w:p>
            <w:pPr>
              <w:pStyle w:val="TableContents"/>
              <w:bidi w:val="0"/>
              <w:spacing w:before="0" w:after="283"/>
              <w:jc w:val="left"/>
              <w:rPr/>
            </w:pPr>
            <w:r>
              <w:rPr/>
              <w:t>files).</w:t>
            </w:r>
          </w:p>
        </w:tc>
        <w:tc>
          <w:tcPr>
            <w:tcW w:w="253" w:type="dxa"/>
            <w:tcBorders/>
            <w:vAlign w:val="center"/>
          </w:tcPr>
          <w:p>
            <w:pPr>
              <w:pStyle w:val="TableContents"/>
              <w:bidi w:val="0"/>
              <w:spacing w:before="0" w:after="283"/>
              <w:jc w:val="left"/>
              <w:rPr/>
            </w:pPr>
            <w:r>
              <w:rPr/>
              <w:t> </w:t>
            </w:r>
          </w:p>
        </w:tc>
        <w:tc>
          <w:tcPr>
            <w:tcW w:w="7585" w:type="dxa"/>
            <w:tcBorders/>
            <w:vAlign w:val="center"/>
          </w:tcPr>
          <w:p>
            <w:pPr>
              <w:pStyle w:val="TableContents"/>
              <w:bidi w:val="0"/>
              <w:spacing w:before="0" w:after="283"/>
              <w:jc w:val="right"/>
              <w:rPr/>
            </w:pPr>
            <w:r>
              <w:rPr/>
              <w:t> ☒ </w:t>
            </w:r>
            <w:r>
              <w:rPr/>
              <w:t>Yes ☐ No</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or an emerging growth company. See definition of “large accelerated filer,” “accelerated filer,”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pPr>
      <w:r>
        <w:rPr/>
        <w:t> </w:t>
      </w:r>
    </w:p>
    <w:tbl>
      <w:tblPr>
        <w:tblW w:w="7650" w:type="dxa"/>
        <w:jc w:val="left"/>
        <w:tblInd w:w="0" w:type="dxa"/>
        <w:tblLayout w:type="fixed"/>
        <w:tblCellMar>
          <w:top w:w="0" w:type="dxa"/>
          <w:left w:w="0" w:type="dxa"/>
          <w:bottom w:w="0" w:type="dxa"/>
          <w:right w:w="0" w:type="dxa"/>
        </w:tblCellMar>
      </w:tblPr>
      <w:tblGrid>
        <w:gridCol w:w="2210"/>
        <w:gridCol w:w="60"/>
        <w:gridCol w:w="230"/>
        <w:gridCol w:w="120"/>
        <w:gridCol w:w="1640"/>
        <w:gridCol w:w="60"/>
        <w:gridCol w:w="230"/>
        <w:gridCol w:w="60"/>
        <w:gridCol w:w="2735"/>
        <w:gridCol w:w="60"/>
        <w:gridCol w:w="245"/>
      </w:tblGrid>
      <w:tr>
        <w:trPr/>
        <w:tc>
          <w:tcPr>
            <w:tcW w:w="2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spacing w:val="0"/>
              </w:rPr>
            </w:pPr>
            <w:r>
              <w:rPr>
                <w:spacing w:val="0"/>
              </w:rPr>
              <w:t>Non-Accelerated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w:t>
            </w:r>
          </w:p>
        </w:tc>
      </w:tr>
      <w:tr>
        <w:trPr/>
        <w:tc>
          <w:tcPr>
            <w:tcW w:w="2210"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9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2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207"/>
        <w:gridCol w:w="293"/>
        <w:gridCol w:w="1705"/>
      </w:tblGrid>
      <w:tr>
        <w:trPr/>
        <w:tc>
          <w:tcPr>
            <w:tcW w:w="820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pPr>
            <w:r>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w:t>
            </w:r>
          </w:p>
        </w:tc>
      </w:tr>
      <w:tr>
        <w:trPr/>
        <w:tc>
          <w:tcPr>
            <w:tcW w:w="8207" w:type="dxa"/>
            <w:tcBorders/>
            <w:vAlign w:val="center"/>
          </w:tcPr>
          <w:p>
            <w:pPr>
              <w:pStyle w:val="TableContents"/>
              <w:bidi w:val="0"/>
              <w:spacing w:before="0" w:after="283"/>
              <w:jc w:val="left"/>
              <w:rPr/>
            </w:pPr>
            <w:r>
              <w:rPr/>
              <w:t>the Exchange Act.</w:t>
            </w:r>
          </w:p>
        </w:tc>
        <w:tc>
          <w:tcPr>
            <w:tcW w:w="293" w:type="dxa"/>
            <w:tcBorders/>
            <w:vAlign w:val="center"/>
          </w:tcPr>
          <w:p>
            <w:pPr>
              <w:pStyle w:val="TableContents"/>
              <w:bidi w:val="0"/>
              <w:spacing w:before="0" w:after="283"/>
              <w:jc w:val="left"/>
              <w:rPr/>
            </w:pPr>
            <w:r>
              <w:rPr/>
              <w:t> </w:t>
            </w:r>
          </w:p>
        </w:tc>
        <w:tc>
          <w:tcPr>
            <w:tcW w:w="1705" w:type="dxa"/>
            <w:tcBorders/>
            <w:vAlign w:val="center"/>
          </w:tcPr>
          <w:p>
            <w:pPr>
              <w:pStyle w:val="TableContents"/>
              <w:bidi w:val="0"/>
              <w:spacing w:before="0" w:after="283"/>
              <w:jc w:val="righ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 “new or revised financial accounting standard” refers to any update issued by the Financial Accounting Standards Board to its Accounting Standards Codification after April 5, 2012.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85"/>
        <w:gridCol w:w="126"/>
        <w:gridCol w:w="694"/>
      </w:tblGrid>
      <w:tr>
        <w:trPr/>
        <w:tc>
          <w:tcPr>
            <w:tcW w:w="938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pPr>
            <w:r>
              <w:rPr/>
              <w:t>Indicate by check mark whether the registrant has filed a report on and attestation to its management’s assessment of the effectiveness of its internal control over financial reporting under Section 404(b) of the Sarbanes-Oxley Act (15 U.S.C. 7262(b)) by the registered</w:t>
            </w:r>
          </w:p>
        </w:tc>
      </w:tr>
      <w:tr>
        <w:trPr/>
        <w:tc>
          <w:tcPr>
            <w:tcW w:w="9385" w:type="dxa"/>
            <w:tcBorders/>
            <w:vAlign w:val="center"/>
          </w:tcPr>
          <w:p>
            <w:pPr>
              <w:pStyle w:val="TableContents"/>
              <w:bidi w:val="0"/>
              <w:spacing w:before="0" w:after="283"/>
              <w:jc w:val="left"/>
              <w:rPr/>
            </w:pPr>
            <w:r>
              <w:rPr/>
              <w:t>public accounting firm that prepared or issued its audit report.</w:t>
            </w:r>
          </w:p>
        </w:tc>
        <w:tc>
          <w:tcPr>
            <w:tcW w:w="126" w:type="dxa"/>
            <w:tcBorders/>
            <w:vAlign w:val="center"/>
          </w:tcPr>
          <w:p>
            <w:pPr>
              <w:pStyle w:val="TableContents"/>
              <w:bidi w:val="0"/>
              <w:spacing w:before="0" w:after="283"/>
              <w:jc w:val="left"/>
              <w:rPr/>
            </w:pPr>
            <w:r>
              <w:rPr/>
              <w:t> </w:t>
            </w:r>
          </w:p>
        </w:tc>
        <w:tc>
          <w:tcPr>
            <w:tcW w:w="694"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83"/>
        <w:gridCol w:w="92"/>
        <w:gridCol w:w="530"/>
      </w:tblGrid>
      <w:tr>
        <w:trPr/>
        <w:tc>
          <w:tcPr>
            <w:tcW w:w="9583"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pPr>
            <w:r>
              <w:rPr/>
              <w:t>If securities are registered pursuant to Section 12(b) of the Act, indicate by check mark whether the financial statements of the registrant included in the</w:t>
            </w:r>
          </w:p>
        </w:tc>
      </w:tr>
      <w:tr>
        <w:trPr/>
        <w:tc>
          <w:tcPr>
            <w:tcW w:w="9583" w:type="dxa"/>
            <w:tcBorders/>
            <w:vAlign w:val="center"/>
          </w:tcPr>
          <w:p>
            <w:pPr>
              <w:pStyle w:val="TableContents"/>
              <w:bidi w:val="0"/>
              <w:spacing w:before="0" w:after="283"/>
              <w:jc w:val="left"/>
              <w:rPr/>
            </w:pPr>
            <w:r>
              <w:rPr/>
              <w:t>filing reflect the correction of an error to previously issued financial statements.</w:t>
            </w:r>
          </w:p>
        </w:tc>
        <w:tc>
          <w:tcPr>
            <w:tcW w:w="92"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699"/>
        <w:gridCol w:w="75"/>
        <w:gridCol w:w="431"/>
      </w:tblGrid>
      <w:tr>
        <w:trPr/>
        <w:tc>
          <w:tcPr>
            <w:tcW w:w="969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pPr>
            <w:r>
              <w:rPr/>
              <w:t>Indicate by check mark whether any of those error corrections are restatements that required a recovery analysis of incentive-based compensation</w:t>
            </w:r>
          </w:p>
        </w:tc>
      </w:tr>
      <w:tr>
        <w:trPr/>
        <w:tc>
          <w:tcPr>
            <w:tcW w:w="9699" w:type="dxa"/>
            <w:tcBorders/>
            <w:vAlign w:val="center"/>
          </w:tcPr>
          <w:p>
            <w:pPr>
              <w:pStyle w:val="TableContents"/>
              <w:bidi w:val="0"/>
              <w:spacing w:before="0" w:after="0"/>
              <w:jc w:val="left"/>
              <w:rPr/>
            </w:pPr>
            <w:r>
              <w:rPr/>
              <w:t xml:space="preserve">received by any of the registrant’s executive officers during the relevant recovery period pursuant to </w:t>
            </w:r>
          </w:p>
          <w:p>
            <w:pPr>
              <w:pStyle w:val="TableContents"/>
              <w:bidi w:val="0"/>
              <w:spacing w:before="0" w:after="0"/>
              <w:jc w:val="left"/>
              <w:rPr>
                <w:spacing w:val="0"/>
              </w:rPr>
            </w:pPr>
            <w:r>
              <w:rPr>
                <w:spacing w:val="0"/>
              </w:rPr>
              <w:t>§240.10D-1(b).</w:t>
            </w:r>
          </w:p>
        </w:tc>
        <w:tc>
          <w:tcPr>
            <w:tcW w:w="75" w:type="dxa"/>
            <w:tcBorders/>
            <w:vAlign w:val="center"/>
          </w:tcPr>
          <w:p>
            <w:pPr>
              <w:pStyle w:val="TableContents"/>
              <w:bidi w:val="0"/>
              <w:spacing w:before="0" w:after="283"/>
              <w:jc w:val="left"/>
              <w:rPr/>
            </w:pPr>
            <w:r>
              <w:rPr/>
              <w:t> </w:t>
            </w:r>
          </w:p>
        </w:tc>
        <w:tc>
          <w:tcPr>
            <w:tcW w:w="431" w:type="dxa"/>
            <w:tcBorders/>
            <w:vAlign w:val="center"/>
          </w:tcPr>
          <w:p>
            <w:pPr>
              <w:pStyle w:val="TableContents"/>
              <w:bidi w:val="0"/>
              <w:spacing w:before="0" w:after="283"/>
              <w:jc w:val="righ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which basis of accounting the registrant has used to prepare the financial statements included in this filing: </w:t>
      </w:r>
    </w:p>
    <w:p>
      <w:pPr>
        <w:pStyle w:val="TextBody"/>
        <w:bidi w:val="0"/>
        <w:spacing w:before="0" w:after="0"/>
        <w:jc w:val="left"/>
        <w:rPr/>
      </w:pPr>
      <w:r>
        <w:rPr/>
        <w:t> </w:t>
      </w:r>
    </w:p>
    <w:tbl>
      <w:tblPr>
        <w:tblW w:w="8563" w:type="dxa"/>
        <w:jc w:val="left"/>
        <w:tblInd w:w="0" w:type="dxa"/>
        <w:tblLayout w:type="fixed"/>
        <w:tblCellMar>
          <w:top w:w="0" w:type="dxa"/>
          <w:left w:w="0" w:type="dxa"/>
          <w:bottom w:w="0" w:type="dxa"/>
          <w:right w:w="0" w:type="dxa"/>
        </w:tblCellMar>
      </w:tblPr>
      <w:tblGrid>
        <w:gridCol w:w="1535"/>
        <w:gridCol w:w="60"/>
        <w:gridCol w:w="5510"/>
        <w:gridCol w:w="60"/>
        <w:gridCol w:w="230"/>
        <w:gridCol w:w="120"/>
        <w:gridCol w:w="23"/>
        <w:gridCol w:w="120"/>
        <w:gridCol w:w="905"/>
      </w:tblGrid>
      <w:tr>
        <w:trPr/>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pPr>
            <w:r>
              <w:rPr/>
              <w:t>U.S. GAAP ☒</w:t>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w:t>
            </w:r>
            <w:r>
              <w:rPr/>
              <w:t>International Financial Reporting Standards as issued</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r>
      <w:tr>
        <w:trPr/>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10" w:type="dxa"/>
            <w:tcBorders/>
            <w:vAlign w:val="center"/>
          </w:tcPr>
          <w:p>
            <w:pPr>
              <w:pStyle w:val="TableContents"/>
              <w:bidi w:val="0"/>
              <w:spacing w:before="0" w:after="283"/>
              <w:jc w:val="left"/>
              <w:rPr/>
            </w:pPr>
            <w:r>
              <w:rPr/>
              <w:t>  </w:t>
            </w:r>
            <w:r>
              <w:rPr/>
              <w:t>by the International Accounting Standards Board</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Other ☐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59"/>
        <w:gridCol w:w="190"/>
        <w:gridCol w:w="7756"/>
      </w:tblGrid>
      <w:tr>
        <w:trPr/>
        <w:tc>
          <w:tcPr>
            <w:tcW w:w="225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756"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pPr>
            <w:r>
              <w:rPr/>
              <w:t>If “Other” has been checked in response to the previous question, indicate by check mark which financial statement item the registrant has elected to</w:t>
            </w:r>
          </w:p>
        </w:tc>
      </w:tr>
      <w:tr>
        <w:trPr/>
        <w:tc>
          <w:tcPr>
            <w:tcW w:w="2259" w:type="dxa"/>
            <w:tcBorders/>
            <w:vAlign w:val="center"/>
          </w:tcPr>
          <w:p>
            <w:pPr>
              <w:pStyle w:val="TableContents"/>
              <w:bidi w:val="0"/>
              <w:spacing w:before="0" w:after="283"/>
              <w:jc w:val="left"/>
              <w:rPr/>
            </w:pPr>
            <w:r>
              <w:rPr/>
              <w:t>follow.</w:t>
            </w:r>
          </w:p>
        </w:tc>
        <w:tc>
          <w:tcPr>
            <w:tcW w:w="190" w:type="dxa"/>
            <w:tcBorders/>
            <w:vAlign w:val="center"/>
          </w:tcPr>
          <w:p>
            <w:pPr>
              <w:pStyle w:val="TableContents"/>
              <w:bidi w:val="0"/>
              <w:spacing w:before="0" w:after="283"/>
              <w:jc w:val="left"/>
              <w:rPr/>
            </w:pPr>
            <w:r>
              <w:rPr/>
              <w:t> </w:t>
            </w:r>
          </w:p>
        </w:tc>
        <w:tc>
          <w:tcPr>
            <w:tcW w:w="7756" w:type="dxa"/>
            <w:tcBorders/>
            <w:vAlign w:val="center"/>
          </w:tcPr>
          <w:p>
            <w:pPr>
              <w:pStyle w:val="TableContents"/>
              <w:bidi w:val="0"/>
              <w:spacing w:before="0" w:after="283"/>
              <w:jc w:val="right"/>
              <w:rPr/>
            </w:pPr>
            <w:r>
              <w:rPr/>
              <w:t> ☐ </w:t>
            </w:r>
            <w:r>
              <w:rPr/>
              <w:t>Item 17 ☐ Item 18</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1"/>
        <w:gridCol w:w="252"/>
        <w:gridCol w:w="7782"/>
      </w:tblGrid>
      <w:tr>
        <w:trPr/>
        <w:tc>
          <w:tcPr>
            <w:tcW w:w="217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8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jc w:val="left"/>
              <w:rPr/>
            </w:pPr>
            <w:r>
              <w:rPr/>
              <w:t xml:space="preserve">If this is an annual report, indicate by check mark whether the registrant is a shell company (as defined in Rule </w:t>
            </w:r>
          </w:p>
          <w:p>
            <w:pPr>
              <w:pStyle w:val="TableContents"/>
              <w:bidi w:val="0"/>
              <w:spacing w:before="0" w:after="0"/>
              <w:jc w:val="left"/>
              <w:rPr>
                <w:spacing w:val="0"/>
              </w:rPr>
            </w:pPr>
            <w:r>
              <w:rPr>
                <w:spacing w:val="0"/>
              </w:rPr>
              <w:t>12b-2</w:t>
            </w:r>
          </w:p>
          <w:p>
            <w:pPr>
              <w:pStyle w:val="TableContents"/>
              <w:bidi w:val="0"/>
              <w:spacing w:before="0" w:after="0"/>
              <w:jc w:val="left"/>
              <w:rPr/>
            </w:pPr>
            <w:r>
              <w:rPr/>
              <w:t>of the Exchange</w:t>
            </w:r>
          </w:p>
        </w:tc>
      </w:tr>
      <w:tr>
        <w:trPr/>
        <w:tc>
          <w:tcPr>
            <w:tcW w:w="2171" w:type="dxa"/>
            <w:tcBorders/>
            <w:vAlign w:val="center"/>
          </w:tcPr>
          <w:p>
            <w:pPr>
              <w:pStyle w:val="TableContents"/>
              <w:bidi w:val="0"/>
              <w:spacing w:before="0" w:after="283"/>
              <w:jc w:val="left"/>
              <w:rPr/>
            </w:pPr>
            <w:r>
              <w:rPr/>
              <w:t>Act).</w:t>
            </w:r>
          </w:p>
        </w:tc>
        <w:tc>
          <w:tcPr>
            <w:tcW w:w="252" w:type="dxa"/>
            <w:tcBorders/>
            <w:vAlign w:val="center"/>
          </w:tcPr>
          <w:p>
            <w:pPr>
              <w:pStyle w:val="TableContents"/>
              <w:bidi w:val="0"/>
              <w:spacing w:before="0" w:after="283"/>
              <w:jc w:val="left"/>
              <w:rPr/>
            </w:pPr>
            <w:r>
              <w:rPr/>
              <w:t> </w:t>
            </w:r>
          </w:p>
        </w:tc>
        <w:tc>
          <w:tcPr>
            <w:tcW w:w="7782" w:type="dxa"/>
            <w:tcBorders/>
            <w:vAlign w:val="center"/>
          </w:tcPr>
          <w:p>
            <w:pPr>
              <w:pStyle w:val="TableContents"/>
              <w:bidi w:val="0"/>
              <w:spacing w:before="0" w:after="283"/>
              <w:jc w:val="right"/>
              <w:rPr/>
            </w:pPr>
            <w:r>
              <w:rPr/>
              <w:t> ☐ </w:t>
            </w:r>
            <w:r>
              <w:rPr/>
              <w:t>Yes ☒ No</w:t>
            </w:r>
          </w:p>
        </w:tc>
      </w:tr>
    </w:tbl>
    <w:p>
      <w:pPr>
        <w:pStyle w:val="TextBody"/>
        <w:bidi w:val="0"/>
        <w:spacing w:before="240" w:after="0"/>
        <w:jc w:val="left"/>
        <w:rPr>
          <w:rFonts w:ascii="Times New Roman" w:hAnsi="Times New Roman"/>
          <w:sz w:val="20"/>
        </w:rPr>
      </w:pPr>
      <w:r>
        <w:rPr>
          <w:rFonts w:ascii="Times New Roman" w:hAnsi="Times New Roman"/>
          <w:sz w:val="20"/>
        </w:rPr>
        <w:t xml:space="preserve">(APPLICABLE ONLY TO ISSUERS INVOLVED IN BANKRUPTCY PROCEEDINGS DURING THE PAST FIVE YEARS)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222"/>
        <w:gridCol w:w="68"/>
        <w:gridCol w:w="1915"/>
      </w:tblGrid>
      <w:tr>
        <w:trPr/>
        <w:tc>
          <w:tcPr>
            <w:tcW w:w="8222"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pPr>
            <w:r>
              <w:rPr/>
              <w:t>Indicate by check mark whether the registrant has filed all documents and reports required to be filed by Sections 12, 13 or 15(d) of the Securities</w:t>
            </w:r>
          </w:p>
        </w:tc>
      </w:tr>
      <w:tr>
        <w:trPr/>
        <w:tc>
          <w:tcPr>
            <w:tcW w:w="8222" w:type="dxa"/>
            <w:tcBorders/>
            <w:vAlign w:val="center"/>
          </w:tcPr>
          <w:p>
            <w:pPr>
              <w:pStyle w:val="TableContents"/>
              <w:bidi w:val="0"/>
              <w:spacing w:before="0" w:after="283"/>
              <w:jc w:val="left"/>
              <w:rPr/>
            </w:pPr>
            <w:r>
              <w:rPr/>
              <w:t>Exchange Act of 1934 subsequent to the distribution of securities under a plan confirmed by a court.</w:t>
            </w:r>
          </w:p>
        </w:tc>
        <w:tc>
          <w:tcPr>
            <w:tcW w:w="68" w:type="dxa"/>
            <w:tcBorders/>
            <w:vAlign w:val="center"/>
          </w:tcPr>
          <w:p>
            <w:pPr>
              <w:pStyle w:val="TableContents"/>
              <w:bidi w:val="0"/>
              <w:spacing w:before="0" w:after="283"/>
              <w:jc w:val="left"/>
              <w:rPr/>
            </w:pPr>
            <w:r>
              <w:rPr/>
              <w:t> </w:t>
            </w:r>
          </w:p>
        </w:tc>
        <w:tc>
          <w:tcPr>
            <w:tcW w:w="1915" w:type="dxa"/>
            <w:tcBorders/>
            <w:vAlign w:val="center"/>
          </w:tcPr>
          <w:p>
            <w:pPr>
              <w:pStyle w:val="TableContents"/>
              <w:bidi w:val="0"/>
              <w:spacing w:before="0" w:after="283"/>
              <w:jc w:val="right"/>
              <w:rPr/>
            </w:pPr>
            <w:r>
              <w:rPr/>
              <w:t> ☐ </w:t>
            </w:r>
            <w:r>
              <w:rPr/>
              <w:t>Yes ☐ No</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50"/>
        <w:gridCol w:w="120"/>
        <w:gridCol w:w="8554"/>
        <w:gridCol w:w="120"/>
        <w:gridCol w:w="66"/>
        <w:gridCol w:w="419"/>
        <w:gridCol w:w="76"/>
      </w:tblGrid>
      <w:tr>
        <w:trPr/>
        <w:tc>
          <w:tcPr>
            <w:tcW w:w="8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24" w:type="dxa"/>
            <w:gridSpan w:val="3"/>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pPr>
            <w:r>
              <w:rPr/>
              <w:t>Page</w:t>
            </w:r>
          </w:p>
        </w:tc>
        <w:tc>
          <w:tcPr>
            <w:tcW w:w="76" w:type="dxa"/>
            <w:tcBorders/>
            <w:vAlign w:val="center"/>
          </w:tcPr>
          <w:p>
            <w:pPr>
              <w:pStyle w:val="TableContents"/>
              <w:bidi w:val="0"/>
              <w:spacing w:before="0" w:after="283"/>
              <w:jc w:val="left"/>
              <w:rPr/>
            </w:pPr>
            <w:r>
              <w:rPr/>
              <w:t> </w:t>
            </w:r>
          </w:p>
        </w:tc>
      </w:tr>
      <w:tr>
        <w:trPr/>
        <w:tc>
          <w:tcPr>
            <w:tcW w:w="9524" w:type="dxa"/>
            <w:gridSpan w:val="3"/>
            <w:tcBorders/>
            <w:vAlign w:val="center"/>
          </w:tcPr>
          <w:p>
            <w:pPr>
              <w:pStyle w:val="TableContents"/>
              <w:bidi w:val="0"/>
              <w:spacing w:before="0" w:after="0"/>
              <w:jc w:val="left"/>
              <w:rPr/>
            </w:pPr>
            <w:hyperlink w:anchor="toc907177_1">
              <w:r>
                <w:rPr>
                  <w:rStyle w:val="InternetLink"/>
                  <w:rFonts w:ascii="Times New Roman" w:hAnsi="Times New Roman"/>
                  <w:sz w:val="20"/>
                </w:rPr>
                <w:t>INTRODUCTION</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w:t>
            </w:r>
          </w:p>
        </w:tc>
        <w:tc>
          <w:tcPr>
            <w:tcW w:w="76" w:type="dxa"/>
            <w:tcBorders/>
            <w:vAlign w:val="center"/>
          </w:tcPr>
          <w:p>
            <w:pPr>
              <w:pStyle w:val="TableContents"/>
              <w:bidi w:val="0"/>
              <w:spacing w:before="0" w:after="283"/>
              <w:jc w:val="left"/>
              <w:rPr/>
            </w:pPr>
            <w:r>
              <w:rPr/>
              <w:t> </w:t>
            </w:r>
          </w:p>
        </w:tc>
      </w:tr>
      <w:tr>
        <w:trPr/>
        <w:tc>
          <w:tcPr>
            <w:tcW w:w="9524" w:type="dxa"/>
            <w:gridSpan w:val="3"/>
            <w:tcBorders/>
            <w:vAlign w:val="center"/>
          </w:tcPr>
          <w:p>
            <w:pPr>
              <w:pStyle w:val="TableContents"/>
              <w:bidi w:val="0"/>
              <w:spacing w:before="0" w:after="0"/>
              <w:jc w:val="left"/>
              <w:rPr/>
            </w:pPr>
            <w:hyperlink w:anchor="toc907177_2">
              <w:r>
                <w:rPr>
                  <w:rStyle w:val="InternetLink"/>
                  <w:rFonts w:ascii="Times New Roman" w:hAnsi="Times New Roman"/>
                  <w:sz w:val="20"/>
                </w:rPr>
                <w:t>FORWARD-LOOKING INFORMATION</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3</w:t>
            </w:r>
          </w:p>
        </w:tc>
        <w:tc>
          <w:tcPr>
            <w:tcW w:w="76" w:type="dxa"/>
            <w:tcBorders/>
            <w:vAlign w:val="center"/>
          </w:tcPr>
          <w:p>
            <w:pPr>
              <w:pStyle w:val="TableContents"/>
              <w:bidi w:val="0"/>
              <w:spacing w:before="0" w:after="283"/>
              <w:jc w:val="left"/>
              <w:rPr/>
            </w:pPr>
            <w:r>
              <w:rPr/>
              <w:t> </w:t>
            </w:r>
          </w:p>
        </w:tc>
      </w:tr>
      <w:tr>
        <w:trPr/>
        <w:tc>
          <w:tcPr>
            <w:tcW w:w="9524" w:type="dxa"/>
            <w:gridSpan w:val="3"/>
            <w:tcBorders/>
            <w:vAlign w:val="center"/>
          </w:tcPr>
          <w:p>
            <w:pPr>
              <w:pStyle w:val="TableContents"/>
              <w:bidi w:val="0"/>
              <w:spacing w:before="0" w:after="283"/>
              <w:jc w:val="left"/>
              <w:rPr>
                <w:sz w:val="4"/>
                <w:szCs w:val="4"/>
              </w:rPr>
            </w:pPr>
            <w:r>
              <w:rPr>
                <w:sz w:val="4"/>
                <w:szCs w:val="4"/>
              </w:rPr>
            </w:r>
          </w:p>
        </w:tc>
        <w:tc>
          <w:tcPr>
            <w:tcW w:w="681" w:type="dxa"/>
            <w:gridSpan w:val="4"/>
            <w:tcBorders/>
            <w:vAlign w:val="center"/>
          </w:tcPr>
          <w:p>
            <w:pPr>
              <w:pStyle w:val="TableContents"/>
              <w:bidi w:val="0"/>
              <w:spacing w:before="0" w:after="283"/>
              <w:jc w:val="left"/>
              <w:rPr>
                <w:sz w:val="4"/>
                <w:szCs w:val="4"/>
              </w:rPr>
            </w:pPr>
            <w:r>
              <w:rPr>
                <w:sz w:val="4"/>
                <w:szCs w:val="4"/>
              </w:rPr>
            </w:r>
          </w:p>
        </w:tc>
      </w:tr>
      <w:tr>
        <w:trPr/>
        <w:tc>
          <w:tcPr>
            <w:tcW w:w="9524" w:type="dxa"/>
            <w:gridSpan w:val="3"/>
            <w:tcBorders/>
            <w:vAlign w:val="center"/>
          </w:tcPr>
          <w:p>
            <w:pPr>
              <w:pStyle w:val="TableContents"/>
              <w:bidi w:val="0"/>
              <w:spacing w:before="0" w:after="0"/>
              <w:jc w:val="left"/>
              <w:rPr/>
            </w:pPr>
            <w:hyperlink w:anchor="toc907177_3">
              <w:r>
                <w:rPr>
                  <w:rStyle w:val="InternetLink"/>
                  <w:rFonts w:ascii="Times New Roman" w:hAnsi="Times New Roman"/>
                  <w:sz w:val="20"/>
                </w:rPr>
                <w:t>PART I</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4">
              <w:r>
                <w:rPr>
                  <w:rStyle w:val="InternetLink"/>
                  <w:rFonts w:ascii="Times New Roman" w:hAnsi="Times New Roman"/>
                  <w:sz w:val="20"/>
                </w:rPr>
                <w:t>ITEM 1.</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4">
              <w:r>
                <w:rPr>
                  <w:rStyle w:val="InternetLink"/>
                </w:rPr>
                <w:t>IDENTITY OF DIRECTORS, SENIOR MANAGEMENT AND ADVISERS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5">
              <w:r>
                <w:rPr>
                  <w:rStyle w:val="InternetLink"/>
                  <w:rFonts w:ascii="Times New Roman" w:hAnsi="Times New Roman"/>
                  <w:sz w:val="20"/>
                </w:rPr>
                <w:t>ITEM 2.</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5">
              <w:r>
                <w:rPr>
                  <w:rStyle w:val="InternetLink"/>
                </w:rPr>
                <w:t>OFFER STATISTICS AND EXPECTED TIMETABLE</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6">
              <w:r>
                <w:rPr>
                  <w:rStyle w:val="InternetLink"/>
                  <w:rFonts w:ascii="Times New Roman" w:hAnsi="Times New Roman"/>
                  <w:sz w:val="20"/>
                </w:rPr>
                <w:t>ITEM 3.</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6">
              <w:r>
                <w:rPr>
                  <w:rStyle w:val="InternetLink"/>
                </w:rPr>
                <w:t>KEY INFORMATION</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4</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7a">
              <w:r>
                <w:rPr>
                  <w:rStyle w:val="InternetLink"/>
                  <w:rFonts w:ascii="Times New Roman" w:hAnsi="Times New Roman"/>
                  <w:sz w:val="20"/>
                </w:rPr>
                <w:t>ITEM 4</w:t>
              </w:r>
            </w:hyperlink>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7a">
              <w:r>
                <w:rPr>
                  <w:rStyle w:val="InternetLink"/>
                </w:rPr>
                <w:t>INFORMATION ON THE COMPANY</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63</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7">
              <w:r>
                <w:rPr>
                  <w:rStyle w:val="InternetLink"/>
                  <w:rFonts w:ascii="Times New Roman" w:hAnsi="Times New Roman"/>
                  <w:sz w:val="20"/>
                </w:rPr>
                <w:t>ITEM 4A</w:t>
              </w:r>
            </w:hyperlink>
            <w:r>
              <w:rPr>
                <w:rFonts w:ascii="Times New Roman" w:hAnsi="Times New Roman"/>
                <w:sz w:val="20"/>
              </w:rPr>
              <w:t>.</w:t>
            </w:r>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7">
              <w:r>
                <w:rPr>
                  <w:rStyle w:val="InternetLink"/>
                </w:rPr>
                <w:t>UNRESOLVED STAFF COMMENTS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109</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8">
              <w:r>
                <w:rPr>
                  <w:rStyle w:val="InternetLink"/>
                  <w:rFonts w:ascii="Times New Roman" w:hAnsi="Times New Roman"/>
                  <w:sz w:val="20"/>
                </w:rPr>
                <w:t>ITEM 5.</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8">
              <w:r>
                <w:rPr>
                  <w:rStyle w:val="InternetLink"/>
                </w:rPr>
                <w:t>OPERATING AND FINANCIAL REVIEW AND PROSPECTS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109</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9">
              <w:r>
                <w:rPr>
                  <w:rStyle w:val="InternetLink"/>
                  <w:rFonts w:ascii="Times New Roman" w:hAnsi="Times New Roman"/>
                  <w:sz w:val="20"/>
                </w:rPr>
                <w:t>ITEM 6.</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9">
              <w:r>
                <w:rPr>
                  <w:rStyle w:val="InternetLink"/>
                </w:rPr>
                <w:t>DIRECTORS, SENIOR MANAGEMENT AND EMPLOYEES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128</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10">
              <w:r>
                <w:rPr>
                  <w:rStyle w:val="InternetLink"/>
                  <w:rFonts w:ascii="Times New Roman" w:hAnsi="Times New Roman"/>
                  <w:sz w:val="20"/>
                </w:rPr>
                <w:t>ITEM 7.</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10">
              <w:r>
                <w:rPr>
                  <w:rStyle w:val="InternetLink"/>
                </w:rPr>
                <w:t>MAJOR SHAREHOLDERS AND RELATED PARTY TRANSACTIONS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141</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11">
              <w:r>
                <w:rPr>
                  <w:rStyle w:val="InternetLink"/>
                  <w:rFonts w:ascii="Times New Roman" w:hAnsi="Times New Roman"/>
                  <w:sz w:val="20"/>
                </w:rPr>
                <w:t>ITEM 8.</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11">
              <w:r>
                <w:rPr>
                  <w:rStyle w:val="InternetLink"/>
                </w:rPr>
                <w:t>FINANCIAL INFORMATION</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142</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12">
              <w:r>
                <w:rPr>
                  <w:rStyle w:val="InternetLink"/>
                  <w:rFonts w:ascii="Times New Roman" w:hAnsi="Times New Roman"/>
                  <w:sz w:val="20"/>
                </w:rPr>
                <w:t>ITEM 9.</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12">
              <w:r>
                <w:rPr>
                  <w:rStyle w:val="InternetLink"/>
                </w:rPr>
                <w:t>THE OFFER AND LISTING</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142</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13">
              <w:r>
                <w:rPr>
                  <w:rStyle w:val="InternetLink"/>
                  <w:rFonts w:ascii="Times New Roman" w:hAnsi="Times New Roman"/>
                  <w:sz w:val="20"/>
                </w:rPr>
                <w:t>ITEM 10.</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13">
              <w:r>
                <w:rPr>
                  <w:rStyle w:val="InternetLink"/>
                </w:rPr>
                <w:t>ADDITIONAL INFORMATION</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143</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14">
              <w:r>
                <w:rPr>
                  <w:rStyle w:val="InternetLink"/>
                  <w:rFonts w:ascii="Times New Roman" w:hAnsi="Times New Roman"/>
                  <w:sz w:val="20"/>
                </w:rPr>
                <w:t>ITEM 11.</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14">
              <w:r>
                <w:rPr>
                  <w:rStyle w:val="InternetLink"/>
                </w:rPr>
                <w:t>QUANTITATIVE AND QUALITATIVE DISCLOSURES ABOUT MARKET RISK</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157</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15">
              <w:r>
                <w:rPr>
                  <w:rStyle w:val="InternetLink"/>
                  <w:rFonts w:ascii="Times New Roman" w:hAnsi="Times New Roman"/>
                  <w:sz w:val="20"/>
                </w:rPr>
                <w:t>ITEM 12.</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15">
              <w:r>
                <w:rPr>
                  <w:rStyle w:val="InternetLink"/>
                </w:rPr>
                <w:t>DESCRIPTION OF SECURITIES OTHER THAN EQUITY SECURITIES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158</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283"/>
              <w:jc w:val="left"/>
              <w:rPr>
                <w:sz w:val="4"/>
                <w:szCs w:val="4"/>
              </w:rPr>
            </w:pPr>
            <w:r>
              <w:rPr>
                <w:sz w:val="4"/>
                <w:szCs w:val="4"/>
              </w:rPr>
            </w:r>
          </w:p>
        </w:tc>
        <w:tc>
          <w:tcPr>
            <w:tcW w:w="8674" w:type="dxa"/>
            <w:gridSpan w:val="2"/>
            <w:tcBorders/>
            <w:vAlign w:val="center"/>
          </w:tcPr>
          <w:p>
            <w:pPr>
              <w:pStyle w:val="TableContents"/>
              <w:bidi w:val="0"/>
              <w:spacing w:before="0" w:after="283"/>
              <w:jc w:val="left"/>
              <w:rPr>
                <w:sz w:val="4"/>
                <w:szCs w:val="4"/>
              </w:rPr>
            </w:pPr>
            <w:r>
              <w:rPr>
                <w:sz w:val="4"/>
                <w:szCs w:val="4"/>
              </w:rPr>
            </w:r>
          </w:p>
        </w:tc>
        <w:tc>
          <w:tcPr>
            <w:tcW w:w="681" w:type="dxa"/>
            <w:gridSpan w:val="4"/>
            <w:tcBorders/>
            <w:vAlign w:val="center"/>
          </w:tcPr>
          <w:p>
            <w:pPr>
              <w:pStyle w:val="TableContents"/>
              <w:bidi w:val="0"/>
              <w:spacing w:before="0" w:after="283"/>
              <w:jc w:val="left"/>
              <w:rPr>
                <w:sz w:val="4"/>
                <w:szCs w:val="4"/>
              </w:rPr>
            </w:pPr>
            <w:r>
              <w:rPr>
                <w:sz w:val="4"/>
                <w:szCs w:val="4"/>
              </w:rPr>
            </w:r>
          </w:p>
        </w:tc>
      </w:tr>
      <w:tr>
        <w:trPr/>
        <w:tc>
          <w:tcPr>
            <w:tcW w:w="850" w:type="dxa"/>
            <w:tcBorders/>
            <w:vAlign w:val="center"/>
          </w:tcPr>
          <w:p>
            <w:pPr>
              <w:pStyle w:val="TableContents"/>
              <w:bidi w:val="0"/>
              <w:spacing w:before="0" w:after="0"/>
              <w:jc w:val="left"/>
              <w:rPr/>
            </w:pPr>
            <w:hyperlink w:anchor="toc907177_16">
              <w:r>
                <w:rPr>
                  <w:rStyle w:val="InternetLink"/>
                  <w:rFonts w:ascii="Times New Roman" w:hAnsi="Times New Roman"/>
                  <w:sz w:val="20"/>
                </w:rPr>
                <w:t>PART II</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160</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17">
              <w:r>
                <w:rPr>
                  <w:rStyle w:val="InternetLink"/>
                  <w:rFonts w:ascii="Times New Roman" w:hAnsi="Times New Roman"/>
                  <w:sz w:val="20"/>
                </w:rPr>
                <w:t>ITEM 13.</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17">
              <w:r>
                <w:rPr>
                  <w:rStyle w:val="InternetLink"/>
                </w:rPr>
                <w:t>DEFAULTS, DIVIDEND ARREARAGES AND DELINQUENCIES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160</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18">
              <w:r>
                <w:rPr>
                  <w:rStyle w:val="InternetLink"/>
                  <w:rFonts w:ascii="Times New Roman" w:hAnsi="Times New Roman"/>
                  <w:sz w:val="20"/>
                </w:rPr>
                <w:t>ITEM 14.</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18">
              <w:r>
                <w:rPr>
                  <w:rStyle w:val="InternetLink"/>
                </w:rPr>
                <w:t>MATERIAL MODIFICATIONS TO THE RIGHTS OF SECURITY HOLDERS AND USE OF PROCEEDS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160</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19">
              <w:r>
                <w:rPr>
                  <w:rStyle w:val="InternetLink"/>
                  <w:rFonts w:ascii="Times New Roman" w:hAnsi="Times New Roman"/>
                  <w:sz w:val="20"/>
                </w:rPr>
                <w:t>ITEM 15.</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19">
              <w:r>
                <w:rPr>
                  <w:rStyle w:val="InternetLink"/>
                </w:rPr>
                <w:t>CONTROLS AND PROCEDURES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160</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20">
              <w:r>
                <w:rPr>
                  <w:rStyle w:val="InternetLink"/>
                  <w:rFonts w:ascii="Times New Roman" w:hAnsi="Times New Roman"/>
                  <w:sz w:val="20"/>
                </w:rPr>
                <w:t>ITEM 16.</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20">
              <w:r>
                <w:rPr>
                  <w:rStyle w:val="InternetLink"/>
                </w:rPr>
                <w:t>[RESERVED]</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161</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21">
              <w:r>
                <w:rPr>
                  <w:rStyle w:val="InternetLink"/>
                  <w:rFonts w:ascii="Times New Roman" w:hAnsi="Times New Roman"/>
                  <w:sz w:val="20"/>
                </w:rPr>
                <w:t>ITEM 16A.</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21">
              <w:r>
                <w:rPr>
                  <w:rStyle w:val="InternetLink"/>
                </w:rPr>
                <w:t>AUDIT COMMITTEE FINANCIAL EXPERT</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161</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22">
              <w:r>
                <w:rPr>
                  <w:rStyle w:val="InternetLink"/>
                  <w:rFonts w:ascii="Times New Roman" w:hAnsi="Times New Roman"/>
                  <w:sz w:val="20"/>
                </w:rPr>
                <w:t>ITEM 16B.</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22">
              <w:r>
                <w:rPr>
                  <w:rStyle w:val="InternetLink"/>
                </w:rPr>
                <w:t>CODE OF ETHICS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161</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23">
              <w:r>
                <w:rPr>
                  <w:rStyle w:val="InternetLink"/>
                  <w:rFonts w:ascii="Times New Roman" w:hAnsi="Times New Roman"/>
                  <w:sz w:val="20"/>
                </w:rPr>
                <w:t>ITEM 16C.</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23">
              <w:r>
                <w:rPr>
                  <w:rStyle w:val="InternetLink"/>
                </w:rPr>
                <w:t>PRINCIPAL ACCOUNTANT FEES AND SERVICES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162</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23a">
              <w:r>
                <w:rPr>
                  <w:rStyle w:val="InternetLink"/>
                  <w:rFonts w:ascii="Times New Roman" w:hAnsi="Times New Roman"/>
                  <w:sz w:val="20"/>
                </w:rPr>
                <w:t>ITEM 16D.</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23a">
              <w:r>
                <w:rPr>
                  <w:rStyle w:val="InternetLink"/>
                </w:rPr>
                <w:t>EXEMPTIONS FROM THE LISTING STANDARDS FOR AUDIT COMMITTEES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163</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23b">
              <w:r>
                <w:rPr>
                  <w:rStyle w:val="InternetLink"/>
                  <w:rFonts w:ascii="Times New Roman" w:hAnsi="Times New Roman"/>
                  <w:sz w:val="20"/>
                </w:rPr>
                <w:t>ITEM 16E.</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23b">
              <w:r>
                <w:rPr>
                  <w:rStyle w:val="InternetLink"/>
                </w:rPr>
                <w:t>PURCHASES OF EQUITY SECURITIES BY THE ISSUER AND AFFILIATED PURCHASERS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163</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24">
              <w:r>
                <w:rPr>
                  <w:rStyle w:val="InternetLink"/>
                  <w:rFonts w:ascii="Times New Roman" w:hAnsi="Times New Roman"/>
                  <w:sz w:val="20"/>
                </w:rPr>
                <w:t>ITEM 16F.</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24">
              <w:r>
                <w:rPr>
                  <w:rStyle w:val="InternetLink"/>
                </w:rPr>
                <w:t>CHANGE IN REGISTRANT’S CERTIFYING ACCOUNTANT</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164</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25">
              <w:r>
                <w:rPr>
                  <w:rStyle w:val="InternetLink"/>
                  <w:rFonts w:ascii="Times New Roman" w:hAnsi="Times New Roman"/>
                  <w:sz w:val="20"/>
                </w:rPr>
                <w:t>ITEM 16G.</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25">
              <w:r>
                <w:rPr>
                  <w:rStyle w:val="InternetLink"/>
                </w:rPr>
                <w:t>CORPORATE GOVERNANCE</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164</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26">
              <w:r>
                <w:rPr>
                  <w:rStyle w:val="InternetLink"/>
                  <w:rFonts w:ascii="Times New Roman" w:hAnsi="Times New Roman"/>
                  <w:sz w:val="20"/>
                </w:rPr>
                <w:t>ITEM 16H.</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26">
              <w:r>
                <w:rPr>
                  <w:rStyle w:val="InternetLink"/>
                </w:rPr>
                <w:t>MINE SAFETY DISCLOSURE</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164</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27">
              <w:r>
                <w:rPr>
                  <w:rStyle w:val="InternetLink"/>
                  <w:rFonts w:ascii="Times New Roman" w:hAnsi="Times New Roman"/>
                  <w:sz w:val="20"/>
                </w:rPr>
                <w:t>ITEM 16I.</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27">
              <w:r>
                <w:rPr>
                  <w:rStyle w:val="InternetLink"/>
                </w:rPr>
                <w:t>DISCLOSURE REGARDING FOREIGN JURISDICTIONS THAT PREVENT INSPECTIONS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164</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28">
              <w:r>
                <w:rPr>
                  <w:rStyle w:val="InternetLink"/>
                  <w:rFonts w:ascii="Times New Roman" w:hAnsi="Times New Roman"/>
                  <w:sz w:val="20"/>
                </w:rPr>
                <w:t>ITEM 16J.</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28">
              <w:r>
                <w:rPr>
                  <w:rStyle w:val="InternetLink"/>
                </w:rPr>
                <w:t>INSIDER TRADING POLICIES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165</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29">
              <w:r>
                <w:rPr>
                  <w:rStyle w:val="InternetLink"/>
                  <w:rFonts w:ascii="Times New Roman" w:hAnsi="Times New Roman"/>
                  <w:sz w:val="20"/>
                </w:rPr>
                <w:t>ITEM 16K.</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29">
              <w:r>
                <w:rPr>
                  <w:rStyle w:val="InternetLink"/>
                </w:rPr>
                <w:t>CYBERSECURITY</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165</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283"/>
              <w:jc w:val="left"/>
              <w:rPr>
                <w:sz w:val="4"/>
                <w:szCs w:val="4"/>
              </w:rPr>
            </w:pPr>
            <w:r>
              <w:rPr>
                <w:sz w:val="4"/>
                <w:szCs w:val="4"/>
              </w:rPr>
            </w:r>
          </w:p>
        </w:tc>
        <w:tc>
          <w:tcPr>
            <w:tcW w:w="8674" w:type="dxa"/>
            <w:gridSpan w:val="2"/>
            <w:tcBorders/>
            <w:vAlign w:val="center"/>
          </w:tcPr>
          <w:p>
            <w:pPr>
              <w:pStyle w:val="TableContents"/>
              <w:bidi w:val="0"/>
              <w:spacing w:before="0" w:after="283"/>
              <w:jc w:val="left"/>
              <w:rPr>
                <w:sz w:val="4"/>
                <w:szCs w:val="4"/>
              </w:rPr>
            </w:pPr>
            <w:r>
              <w:rPr>
                <w:sz w:val="4"/>
                <w:szCs w:val="4"/>
              </w:rPr>
            </w:r>
          </w:p>
        </w:tc>
        <w:tc>
          <w:tcPr>
            <w:tcW w:w="681" w:type="dxa"/>
            <w:gridSpan w:val="4"/>
            <w:tcBorders/>
            <w:vAlign w:val="center"/>
          </w:tcPr>
          <w:p>
            <w:pPr>
              <w:pStyle w:val="TableContents"/>
              <w:bidi w:val="0"/>
              <w:spacing w:before="0" w:after="283"/>
              <w:jc w:val="left"/>
              <w:rPr>
                <w:sz w:val="4"/>
                <w:szCs w:val="4"/>
              </w:rPr>
            </w:pPr>
            <w:r>
              <w:rPr>
                <w:sz w:val="4"/>
                <w:szCs w:val="4"/>
              </w:rPr>
            </w:r>
          </w:p>
        </w:tc>
      </w:tr>
      <w:tr>
        <w:trPr/>
        <w:tc>
          <w:tcPr>
            <w:tcW w:w="850" w:type="dxa"/>
            <w:tcBorders/>
            <w:vAlign w:val="center"/>
          </w:tcPr>
          <w:p>
            <w:pPr>
              <w:pStyle w:val="TableContents"/>
              <w:bidi w:val="0"/>
              <w:spacing w:before="0" w:after="0"/>
              <w:jc w:val="left"/>
              <w:rPr/>
            </w:pPr>
            <w:hyperlink w:anchor="toc907177_30">
              <w:r>
                <w:rPr>
                  <w:rStyle w:val="InternetLink"/>
                  <w:rFonts w:ascii="Times New Roman" w:hAnsi="Times New Roman"/>
                  <w:sz w:val="20"/>
                </w:rPr>
                <w:t>PART III</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166</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31">
              <w:r>
                <w:rPr>
                  <w:rStyle w:val="InternetLink"/>
                  <w:rFonts w:ascii="Times New Roman" w:hAnsi="Times New Roman"/>
                  <w:sz w:val="20"/>
                </w:rPr>
                <w:t>ITEM 17.</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31">
              <w:r>
                <w:rPr>
                  <w:rStyle w:val="InternetLink"/>
                </w:rPr>
                <w:t>FINANCIAL STATEMENTS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166</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32">
              <w:r>
                <w:rPr>
                  <w:rStyle w:val="InternetLink"/>
                  <w:rFonts w:ascii="Times New Roman" w:hAnsi="Times New Roman"/>
                  <w:sz w:val="20"/>
                </w:rPr>
                <w:t>ITEM 18.</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32">
              <w:r>
                <w:rPr>
                  <w:rStyle w:val="InternetLink"/>
                </w:rPr>
                <w:t>FINANCIAL STATEMENTS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166</w:t>
            </w:r>
          </w:p>
        </w:tc>
        <w:tc>
          <w:tcPr>
            <w:tcW w:w="76" w:type="dxa"/>
            <w:tcBorders/>
            <w:vAlign w:val="center"/>
          </w:tcPr>
          <w:p>
            <w:pPr>
              <w:pStyle w:val="TableContents"/>
              <w:bidi w:val="0"/>
              <w:spacing w:before="0" w:after="283"/>
              <w:jc w:val="left"/>
              <w:rPr/>
            </w:pPr>
            <w:r>
              <w:rPr/>
              <w:t> </w:t>
            </w:r>
          </w:p>
        </w:tc>
      </w:tr>
      <w:tr>
        <w:trPr/>
        <w:tc>
          <w:tcPr>
            <w:tcW w:w="850" w:type="dxa"/>
            <w:tcBorders/>
            <w:vAlign w:val="center"/>
          </w:tcPr>
          <w:p>
            <w:pPr>
              <w:pStyle w:val="TableContents"/>
              <w:bidi w:val="0"/>
              <w:spacing w:before="0" w:after="0"/>
              <w:jc w:val="left"/>
              <w:rPr/>
            </w:pPr>
            <w:hyperlink w:anchor="toc907177_33">
              <w:r>
                <w:rPr>
                  <w:rStyle w:val="InternetLink"/>
                  <w:rFonts w:ascii="Times New Roman" w:hAnsi="Times New Roman"/>
                  <w:sz w:val="20"/>
                </w:rPr>
                <w:t>ITEM 19.</w:t>
              </w:r>
            </w:hyperlink>
          </w:p>
        </w:tc>
        <w:tc>
          <w:tcPr>
            <w:tcW w:w="120" w:type="dxa"/>
            <w:tcBorders/>
            <w:vAlign w:val="center"/>
          </w:tcPr>
          <w:p>
            <w:pPr>
              <w:pStyle w:val="TableContents"/>
              <w:bidi w:val="0"/>
              <w:spacing w:before="0" w:after="283"/>
              <w:jc w:val="left"/>
              <w:rPr/>
            </w:pPr>
            <w:r>
              <w:rPr/>
              <w:t>  </w:t>
            </w:r>
          </w:p>
        </w:tc>
        <w:tc>
          <w:tcPr>
            <w:tcW w:w="8554" w:type="dxa"/>
            <w:tcBorders/>
            <w:vAlign w:val="center"/>
          </w:tcPr>
          <w:p>
            <w:pPr>
              <w:pStyle w:val="TableContents"/>
              <w:bidi w:val="0"/>
              <w:spacing w:before="0" w:after="283"/>
              <w:jc w:val="left"/>
              <w:rPr/>
            </w:pPr>
            <w:hyperlink w:anchor="toc907177_33">
              <w:r>
                <w:rPr>
                  <w:rStyle w:val="InternetLink"/>
                </w:rPr>
                <w:t>EXHIBITS</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166</w:t>
            </w:r>
          </w:p>
        </w:tc>
        <w:tc>
          <w:tcPr>
            <w:tcW w:w="76" w:type="dxa"/>
            <w:tcBorders/>
            <w:vAlign w:val="center"/>
          </w:tcPr>
          <w:p>
            <w:pPr>
              <w:pStyle w:val="TableContents"/>
              <w:bidi w:val="0"/>
              <w:spacing w:before="0" w:after="283"/>
              <w:jc w:val="left"/>
              <w:rPr/>
            </w:pPr>
            <w:r>
              <w:rPr/>
              <w:t> </w:t>
            </w:r>
          </w:p>
        </w:tc>
      </w:tr>
      <w:tr>
        <w:trPr/>
        <w:tc>
          <w:tcPr>
            <w:tcW w:w="9524" w:type="dxa"/>
            <w:gridSpan w:val="3"/>
            <w:tcBorders/>
            <w:vAlign w:val="center"/>
          </w:tcPr>
          <w:p>
            <w:pPr>
              <w:pStyle w:val="TableContents"/>
              <w:bidi w:val="0"/>
              <w:spacing w:before="0" w:after="283"/>
              <w:jc w:val="left"/>
              <w:rPr>
                <w:sz w:val="4"/>
                <w:szCs w:val="4"/>
              </w:rPr>
            </w:pPr>
            <w:r>
              <w:rPr>
                <w:sz w:val="4"/>
                <w:szCs w:val="4"/>
              </w:rPr>
            </w:r>
          </w:p>
        </w:tc>
        <w:tc>
          <w:tcPr>
            <w:tcW w:w="681" w:type="dxa"/>
            <w:gridSpan w:val="4"/>
            <w:tcBorders/>
            <w:vAlign w:val="center"/>
          </w:tcPr>
          <w:p>
            <w:pPr>
              <w:pStyle w:val="TableContents"/>
              <w:bidi w:val="0"/>
              <w:spacing w:before="0" w:after="283"/>
              <w:jc w:val="left"/>
              <w:rPr>
                <w:sz w:val="4"/>
                <w:szCs w:val="4"/>
              </w:rPr>
            </w:pPr>
            <w:r>
              <w:rPr>
                <w:sz w:val="4"/>
                <w:szCs w:val="4"/>
              </w:rPr>
            </w:r>
          </w:p>
        </w:tc>
      </w:tr>
      <w:tr>
        <w:trPr/>
        <w:tc>
          <w:tcPr>
            <w:tcW w:w="9524" w:type="dxa"/>
            <w:gridSpan w:val="3"/>
            <w:tcBorders/>
            <w:vAlign w:val="center"/>
          </w:tcPr>
          <w:p>
            <w:pPr>
              <w:pStyle w:val="TableContents"/>
              <w:bidi w:val="0"/>
              <w:spacing w:before="0" w:after="0"/>
              <w:jc w:val="left"/>
              <w:rPr/>
            </w:pPr>
            <w:hyperlink w:anchor="toc907177_34">
              <w:r>
                <w:rPr>
                  <w:rStyle w:val="InternetLink"/>
                  <w:rFonts w:ascii="Times New Roman" w:hAnsi="Times New Roman"/>
                  <w:sz w:val="20"/>
                </w:rPr>
                <w:t xml:space="preserve">SIGNATURES </w:t>
              </w:r>
            </w:hyperlink>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right"/>
              <w:rPr/>
            </w:pPr>
            <w:r>
              <w:rPr/>
              <w:t>169</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907177_1"/>
      <w:bookmarkEnd w:id="3"/>
      <w:r>
        <w:rPr>
          <w:rFonts w:ascii="Times New Roman" w:hAnsi="Times New Roman"/>
          <w:b/>
          <w:sz w:val="20"/>
        </w:rPr>
        <w:t xml:space="preserve">INTRODUCTION </w:t>
      </w:r>
    </w:p>
    <w:p>
      <w:pPr>
        <w:pStyle w:val="TextBody"/>
        <w:bidi w:val="0"/>
        <w:spacing w:before="240" w:after="0"/>
        <w:jc w:val="left"/>
        <w:rPr>
          <w:rFonts w:ascii="Times New Roman" w:hAnsi="Times New Roman"/>
          <w:sz w:val="20"/>
        </w:rPr>
      </w:pPr>
      <w:r>
        <w:rPr>
          <w:rFonts w:ascii="Times New Roman" w:hAnsi="Times New Roman"/>
          <w:sz w:val="20"/>
        </w:rPr>
        <w:t xml:space="preserve">In this annual report, unless otherwise indicated or unless the context otherwise requires: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active customers” refers to registered members who have purchased from our online sales business or our online marketplace platforms, excluding those who made their purchases from our online stores operated at third-party platforms, at least once during the given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ADSs” refers to the American depositary shares, each of which represents 0.2 Class A ordinary shares of our company, par value US$0.0001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China” or “PRC” refers to the People’s Republic of China, and, unless the context requires otherwise and solely for the purpose of this annual report such as describing legal or tax matters, authorities, entities, or persons, excludes Hong Kong S.A.R., Macao S.A.R., and Taiwan region of the People’s Republic of China;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GMV” refers to gross merchandise value, the total Renminbi value of all products and services sold through our online sales business, online marketplace platform, Shan Shan Outlets, and other offline stores during the given period, including our websites and mobile apps, third-party websites and mobile apps, Shan Shan Outlets, and other offline stores, which were fulfilled by either our company or our third-party merchants, regardless of whether or not the goods were delivered or returned. GMV includes shipping charges paid by buyers to sellers. For prudent considerations, we do not consider products or services to be sold if the orders were placed and canceled pre-shipment and only included orders that left our or other third-party vendors’ warehouses; </w:t>
            </w:r>
          </w:p>
        </w:tc>
      </w:tr>
    </w:tbl>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75"/>
        <w:gridCol w:w="110"/>
        <w:gridCol w:w="60"/>
        <w:gridCol w:w="78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“registered member” refers to any consumer who has registered and created an account with us; </w:t>
            </w:r>
          </w:p>
        </w:tc>
      </w:tr>
    </w:tbl>
    <w:p>
      <w:pPr>
        <w:pStyle w:val="TextBody"/>
        <w:bidi w:val="0"/>
        <w:spacing w:before="0" w:after="0"/>
        <w:jc w:val="left"/>
        <w:rPr/>
      </w:pPr>
      <w:r>
        <w:rPr/>
        <w:t> </w:t>
      </w:r>
    </w:p>
    <w:tbl>
      <w:tblPr>
        <w:tblW w:w="5215" w:type="dxa"/>
        <w:jc w:val="left"/>
        <w:tblInd w:w="0" w:type="dxa"/>
        <w:tblLayout w:type="fixed"/>
        <w:tblCellMar>
          <w:top w:w="0" w:type="dxa"/>
          <w:left w:w="0" w:type="dxa"/>
          <w:bottom w:w="0" w:type="dxa"/>
          <w:right w:w="0" w:type="dxa"/>
        </w:tblCellMar>
      </w:tblPr>
      <w:tblGrid>
        <w:gridCol w:w="75"/>
        <w:gridCol w:w="110"/>
        <w:gridCol w:w="60"/>
        <w:gridCol w:w="49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70" w:type="dxa"/>
            <w:tcBorders/>
            <w:vAlign w:val="center"/>
          </w:tcPr>
          <w:p>
            <w:pPr>
              <w:pStyle w:val="TableContents"/>
              <w:bidi w:val="0"/>
              <w:spacing w:before="0" w:after="0"/>
              <w:jc w:val="left"/>
              <w:rPr/>
            </w:pPr>
            <w:r>
              <w:rPr/>
              <w:t>“</w:t>
            </w:r>
            <w:r>
              <w:rPr>
                <w:rFonts w:ascii="Times New Roman" w:hAnsi="Times New Roman"/>
                <w:sz w:val="20"/>
              </w:rPr>
              <w:t xml:space="preserve">Renminbi” or “RMB” refers to the legal currency of China;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repeat customers” refers to, for a given period, any customer who (i) is an active customer during such period, and (ii) had purchased products from us or our online marketplace platforms at least twice during the period from our inception on August 22, 2008 to the end of such period. Orders placed by a repeat customer during a given period include all orders placed by the customer during such period even if the customer made the first purchase from us in the same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shares” or “ordinary shares” refers to our ordinary shares, which include both Class A ordinary shares and Class B ordinary shares, par value US$0.0001 per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total orders” refers to the total number of orders placed during the given period, including the orders for products and services sold through our online sales business and on our online marketplace platforms (excluding, for the avoidance of doubt, orders from our offline stores and outlets), net of orders returned;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pPr>
            <w:r>
              <w:rPr/>
              <w:t>“</w:t>
            </w:r>
            <w:r>
              <w:rPr>
                <w:rFonts w:ascii="Times New Roman" w:hAnsi="Times New Roman"/>
                <w:sz w:val="20"/>
              </w:rPr>
              <w:t xml:space="preserve">U.S. dollars” or “US$” refers to the legal currency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Vipshop Online Platform” refers to our Vipshop App mobile application, Vipshop WeChat Mini-Program, and our vip.com website;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we” or “our company” refers to Vipshop Holdings Limited and its subsidiaries, and, in the context of describing our operations and consolidated financial information, the consolidated variable interest entities, or the VIEs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Beginning in the fourth quarter of 2023, we updated our definition of “active customers” to exclude registered members who make their purchases from our online stores that are operated at third-party platforms. The active customer and repeat customer figures for the historical periods presented in this annual report have been retrospectively adjusted accordingly.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discrepancies in any table between the amounts identified as total amounts and the sum of the amounts listed therein are due to rounding. </w:t>
      </w:r>
    </w:p>
    <w:p>
      <w:pPr>
        <w:pStyle w:val="TextBody"/>
        <w:bidi w:val="0"/>
        <w:spacing w:before="240" w:after="0"/>
        <w:jc w:val="left"/>
        <w:rPr>
          <w:rFonts w:ascii="Times New Roman" w:hAnsi="Times New Roman"/>
          <w:sz w:val="20"/>
        </w:rPr>
      </w:pPr>
      <w:r>
        <w:rPr>
          <w:rFonts w:ascii="Times New Roman" w:hAnsi="Times New Roman"/>
          <w:sz w:val="20"/>
        </w:rPr>
        <w:t xml:space="preserve">Our reporting currency is Renminbi. This annual report contains translations from Renminbi to U.S. dollars solely for the convenience of the reader. Unless otherwise stated, all translations from Renminbi to U.S. dollars were made at a rate of RMB7.2993 to US$1.00, which was the exchange rate in effect as of December 31, 2024 as set forth in the H.10 statistical release of The Board of Governors of the Federal Reserve System. We make no representation that any Renminbi amounts referred to in this annual report could have been, or could be, converted to U.S. dollars at any particular rate,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907177_2"/>
      <w:bookmarkEnd w:id="4"/>
      <w:r>
        <w:rPr>
          <w:rFonts w:ascii="Times New Roman" w:hAnsi="Times New Roman"/>
          <w:b/>
          <w:sz w:val="20"/>
        </w:rPr>
        <w:t xml:space="preserve">FORWARD-LOOKING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annual report contains forward-looking statements that reflect our current expectations and views of future events. These forward-looking statements are made under the “safe harbor” provisions of the U.S. Private Securities Litigation Reform Act of 1995. Known and unknown risks, uncertainties and other factors, including those included in “Item 3. Key Information—D. Risk Factors,” may cause our actual results, performance, or achievements to be materially different from those expressed or implied by the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can identify some of these forward-looking statements by words or phrases such as “may,” “might,” “will,” “would,”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without limitation statements relating to: </w:t>
      </w:r>
    </w:p>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75"/>
        <w:gridCol w:w="110"/>
        <w:gridCol w:w="60"/>
        <w:gridCol w:w="2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goals and strategies;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business development, financial condition, and results of operations;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expected growth of the online discount retail market in China;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customers and brand partners and further enhance our brand recognition; </w:t>
            </w:r>
          </w:p>
        </w:tc>
      </w:tr>
    </w:tbl>
    <w:p>
      <w:pPr>
        <w:pStyle w:val="TextBody"/>
        <w:bidi w:val="0"/>
        <w:spacing w:before="0" w:after="0"/>
        <w:jc w:val="left"/>
        <w:rPr/>
      </w:pPr>
      <w:r>
        <w:rPr/>
        <w:t> </w:t>
      </w:r>
    </w:p>
    <w:tbl>
      <w:tblPr>
        <w:tblW w:w="7720" w:type="dxa"/>
        <w:jc w:val="left"/>
        <w:tblInd w:w="0" w:type="dxa"/>
        <w:tblLayout w:type="fixed"/>
        <w:tblCellMar>
          <w:top w:w="0" w:type="dxa"/>
          <w:left w:w="0" w:type="dxa"/>
          <w:bottom w:w="0" w:type="dxa"/>
          <w:right w:w="0" w:type="dxa"/>
        </w:tblCellMar>
      </w:tblPr>
      <w:tblGrid>
        <w:gridCol w:w="75"/>
        <w:gridCol w:w="110"/>
        <w:gridCol w:w="60"/>
        <w:gridCol w:w="7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demand for and market acceptance of our products and services;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110"/>
        <w:gridCol w:w="60"/>
        <w:gridCol w:w="23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competition in our industry; </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10"/>
        <w:gridCol w:w="60"/>
        <w:gridCol w:w="5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government policies and regulations relating to our industry; </w:t>
            </w:r>
          </w:p>
        </w:tc>
      </w:tr>
    </w:tbl>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75"/>
        <w:gridCol w:w="110"/>
        <w:gridCol w:w="60"/>
        <w:gridCol w:w="69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general economic and business conditions in China and globally; and </w:t>
            </w:r>
          </w:p>
        </w:tc>
      </w:tr>
    </w:tbl>
    <w:p>
      <w:pPr>
        <w:pStyle w:val="TextBody"/>
        <w:bidi w:val="0"/>
        <w:spacing w:before="0" w:after="0"/>
        <w:jc w:val="left"/>
        <w:rPr/>
      </w:pPr>
      <w:r>
        <w:rPr/>
        <w:t> </w:t>
      </w:r>
    </w:p>
    <w:tbl>
      <w:tblPr>
        <w:tblW w:w="5110" w:type="dxa"/>
        <w:jc w:val="left"/>
        <w:tblInd w:w="0" w:type="dxa"/>
        <w:tblLayout w:type="fixed"/>
        <w:tblCellMar>
          <w:top w:w="0" w:type="dxa"/>
          <w:left w:w="0" w:type="dxa"/>
          <w:bottom w:w="0" w:type="dxa"/>
          <w:right w:w="0" w:type="dxa"/>
        </w:tblCellMar>
      </w:tblPr>
      <w:tblGrid>
        <w:gridCol w:w="75"/>
        <w:gridCol w:w="110"/>
        <w:gridCol w:w="60"/>
        <w:gridCol w:w="4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assumptions underlying or relating to any of the foregoing.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“Item 3. Key Information—D. Risk Factors,” “Item 4. Information on the Company—B. Business Overview,” “Item 5. Operating and Financial Review and Prospects,” and other sections in this annual report. You should read thoroughly this annual report and the documents that we refer to in this annual report with the understanding that our actual future results may be materially different from and worse than what we expect. We qualify all of our forward-looking statements by these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rely upon forward-looking statements as predictions of future events. The forward-looking statements made in this annual report relate only to events or information as of the date on which the statements are made in this annual report. We undertake no obligation to update or revise any forward-looking statements, whether as a result of new information, future events,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907177_3"/>
      <w:bookmarkEnd w:id="5"/>
      <w:r>
        <w:rPr>
          <w:rFonts w:ascii="Times New Roman" w:hAnsi="Times New Roman"/>
          <w:b/>
          <w:sz w:val="20"/>
        </w:rPr>
        <w:t xml:space="preserve">PART I </w:t>
      </w:r>
    </w:p>
    <w:p>
      <w:pPr>
        <w:pStyle w:val="TextBody"/>
        <w:bidi w:val="0"/>
        <w:spacing w:before="0" w:after="0"/>
        <w:jc w:val="left"/>
        <w:rPr/>
      </w:pPr>
      <w:r>
        <w:rPr/>
        <w:t> </w:t>
      </w:r>
    </w:p>
    <w:tbl>
      <w:tblPr>
        <w:tblW w:w="7225" w:type="dxa"/>
        <w:jc w:val="left"/>
        <w:tblInd w:w="0" w:type="dxa"/>
        <w:tblLayout w:type="fixed"/>
        <w:tblCellMar>
          <w:top w:w="0" w:type="dxa"/>
          <w:left w:w="0" w:type="dxa"/>
          <w:bottom w:w="0" w:type="dxa"/>
          <w:right w:w="0" w:type="dxa"/>
        </w:tblCellMar>
      </w:tblPr>
      <w:tblGrid>
        <w:gridCol w:w="905"/>
        <w:gridCol w:w="6320"/>
      </w:tblGrid>
      <w:tr>
        <w:trPr/>
        <w:tc>
          <w:tcPr>
            <w:tcW w:w="905" w:type="dxa"/>
            <w:tcBorders/>
            <w:vAlign w:val="center"/>
          </w:tcPr>
          <w:p>
            <w:pPr>
              <w:pStyle w:val="TableContents"/>
              <w:bidi w:val="0"/>
              <w:spacing w:before="0" w:after="283"/>
              <w:jc w:val="left"/>
              <w:rPr>
                <w:b/>
              </w:rPr>
            </w:pPr>
            <w:bookmarkStart w:id="6" w:name="toc907177_4"/>
            <w:bookmarkEnd w:id="6"/>
            <w:r>
              <w:rPr>
                <w:b/>
              </w:rPr>
              <w:t>ITEM 1.</w:t>
            </w:r>
          </w:p>
        </w:tc>
        <w:tc>
          <w:tcPr>
            <w:tcW w:w="6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IDENTITY OF DIRECTORS, SENIOR MANAGEMENT AND ADVISERS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905"/>
        <w:gridCol w:w="4730"/>
      </w:tblGrid>
      <w:tr>
        <w:trPr/>
        <w:tc>
          <w:tcPr>
            <w:tcW w:w="905" w:type="dxa"/>
            <w:tcBorders/>
            <w:vAlign w:val="center"/>
          </w:tcPr>
          <w:p>
            <w:pPr>
              <w:pStyle w:val="TableContents"/>
              <w:bidi w:val="0"/>
              <w:spacing w:before="0" w:after="283"/>
              <w:jc w:val="left"/>
              <w:rPr>
                <w:b/>
              </w:rPr>
            </w:pPr>
            <w:bookmarkStart w:id="7" w:name="toc907177_5"/>
            <w:bookmarkEnd w:id="7"/>
            <w:r>
              <w:rPr>
                <w:b/>
              </w:rPr>
              <w:t>ITEM 2.</w:t>
            </w:r>
          </w:p>
        </w:tc>
        <w:tc>
          <w:tcPr>
            <w:tcW w:w="4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OFFER STATISTICS AND EXPECTED TIMETABLE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905"/>
        <w:gridCol w:w="1970"/>
      </w:tblGrid>
      <w:tr>
        <w:trPr/>
        <w:tc>
          <w:tcPr>
            <w:tcW w:w="905" w:type="dxa"/>
            <w:tcBorders/>
            <w:vAlign w:val="center"/>
          </w:tcPr>
          <w:p>
            <w:pPr>
              <w:pStyle w:val="TableContents"/>
              <w:bidi w:val="0"/>
              <w:spacing w:before="0" w:after="283"/>
              <w:jc w:val="left"/>
              <w:rPr>
                <w:b/>
              </w:rPr>
            </w:pPr>
            <w:bookmarkStart w:id="8" w:name="toc907177_6"/>
            <w:bookmarkEnd w:id="8"/>
            <w:r>
              <w:rPr>
                <w:b/>
              </w:rPr>
              <w:t>ITEM 3.</w:t>
            </w:r>
          </w:p>
        </w:tc>
        <w:tc>
          <w:tcPr>
            <w:tcW w:w="1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KEY INFORMATION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Our Holding Company Structure and Contractual Arrangements with the Consolidated Variable Interest Entities </w:t>
      </w:r>
    </w:p>
    <w:p>
      <w:pPr>
        <w:pStyle w:val="TextBody"/>
        <w:bidi w:val="0"/>
        <w:spacing w:before="120" w:after="0"/>
        <w:jc w:val="left"/>
        <w:rPr>
          <w:rFonts w:ascii="Times New Roman" w:hAnsi="Times New Roman"/>
          <w:sz w:val="20"/>
        </w:rPr>
      </w:pPr>
      <w:r>
        <w:rPr>
          <w:rFonts w:ascii="Times New Roman" w:hAnsi="Times New Roman"/>
          <w:sz w:val="20"/>
        </w:rPr>
        <w:t xml:space="preserve">Vipshop Holdings Limited is not a Chinese operating company but a Cayman Islands holding company with no equity ownership in the consolidated variable interest entities and their subsidiaries. Our operations in China are conducted by (i) our PRC subsidiaries and (ii) the consolidated variable interest entities with which one of our PRC subsidiaries maintains contractual arrangements. PRC laws and regulations restrict and impose conditions on foreign investment in internet content, value-added telecommunication-based online marketing and mobile application distribution businesses, and internet-based audio and video services. Accordingly, these businesses in China are operated by the consolidated variable interest entities and their subsidiaries, and such structure is used to provide investors with exposure to foreign investment in China-based companies where PRC laws and regulations prohibit or restrict direct foreign investment in certain operating companies, and rely on contractual arrangements among our PRC subsidiaries, the consolidated variable interest entities and their nominee shareholders to make management decisions of the consolidated variable interest entities and their subsidiaries. Revenues contributed by the consolidated variable interest entities accounted for 1.1%, 0.3% and 0.3% of our total net revenues in 2022, 2023 and 2024, respectively. However, contractual arrangements may not be as effective as direct ownership in providing us with control over the consolidated variable interests and their subsidiaries and we may incur substantial costs to enforce the terms of the arrangements. As such, the VIE structure involves unique risks to investors of our Cayman Islands holding company. For a more detailed discussion of those risks, see “Item 3. Key Information—D. Risk Factors—Risks Relating to Our Corporate Structure.” In addition, the legality and enforceability of the contractual agreements by and among our PRC subsidiaries, the VIEs, and their respective shareholders, as a whole, have not been tested in a court of law in China as of the date of this annual report.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annual report, “we” or “our company” refers to Vipshop Holdings Limited, its subsidiaries, and, in the context of describing our operations and consolidated financial information, the consolidated variable interest entities in China, including but not limited to (i) Guangzhou Vipshop E-Commerce Co., Ltd., or Vipshop E-Commerce, which currently holds the primary licenses necessary to conduct the internet-related operations of our Vipshop Online Platform in China, (ii) Guangzhou Vipshop Information Technology Co., Ltd., or Vipshop Information, and (iii) Pin Jun Tong Enterprise Management &amp; Consulting Co., Ltd., or Pin Jun Tong. The consolidated variable interest entities and their subsidiaries are PRC companies conducting operations in China, and their financial results have been consolidated into our consolidated financial statements under the U.S. GAAP for accounting purposes. Vipshop Holdings Limited is a holding company with no operations of its own. We do not have any equity ownership in the consolidated variable interest entities or their subsidiaries. Investors in the ADSs are not purchasing equity interest in the consolidated variable interest entities in China but instead are purchasing equity interest in a holding company incorporated in the Cayman Islands, and may never directly hold equity interests in the consolidated variable interest entities in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diagram illustrates our corporate structure, including our principal subsidiaries and the principal consolidated variable interest entity as of the date of this annual report: </w:t>
      </w:r>
    </w:p>
    <w:p>
      <w:pPr>
        <w:pStyle w:val="TextBody"/>
        <w:bidi w:val="0"/>
        <w:spacing w:before="0" w:after="0"/>
        <w:jc w:val="left"/>
        <w:rPr/>
      </w:pPr>
      <w:r>
        <w:rPr/>
        <w:t> </w:t>
      </w:r>
    </w:p>
    <w:p>
      <w:pPr>
        <w:pStyle w:val="TextBody"/>
        <w:bidi w:val="0"/>
        <w:spacing w:before="0" w:after="0"/>
        <w:jc w:val="center"/>
        <w:rPr/>
      </w:pPr>
      <w:r>
        <w:rPr/>
        <w:drawing>
          <wp:inline distT="0" distB="0" distL="0" distR="0">
            <wp:extent cx="9525000" cy="425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4257675"/>
                    </a:xfrm>
                    <a:prstGeom prst="rect">
                      <a:avLst/>
                    </a:prstGeom>
                  </pic:spPr>
                </pic:pic>
              </a:graphicData>
            </a:graphic>
          </wp:inline>
        </w:drawing>
      </w:r>
      <w:r>
        <w:rPr/>
        <w:t xml:space="preserve">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Notes: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305"/>
        <w:gridCol w:w="5330"/>
      </w:tblGrid>
      <w:tr>
        <w:trPr/>
        <w:tc>
          <w:tcPr>
            <w:tcW w:w="305" w:type="dxa"/>
            <w:tcBorders/>
            <w:vAlign w:val="center"/>
          </w:tcPr>
          <w:p>
            <w:pPr>
              <w:pStyle w:val="TableContents"/>
              <w:bidi w:val="0"/>
              <w:spacing w:before="0" w:after="283"/>
              <w:jc w:val="left"/>
              <w:rPr/>
            </w:pPr>
            <w:r>
              <w:rPr/>
              <w:t>(1)</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Subsidiaries primarily engaged in product procurement business.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(2)</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Vipshop E-Commerce is a consolidated variable interest entity that primarily engages in e-commerce platform operation. Shareholders of Vipshop E-Commerce include Eric Ya Shen, our chairman of the board of directors and chief executive officer, and Chan Huang, our employee, holding 66.7% and 33.3% of the total equity interests in Vipshop E-Commerce, respectively.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Vipshop Information is a consolidated variable interest entity that primarily engages in internet finance business, which represents a nominal portion of our business. Shareholders of Vipshop Information include Eric Ya Shen and Chan Huang, holding 99.2% and 0.8% of the total equity interests in Vipshop Information, respectively.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Pin Jun Tong is a consolidated variable interest entity with no substantive business. Shareholders of Pin Jun Tong include our co-founders and shareholders Eric Ya Shen and Arthur Xiaobo Hong, holding 65% and 35% of the total equity interests in Pin Jun Tong, respectively.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(5)</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Subsidiaries primarily engaged in retail businesses and warehousing services in the cities of Zhaoqing, Jianyang, Tianjin, and the regions around them. </w:t>
            </w:r>
          </w:p>
        </w:tc>
      </w:tr>
    </w:tbl>
    <w:tbl>
      <w:tblPr>
        <w:tblW w:w="7975" w:type="dxa"/>
        <w:jc w:val="left"/>
        <w:tblInd w:w="0" w:type="dxa"/>
        <w:tblLayout w:type="fixed"/>
        <w:tblCellMar>
          <w:top w:w="0" w:type="dxa"/>
          <w:left w:w="0" w:type="dxa"/>
          <w:bottom w:w="0" w:type="dxa"/>
          <w:right w:w="0" w:type="dxa"/>
        </w:tblCellMar>
      </w:tblPr>
      <w:tblGrid>
        <w:gridCol w:w="305"/>
        <w:gridCol w:w="7670"/>
      </w:tblGrid>
      <w:tr>
        <w:trPr/>
        <w:tc>
          <w:tcPr>
            <w:tcW w:w="305" w:type="dxa"/>
            <w:tcBorders/>
            <w:vAlign w:val="center"/>
          </w:tcPr>
          <w:p>
            <w:pPr>
              <w:pStyle w:val="TableContents"/>
              <w:bidi w:val="0"/>
              <w:spacing w:before="0" w:after="283"/>
              <w:jc w:val="left"/>
              <w:rPr/>
            </w:pPr>
            <w:r>
              <w:rPr/>
              <w:t>(6)</w:t>
            </w:r>
          </w:p>
        </w:tc>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Subsidiaries primarily engaged in software development and information technology support.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series of contractual agreements, including equity interest pledge agreements, exclusive option agreements, powers of attorney, exclusive business cooperation agreements, and loan agreements, have been entered into by and among our PRC subsidiaries, the consolidated variable interest entities, and their respective shareholders. Terms contained in each set of contractual arrangements with the consolidated variable interest entities and their respective shareholders are substantially similar. Under the equity interest pledge agreements, the shareholders of the applicable VIE have pledged all of their equity interests in the applicable VIE to the applicable wholly foreign-owned enterprise, or WFOE, to guarantee the applicable VIE’s and its shareholders’ performance of the obligations under the exclusive business cooperation agreement, exclusive option agreement, and loan agreement. Under the exclusive option agreements, the shareholders of the applicable VIE have granted the applicable WFOE an exclusive option to purchase, or designate one or more person(s) to purchase, all or part of their respective equity interests in the applicable VIE at a purchase price equal to the higher of: (i) the amount of registered capital actually contributed by the shareholders; or (ii) a minimum price permitted by applicable PRC laws. Under the powers of attorney, each shareholder of the VIE has irrevocably appointed the applicable WFOE as his/her attorney-in-fact to act on his/her behalf and exercise all of his/her rights as a shareholder of the applicable VIE, including the right to attend shareholder meetings, to exercise voting rights, to appoint directors and senior management of the applicable VIE, and to effect transfers of all or part of his/her equity interests in the applicable VIE pursuant to the equity interest pledge agreements and the exclusive option agreements. Under the exclusive business cooperation agreement, the applicable VIE agrees to engage the applicable WFOE as its exclusive provider of technical, consulting, and other services in relation to its business operations. In consideration of such services, the applicable VIE will pay to the applicable WFOE service fees that amount to all of the applicable VIE’s net income. Under the loan agreements, the applicable WFOE provided loans to the shareholders of the applicable VIE solely for the purpose of contribution or increase of registered capital or working capital of the applicable VIE. For more details of these contractual arrangements, see “Item 4. Information on the Company—C. Organizational Structure—Contractual Arrangements Relating to the Consolidated Variable Interest Entities.” As a result of these contractual arrangements, we have a “controlling financial interest” in the VIEs as defined in FASB ASC 810 so that we are considered the primary beneficiary of the consolidated variable interest entities for accounting purposes and have consolidated the financial results of these companies in our consolidated financial statements under the U.S. GAAP. Neither Vipshop Holdings Limited nor its investors in the ADSs has an equity ownership in, direct foreign investment in, or control through such ownership or investment of, the consolidated variable interest entities and their subsidiaries, and the contractual arrangements are not equivalent to an equity ownership in the business of the consolidated variable interest entities and their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contractual arrangements may not be as effective as direct ownership in providing us with control over the consolidated variable interest entities and their subsidiaries and we may incur substantial costs in enforcing the terms of the arrangements. See “Item 3. Key Information—D. Risk Factors—Risks Relating to Our Corporate Structure—We rely on contractual arrangements with the consolidated variable interest entities and their respective shareholders for the operation of our business, which may not be as effective as direct ownership. If the consolidated variable interest entities and their respective shareholders fail to perform their obligations under these contractual arrangements, we may have to resort to arbitration or litigation to enforce our rights, which may be time-consuming, unpredictable, expensive, and damaging to our operations and reputation” and “Item 3. Key Information—D. Risk Factors—Risks Relating to Our Corporate Structure—The shareholders of the significant consolidated variable interest entity have potential conflict of interest with us, which may adversely affect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There are also substantial uncertainties regarding the interpretation and application of current and future PRC laws, regulations, and rules regarding the status of the rights of our Cayman Islands holding company with respect to its contractual arrangements with the consolidated variable interest entities and their nominee shareholders, as well as the status of the rights of our founders and shareholders. It is uncertain whether any new PRC laws or regulations relating to variable interest entity structures will be adopted or, if adopted, what they would provide. If we or any of the consolidated variable interest entities is found to be in violation of any existing or future PRC laws or regulations, or fails to obtain or maintain any of the required licenses, permits, registrations, or approvals, the PRC regulatory authorities would have broad discretion in dealing with such violations or failures. See “Item 3. Key Information—D. Risk Factors—Risks Relating to Our Corporate Structure—Substantial uncertainties and restrictions exist with respect to the interpretation and application of PRC laws and regulations relating to online commerce and provision of internet content in China. If the PRC government finds that the structure we have adopted for our business operations does not comply with PRC laws and regulations, we could be subject to severe penalties, including shut-down of our Vipshop Online Platform” and “Item 3. Key Information—D. Risk Factors—Risks Relating to Our Corporate Structure—Our business may be significantly affected by the PRC Foreign Investment Law.” </w:t>
      </w:r>
    </w:p>
    <w:p>
      <w:pPr>
        <w:pStyle w:val="TextBody"/>
        <w:bidi w:val="0"/>
        <w:spacing w:before="240" w:after="0"/>
        <w:jc w:val="left"/>
        <w:rPr>
          <w:rFonts w:ascii="Times New Roman" w:hAnsi="Times New Roman"/>
          <w:sz w:val="20"/>
        </w:rPr>
      </w:pPr>
      <w:r>
        <w:rPr>
          <w:rFonts w:ascii="Times New Roman" w:hAnsi="Times New Roman"/>
          <w:sz w:val="20"/>
        </w:rPr>
        <w:t xml:space="preserve">Our corporate structure is subject to risks associated with our contractual arrangements with the consolidated variable interest entities. If the PRC government determines the contractual arrangements that constitute part of the consolidated variable interest entity structure to be incompliance with PRC laws or regulations, or if these laws or regulations or the interpretation thereof change in the future, we could be subject to severe penalties or be forced to relinquish our interests in those operations. The PRC regulatory authorities could disallow the consolidated variable interest entities structure, which would likely result in a material adverse change in our operations, and the value of the ADSs may decline significantly or become worthless. Due to the legal uncertainties and jurisdictional limits, our Cayman Islands holding company, our PRC subsidiaries, the consolidated variable interest entities and their subsidiaries, and investors of our company face challenges with respect to the enforceability of the contractual arrangements we have with the consolidated variable interest entities and, consequently, may significantly affect the financial performance of the consolidated variable interest entities and our company as a whole. For a detailed description of the risks associated with our corporate structure, see “Item 3. Key Information—D. Risk Factors—Risks Relating to Our Corporate 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China Operations </w:t>
      </w:r>
    </w:p>
    <w:p>
      <w:pPr>
        <w:pStyle w:val="TextBody"/>
        <w:bidi w:val="0"/>
        <w:spacing w:before="120" w:after="0"/>
        <w:jc w:val="left"/>
        <w:rPr>
          <w:rFonts w:ascii="Times New Roman" w:hAnsi="Times New Roman"/>
          <w:sz w:val="20"/>
        </w:rPr>
      </w:pPr>
      <w:r>
        <w:rPr>
          <w:rFonts w:ascii="Times New Roman" w:hAnsi="Times New Roman"/>
          <w:sz w:val="20"/>
        </w:rPr>
        <w:t xml:space="preserve">We face various risks and uncertainties relating to doing business in China. A majority of our business operations are conducted in China, and we are subject to complex and evolving PRC laws and regulations. For example, we face risks associated with regulatory approvals on overseas offerings, anti-monopoly regulatory actions, and oversight on cybersecurity, data security, and data privacy, as well as the prospective uncertainties as to the ability of the Public Company Accounting Oversight Board, or the PCAOB, to inspect or investigate completely auditors located in mainland China and Hong Kong, such as our auditor headquartered in Hong Kong, which may impact the ability of our holding company, subsidiaries, and the consolidated variable interest entities to conduct certain businesses, accept foreign investments, or list and conduct offerings on a United States or other foreign exchange. These risks could result in a material adverse change in our operations and the value of our ADSs, significantly limit or completely hinder our ability to continue to offer securities to investors, or cause the value of such securities to significantly decline. For a detailed description of risks relating to doing business in China, see “Item 3. Key Information—D. Risk Factors—Risks Relating to Doing Business in China.” As of the date of this annual report, regulatory actions relating to data security or anti-monopoly concerns in Hong Kong do not have a material impact on the ability of our holding company, subsidiaries, and the consolidated variable interest entities to conduct business, accept foreign investment, or continue to list on a United States stock exchange. However, new regulatory actions relating to data security or anti-monopoly concerns in Hong Kong may be taken in the future, and we cannot assure you as to whether such regulatory actions may have a material impact on the ability of our holding company, subsidiaries, and the consolidated variable interest entities to conduct business, accept foreign investment, or continue to list on a United States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The PRC government has significant authority in regulating our operations and may influence our operations. It may exert more oversight and control over offerings conducted overseas by, and/or foreign investment in, China-based issuers, which could significantly limit or completely hinder our ability to offer or continue to offer securities to investors. Implementation of industry-wide regulations in this nature may cause the value of such securities to significantly decline. For more details, see “Item 3. Key Information—D. Risk Factors—Risks Relating to Doing Business in China—The PRC government’s significant oversight and discretion over our business operations could result in a material adverse change in our operations and the value of our ADSs.” </w:t>
      </w:r>
    </w:p>
    <w:p>
      <w:pPr>
        <w:pStyle w:val="TextBody"/>
        <w:bidi w:val="0"/>
        <w:spacing w:before="240" w:after="0"/>
        <w:jc w:val="left"/>
        <w:rPr>
          <w:rFonts w:ascii="Times New Roman" w:hAnsi="Times New Roman"/>
          <w:sz w:val="20"/>
        </w:rPr>
      </w:pPr>
      <w:r>
        <w:rPr>
          <w:rFonts w:ascii="Times New Roman" w:hAnsi="Times New Roman"/>
          <w:sz w:val="20"/>
        </w:rPr>
        <w:t xml:space="preserve">Risks and uncertainties arising from the legal system in China, including risks and uncertainties regarding the enforcement of laws and quickly evolving rules and regulations in China, could result in a material adverse change in our operations and the value of the ADSs. For more details, see “Item 3. Key Information—D. Risk Factors—Risks Relating to Doing Business in China—Uncertainties with respect to the PRC legal system could adversely affect us” and “Item 3. Key Information—D. Risk Factors—Risks Relating to Doing Business in China—We may be adversely affected by the complexity, uncertainties, and changes in PRC regulation of internet—related businesses and companies, including e-commerce business.” </w:t>
      </w:r>
    </w:p>
    <w:p>
      <w:pPr>
        <w:pStyle w:val="TextBody"/>
        <w:bidi w:val="0"/>
        <w:spacing w:before="360" w:after="0"/>
        <w:jc w:val="left"/>
        <w:rPr>
          <w:rFonts w:ascii="Times New Roman" w:hAnsi="Times New Roman"/>
          <w:b/>
          <w:sz w:val="20"/>
        </w:rPr>
      </w:pPr>
      <w:r>
        <w:rPr>
          <w:rFonts w:ascii="Times New Roman" w:hAnsi="Times New Roman"/>
          <w:b/>
          <w:sz w:val="20"/>
        </w:rPr>
        <w:t xml:space="preserve">The Holding Foreign Companies Accountable Act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Holding Foreign Companies Accountable Act, or the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us as a Commission-Identified Issuer under the HFCAA following the filing of the annual report on Form 20-F for the fiscal year ended December 31, 2021. On December 15, 2022, the PCAOB issued a report that vacated its December 16, 2021 determination and removed mainland China and Hong Kong from the list of jurisdictions where it was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so after we file this annual report on Form 20-F for the fiscal year ended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“Item 3. Key Information—D. Risk Factors—Risks Relating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Relating to Doing Business in China—Our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Permissions Required from the PRC Authorities for Our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operations are primarily conducted by our subsidiaries and the consolidated variable interest entities in China. Our operations in China are governed by PRC laws and regulations. As of the date of this annual report, our PRC legal counsel, Han Kun Law Offices, is of the opinion that our PRC subsidiaries and the consolidated variable interest entities and their subsidiaries have obtained the requisite licenses and permits from the PRC government authorities that are necessary for their business operations in China, including Business Licenses, Value-added Telecommunication Licenses, Food Operating Permit, Internet Drug Information Service Qualification Certificate, Payment Business License, Network Cultural Business License, Record-filing for the Non-commercial Internet Information Services, Record-filing of Public Security for Network User, Record-filing of Online Publication Distribution Service, Record-filing of Type II Medical Devices Operation, Record-filing for a Third-party Platform Providing Online Trading Service of Medical Devices, Record-filing for a Third-party Platform Providing Online Trading Service of Medicines, Record-filing of Online Sales of Medical Device, Record-filing of a Third-party Platform Providing Online Food Trading, Record-filing of Issuers of Single-purpose Commercial Prepaid Cards, Record-filing of Importer or Exporter of Import or Export Goods, Record-filing of a Customs Declaration Entity, Record-filing of Internet Information Service Algorithm, and Record-filing of Mobile Internet Apps, except for certain permissions and approvals in mainland China, including certain Value-added Telecommunication Licenses for internet finance business as well as certain Record-filing of E-commerce Livestream Platform and License for Online Transmission of Audio-visual Programs for our live streaming services, which collectively represents an immaterial portion of our overall business operations. For a detailed description of these licenses and permits, see “Item 4. Information on the Company—B. Business Overview—Regulation—Regulations Relating to Licenses and Permits.” As of the date of this annual report, we, our PRC subsidiaries, or the VIEs have not received any denial notification from the authorities in connection with the applications for the necessary permissions or approvals to conduct our business. Given the uncertainties of interpretation and implementation of the laws and regulations and the enforcement practice by the government authorities, we face challenges in obtaining and maintaining all requisite licenses and permits and may be required to obtain additional licenses, permits, registrations, filings, or approvals for our business operations in the future. For more detailed information, see “Item 3. Key Information—D. Risk Factors—Risks Relating to Doing Business in China—We may be adversely affected by the complexity, uncertainties, and changes in PRC regulation of internet-related businesses and companies, including e-commerce business,” and “Item 3. Key Information—D. Risk Factors—Risks Relating to Our Corporate Structure—If our PRC subsidiaries and the consolidated variable interest entities fail to obtain and maintain the requisite assets, licenses, and approvals required under PRC laws, our business, financial condition, and results of operations may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a number of PRC laws, regulations, and rules that regulate the issuances and offerings of securities conducted overseas by China-based issuers as well as the foreign investment therein, including but are not limited to, (i) the Cybersecurity Review Measures jointly promulgated by the Cyberspace Administration of China, or the CAC, and other authorities on December 28, 2021 and effective on February 15, 2022, which requires companies that meet certain criteria to be subject to cybersecurity review, and (ii) the Trial Administration Measures of Overseas Securities Offering and Listing by Domestic Companies, or the Overseas Offering and Listing Measures, promulgated by the China Securities Regulatory Commission, or the CSRC, on February 17, 2023 and effective on March 31, 2023, which establishes a new filing-based regime to regulate overseas offerings and listings by PRC domestic companies. For details of the regulations that may impact our ability to pursue overseas offerings, issuances, and listing, see “Item 4. Information on the Company—B. Business Overview—Regulation—Regulations Relating to Information Security” and “Item 4. Information on the Company—B. Business Overview—Regulation—Regulations Relating to Overseas Listing and M&amp;A.”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current PRC laws, regulations, and rules, in connection with our issuance of securities to foreign investors in the past, our PRC legal counsel, Han Kun Law Offices, is of the opinion that as of the date of this annual report, we, our PRC subsidiaries, and the consolidated variable interest entities, (i) are not required to obtain permissions from or complete filing procedures with the CSRC pursuant to the Overseas Offering and Listing Measures for our historical issuances or offerings of securities to foreign investors that were completed before the date of implementation of the Overseas Offering and Listing Measures, but are required to go through filing procedures with the CSRC for our future issuance or offering of securities if we meet certain conditions set forth in the Overseas Offering and Listing Measures to be considered as an indirect overseas offering and listing by a PRC domestic company, (ii) are not required to go through cybersecurity review by the CAC unless any of our company, our subsidiaries, or the VIEs is deemed to be a critical information infrastructure operator or a network platform operator whose network product or service purchasing or data processing activities affect or may affect national security under the Cybersecurity Review Measures by any government authorities, and (iii) have not been denied by any PRC government authority for any requisite permissions or filing procedures, to the extent applicable with respect to our issuance or offerings of securities to foreign investors in the past. However, given that the implementation of the Cybersecurity Review Measures, the Overseas Offering and Listing Measures, and other applicable regulations may be subject to interpretation and further development, we cannot assure you as to whether or how they will affect our listing status and financing activities in the future. If we fail to go through the cybersecurity review by the CAC, complete the filing procedures with the CSRC, or fulfill other necessary procedures, if required, in a timely manner, or at all, for any future offering or any other activities that are subject to those regulatory requirements, our ability to raise and access capital will be impacted and our operations could be materially and adversely affected accordingly. For more detailed information, see “Item 3. Key Information—D. Risk Factors—Risks Relating to Doing Business in China—The approval of, filing with, and other administrative requirements of, the CSRC or other PRC government authorities may be required in connection with our future overseas offerings or future issuance of securities abroad under the PRC law, and, if required, we cannot predict whether or for how long we will be able to obtain such approval or complete such filing.” </w:t>
      </w:r>
    </w:p>
    <w:p>
      <w:pPr>
        <w:pStyle w:val="TextBody"/>
        <w:bidi w:val="0"/>
        <w:spacing w:before="240" w:after="0"/>
        <w:jc w:val="left"/>
        <w:rPr>
          <w:rFonts w:ascii="Times New Roman" w:hAnsi="Times New Roman"/>
          <w:sz w:val="20"/>
        </w:rPr>
      </w:pPr>
      <w:r>
        <w:rPr>
          <w:rFonts w:ascii="Times New Roman" w:hAnsi="Times New Roman"/>
          <w:sz w:val="20"/>
        </w:rPr>
        <w:t xml:space="preserve">If (i) any of our holding company, our PRC subsidiaries, or the consolidated variable interest entities fails to receive or maintain any requisite permissions or approvals or complete any requisite filing procedures, (ii) any of our holding company, our PRC subsidiaries, or the consolidated variable interest entities inadvertently concluded that certain permissions or approvals have been acquired or are not required, or that certain filing procedures have been completed or are not required to be completed, or (iii) applicable laws, regulations, or interpretations thereof change and any of our holding company, our PRC subsidiaries, or the consolidated variable interest entities becomes subject to the requirement of additional permissions, approvals, or filing procedures in the future, we cannot assure you that any of our holding company, our PRC subsidiaries, or the consolidated variable interest entities will be able to obtain such permissions or approvals or complete such filing procedures in a timely manner, or at all, and such permissions, approvals, or filings may be rescinded even if obtained or completed. Any such circumstance could subject us to penalties, including fines, suspension of business, and revocation of required licenses, which could materially and adversely affect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Cash and Asset Flows Through Our Organization </w:t>
      </w:r>
    </w:p>
    <w:p>
      <w:pPr>
        <w:pStyle w:val="TextBody"/>
        <w:bidi w:val="0"/>
        <w:spacing w:before="120" w:after="0"/>
        <w:jc w:val="left"/>
        <w:rPr>
          <w:rFonts w:ascii="Times New Roman" w:hAnsi="Times New Roman"/>
          <w:sz w:val="20"/>
        </w:rPr>
      </w:pPr>
      <w:r>
        <w:rPr>
          <w:rFonts w:ascii="Times New Roman" w:hAnsi="Times New Roman"/>
          <w:sz w:val="20"/>
        </w:rPr>
        <w:t xml:space="preserve">Vipshop Holdings Limited is a holding company with no operations of its own. Our operations are primarily conducted by our subsidiaries and the consolidated variable interest entities in China. As a result, although other means are available for us to obtain financing at the holding company level, Vipshop Holdings Limited’s ability to pay dividends to the shareholders and investors of the ADSs and to service any debt it may incur may depend upon dividends paid by our PRC subsidiaries and license and service fees paid by the consolidated variable interest entities. If any of our subsidiaries incurs debt on its own behalf in the future, the instruments governing such debt may restrict its ability to pay dividends to Vipshop Holdings Limited. In addition, our PRC subsidiaries are permitted to pay dividends to Vipshop Holdings Limited only out of their retained earnings, if any, as determined in accordance with PRC accounting standards and regulations. Furthermore, our PRC subsidiaries and the consolidated variable interest entities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Prospects—B. Liquidity and Capital Resources—Holding Company Structure.”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company has established a centralized cash management policy to direct how funds are transferred between Vipshop Holdings Limited, our subsidiaries, and the VIEs to improve the efficiency and ensure the security of cash management. We have established controls and procedures for cash flows within our organization. Under our cash management policy, cash is centrally managed by the treasury department of our company, and each transfer of cash between Vipshop Holdings Limited and a subsidiary or the VIE is subject to internal approval. The treasury department monitors the transfer of funds based on the rolling cash flow forecast of our company. The treasury department also prepares fund management reports regularly, analyzes funds usage and verifies and reports events that lead to major fluctuations in funds to our management team. We only allow authorized departments and personnel to have access to our funds, and we also segregate duties among personnel involved in funds management. Furthermore, all funds are transferred in accordance with the applicable PRC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As a Cayman Islands exempted company and offshore holding company, we are permitted under PRC laws and regulations to provide funding to our wholly foreign-owned subsidiaries in China only through loans or capital contributions, and to the consolidated variable interest entities or their subsidiaries only through loans, subject to the approval of government authorities and limits on the amount of capital contributions and loans. In addition, our wholly foreign-owned subsidiaries in China may provide RMB funding to their respective subsidiaries only through capital contributions and entrusted loans, and to the consolidated variable interest entities only through entrusted loans. See “Item 5. Operating and Financial Review—B. Liquidity and Capital Resources” and “Item 3. Key Information—D. Risk Factors—Risks Relating to Doing Business in China—PRC regulation of loans to and direct investments in PRC entities by offshore holding companies may delay or prevent us from using the proceeds of our debt and equity offerings to make loans or additional capital contributions to our PRC subsidiaries in China.” </w:t>
      </w:r>
    </w:p>
    <w:p>
      <w:pPr>
        <w:pStyle w:val="TextBody"/>
        <w:bidi w:val="0"/>
        <w:spacing w:before="240" w:after="0"/>
        <w:jc w:val="left"/>
        <w:rPr>
          <w:rFonts w:ascii="Times New Roman" w:hAnsi="Times New Roman"/>
          <w:sz w:val="20"/>
        </w:rPr>
      </w:pPr>
      <w:r>
        <w:rPr>
          <w:rFonts w:ascii="Times New Roman" w:hAnsi="Times New Roman"/>
          <w:sz w:val="20"/>
        </w:rPr>
        <w:t xml:space="preserve">Under PRC laws and regulations, our PRC subsidiaries and the consolidated variable interest entities and their subsidiaries are subject to certain restrictions with respect to payment of dividends or otherwise transfers of any of their net assets to us. Remittance of dividends by a wholly foreign-owned enterprise out of China is also subject to examination by the banks designated by the State Administration of Foreign Exchange, or SAFE. These restrictions are benchmarked against the paid-in capital and the statutory reserve funds of our PRC subsidiaries and the net assets of the consolidated variable interest entities in which we have no legal ownership. As of December 31, 2022, 2023 and 2024, the total amount of such restriction to which our PRC subsidiaries and the consolidated variable interest entities and their subsidiaries are subject was RMB12.65 billion, RMB15.31 billion and RMB16.20 billion (US$2.22 billion). Furthermore, cash transfers from our PRC subsidiaries and the consolidated variable interest entities and their subsidiaries to entities outside of China are subject to PRC governmental control on currency conversion. As a result, the funds in our PRC subsidiaries, the consolidated variable interest entities or their subsidiaries in China may not be available to fund operations or for other use outside of China due to interventions in, or the imposition of restrictions and limitations on, the ability of our holding company, our subsidiaries, or the consolidated variable interest entities or their subsidiaries by the PRC government on such currency conversion. For risks relating to the fund flows of our operations in China, see “Item 3. Key Information—D. Risk Factors—Risks Relating to Doing Business in China—We principally rely on dividends and other distributions on equity paid by our PRC subsidiaries and payments made by the VIEs to us in accordance with the contractual arrangements to fund our cash and financing requirements, and any limitation on the ability of our PRC subsidiaries and the VIEs to make payments to us could materially and adversely affect our ability to conduct our business” and “Item 3. Key Information—D. Risk Factors—Risks Relating to Doing Business in China—Government control of currency conversion may limit our ability to utilize our revenue effectively and affect the value of your investment.”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2023 and 2024, Vipshop Holdings Limited did not provide any capital contribution to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2023 and 2024, Vipshop Holdings Limited did not extend any intercompany loans to its subsidiaries, and the subsidiaries did not provide any repayment of intercompany loans to Vipshop Holdings Limited.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2023 and 2024, our subsidiaries did not extend any intercompany loans to Vipshop Holdings Limited. For the year ended December 31, 2022, 2023 and 2024, our subsidiaries did not extend any intercompany loans to the consolidated variable interest entities, and the consolidated variable interest entities did not provide any repayment of intercompany loans to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year ended December 31, 2022, 2023 and 2024, an aggregate amount of RMB2.02 billion, RMB1.26 billion and RMB1.88 billion was provided by the consolidated variable interest entities to our subsidiaries in the form of intercompany loans, respectively, and an aggregate amount of RMB2.01 billion, RMB3.26 billion and RMB1.89 billion was provided by our subsidiaries to the consolidated variable interest entities in the form of repayment of intercompany loans, respectively.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2023 and 2024, our subsidiaries did not make any payment to the consolidated variable interest entities for transfer of property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2023 and 2024, no assets other than cash were transferred between our Cayman Islands holding company and a subsidiary, a VIE, or its subsidiary, and no subsidiary or VIE paid dividends or made other distributions to its holding company, except for the dividend of RMB14.98 billion, nil and RMB10.00 billion paid by Vipshop (China) Co., Ltd., our PRC subsidiary, to its holding company in Hong Kong, Vipshop International Holdings Limited, in 2022, 2023 and 2024. These dividends are subject to 5% withholding tax. For the year ended December 31, 2024, Vipshop International Holdings Limited paid dividends of US$233.5 million (RMB1.68 billion) to Cayman Islands holding company.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about the services provided, cash flows, or transfer of other assets between our company, our subsidiaries, and the consolidated variable interest entities during the three years ended December 31, 2022, 2023 and 2024, see “Item 3. Key Information—Financial Information Relating to the Consolidated Variable Interest Entities” and Note 2(b) to our consolidated financial statements included elsewhere in this annual report on Form 20-F. </w:t>
      </w:r>
    </w:p>
    <w:p>
      <w:pPr>
        <w:pStyle w:val="TextBody"/>
        <w:bidi w:val="0"/>
        <w:spacing w:before="240" w:after="0"/>
        <w:jc w:val="left"/>
        <w:rPr>
          <w:rFonts w:ascii="Times New Roman" w:hAnsi="Times New Roman"/>
          <w:sz w:val="20"/>
        </w:rPr>
      </w:pPr>
      <w:r>
        <w:rPr>
          <w:rFonts w:ascii="Times New Roman" w:hAnsi="Times New Roman"/>
          <w:sz w:val="20"/>
        </w:rPr>
        <w:t xml:space="preserve">On February 22, 2024, we adopted an annual cash dividend policy. Under the annual cash dividend policy, we may choose to declare and distribute a cash dividend each year in accordance with our memorandum and articles of association and the applicable laws and regulations. Our board of directors has discretion as to whether to distribute dividends, subject to applicable laws. Even if our board of directors decides to declare dividends, the timing, amount, and form of future dividends, if any, will depend on, among other things, our future results of operations and cash flow, our capital requirements and surplus, the amount of distributions, if any, that we receive from our subsidiaries, our financial condition, contractual restrictions, and other factors deemed relevant by our board of directors. See “Item 8. Financial Information—A. Consolidated Statements and Other Financial Information—Dividend Policy.” For PRC and United States federal income tax considerations of an investment in our ADSs, see “Item 10. Additional Information—E. Taxation.”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28, 2024, we declared a cash dividend of US$2.15 per ordinary share, or US$0.43 per ADS, to holders of ordinary shares and holders of ADSs of record as of the close of business on March 15, 2024. The cash dividends were paid in April 2024 and the net cash dividends we paid amounted to US$233.3 million, excluding the cash dividends distributed to the bulk issuance of ADSs reserved for future issuances upon the exercise or vesting of awards granted under our stock incentive plans and our treasury ADSs. </w:t>
      </w:r>
    </w:p>
    <w:p>
      <w:pPr>
        <w:pStyle w:val="TextBody"/>
        <w:bidi w:val="0"/>
        <w:spacing w:before="240" w:after="0"/>
        <w:jc w:val="left"/>
        <w:rPr>
          <w:rFonts w:ascii="Times New Roman" w:hAnsi="Times New Roman"/>
          <w:sz w:val="20"/>
        </w:rPr>
      </w:pPr>
      <w:r>
        <w:rPr>
          <w:rFonts w:ascii="Times New Roman" w:hAnsi="Times New Roman"/>
          <w:sz w:val="20"/>
        </w:rPr>
        <w:t xml:space="preserve">On February 21, 2025, we declared a cash dividend of US$2.40 per ordinary share, or US$0.48 per ADS, to holders of ordinary shares and holders of ADSs of record as of the close of business on April 11, 2025. The cash dividends will be paid on April 25, 2025 and the net cash dividends is expected to be approximately US$247.7 million, excluding the cash dividends distributed to the bulk issuance of ADSs reserved for future issuances upon the exercise or vesting of awards granted under our stock incentive plans and our treasury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Financial Information Relating to the Consolidated Variable Interest Entities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tables present the condensed consolidating schedules for the consolidated variable interest entities and other entities for the years and as of the dates indicated.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Condensed Consolidating Statements of Income Information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02"/>
        <w:gridCol w:w="120"/>
        <w:gridCol w:w="60"/>
        <w:gridCol w:w="1340"/>
        <w:gridCol w:w="60"/>
        <w:gridCol w:w="120"/>
        <w:gridCol w:w="63"/>
        <w:gridCol w:w="1290"/>
        <w:gridCol w:w="60"/>
        <w:gridCol w:w="120"/>
        <w:gridCol w:w="100"/>
        <w:gridCol w:w="1645"/>
        <w:gridCol w:w="60"/>
        <w:gridCol w:w="120"/>
        <w:gridCol w:w="74"/>
        <w:gridCol w:w="1324"/>
        <w:gridCol w:w="155"/>
        <w:gridCol w:w="60"/>
        <w:gridCol w:w="63"/>
        <w:gridCol w:w="1292"/>
        <w:gridCol w:w="77"/>
      </w:tblGrid>
      <w:tr>
        <w:trPr/>
        <w:tc>
          <w:tcPr>
            <w:tcW w:w="20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6"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2024</w:t>
            </w:r>
          </w:p>
        </w:tc>
        <w:tc>
          <w:tcPr>
            <w:tcW w:w="77" w:type="dxa"/>
            <w:tcBorders/>
            <w:vAlign w:val="center"/>
          </w:tcPr>
          <w:p>
            <w:pPr>
              <w:pStyle w:val="TableContents"/>
              <w:bidi w:val="0"/>
              <w:spacing w:before="0" w:after="283"/>
              <w:jc w:val="left"/>
              <w:rPr/>
            </w:pPr>
            <w:r>
              <w:rPr/>
              <w:t> </w:t>
            </w:r>
          </w:p>
        </w:tc>
      </w:tr>
      <w:tr>
        <w:trPr/>
        <w:tc>
          <w:tcPr>
            <w:tcW w:w="200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Parent</w:t>
              <w:br/>
              <w:t>Company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Subsidiaries(1)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Variable Interest</w:t>
              <w:br/>
              <w:t>Entities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w:t>
            </w:r>
          </w:p>
        </w:tc>
        <w:tc>
          <w:tcPr>
            <w:tcW w:w="77" w:type="dxa"/>
            <w:tcBorders/>
            <w:vAlign w:val="center"/>
          </w:tcPr>
          <w:p>
            <w:pPr>
              <w:pStyle w:val="TableContents"/>
              <w:bidi w:val="0"/>
              <w:spacing w:before="0" w:after="283"/>
              <w:jc w:val="left"/>
              <w:rPr/>
            </w:pPr>
            <w:r>
              <w:rPr/>
              <w:t> </w:t>
            </w:r>
          </w:p>
        </w:tc>
      </w:tr>
      <w:tr>
        <w:trPr/>
        <w:tc>
          <w:tcPr>
            <w:tcW w:w="200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6" w:type="dxa"/>
            <w:gridSpan w:val="18"/>
            <w:tcBorders/>
            <w:vAlign w:val="center"/>
          </w:tcPr>
          <w:p>
            <w:pPr>
              <w:pStyle w:val="TableContents"/>
              <w:bidi w:val="0"/>
              <w:spacing w:before="0" w:after="283"/>
              <w:jc w:val="center"/>
              <w:rPr>
                <w:b/>
              </w:rPr>
            </w:pPr>
            <w:r>
              <w:rPr>
                <w:b/>
              </w:rPr>
              <w:t>(RMB in thousands)</w:t>
            </w:r>
          </w:p>
        </w:tc>
        <w:tc>
          <w:tcPr>
            <w:tcW w:w="77" w:type="dxa"/>
            <w:tcBorders/>
            <w:vAlign w:val="center"/>
          </w:tcPr>
          <w:p>
            <w:pPr>
              <w:pStyle w:val="TableContents"/>
              <w:bidi w:val="0"/>
              <w:spacing w:before="0" w:after="283"/>
              <w:jc w:val="left"/>
              <w:rPr/>
            </w:pPr>
            <w:r>
              <w:rPr/>
              <w:t> </w:t>
            </w:r>
          </w:p>
        </w:tc>
      </w:tr>
      <w:tr>
        <w:trPr/>
        <w:tc>
          <w:tcPr>
            <w:tcW w:w="20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108,334,798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1,192,547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(1,106,513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108,420,832</w:t>
            </w:r>
          </w:p>
        </w:tc>
        <w:tc>
          <w:tcPr>
            <w:tcW w:w="77" w:type="dxa"/>
            <w:tcBorders/>
            <w:shd w:fill="CCEEFF" w:val="clear"/>
            <w:vAlign w:val="center"/>
          </w:tcPr>
          <w:p>
            <w:pPr>
              <w:pStyle w:val="TableContents"/>
              <w:bidi w:val="0"/>
              <w:spacing w:before="0" w:after="283"/>
              <w:jc w:val="left"/>
              <w:rPr/>
            </w:pPr>
            <w:r>
              <w:rPr/>
              <w:t> </w:t>
            </w:r>
          </w:p>
        </w:tc>
      </w:tr>
      <w:tr>
        <w:trPr/>
        <w:tc>
          <w:tcPr>
            <w:tcW w:w="20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of gain from subsidiaries and consolidated variable interest entities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r>
              <w:rPr/>
              <w:t>7,757,671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(7,757,671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7,739,935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7,767,442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89,239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(7,757,671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7,838,945</w:t>
            </w:r>
          </w:p>
        </w:tc>
        <w:tc>
          <w:tcPr>
            <w:tcW w:w="77" w:type="dxa"/>
            <w:tcBorders/>
            <w:shd w:fill="CCEEFF" w:val="clear"/>
            <w:vAlign w:val="center"/>
          </w:tcPr>
          <w:p>
            <w:pPr>
              <w:pStyle w:val="TableContents"/>
              <w:bidi w:val="0"/>
              <w:spacing w:before="0" w:after="283"/>
              <w:jc w:val="left"/>
              <w:rPr/>
            </w:pPr>
            <w:r>
              <w:rPr/>
              <w:t> </w:t>
            </w:r>
          </w:p>
        </w:tc>
      </w:tr>
      <w:tr>
        <w:trPr/>
        <w:tc>
          <w:tcPr>
            <w:tcW w:w="20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7,628,130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7,767,442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89,239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(7,757,671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7,727,140</w:t>
            </w:r>
          </w:p>
        </w:tc>
        <w:tc>
          <w:tcPr>
            <w:tcW w:w="77" w:type="dxa"/>
            <w:tcBorders/>
            <w:vAlign w:val="center"/>
          </w:tcPr>
          <w:p>
            <w:pPr>
              <w:pStyle w:val="TableContents"/>
              <w:bidi w:val="0"/>
              <w:spacing w:before="0" w:after="283"/>
              <w:jc w:val="left"/>
              <w:rPr/>
            </w:pPr>
            <w:r>
              <w:rPr/>
              <w:t> </w:t>
            </w:r>
          </w:p>
        </w:tc>
      </w:tr>
      <w:tr>
        <w:trPr/>
        <w:tc>
          <w:tcPr>
            <w:tcW w:w="2002" w:type="dxa"/>
            <w:tcBorders/>
            <w:vAlign w:val="center"/>
          </w:tcPr>
          <w:p>
            <w:pPr>
              <w:pStyle w:val="TableContents"/>
              <w:bidi w:val="0"/>
              <w:spacing w:before="0" w:after="283"/>
              <w:jc w:val="left"/>
              <w:rPr>
                <w:sz w:val="4"/>
                <w:szCs w:val="4"/>
              </w:rPr>
            </w:pPr>
            <w:r>
              <w:rPr>
                <w:sz w:val="4"/>
                <w:szCs w:val="4"/>
              </w:rPr>
            </w:r>
          </w:p>
        </w:tc>
        <w:tc>
          <w:tcPr>
            <w:tcW w:w="8203" w:type="dxa"/>
            <w:gridSpan w:val="20"/>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6"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2023</w:t>
            </w:r>
          </w:p>
        </w:tc>
        <w:tc>
          <w:tcPr>
            <w:tcW w:w="77" w:type="dxa"/>
            <w:tcBorders/>
            <w:vAlign w:val="center"/>
          </w:tcPr>
          <w:p>
            <w:pPr>
              <w:pStyle w:val="TableContents"/>
              <w:bidi w:val="0"/>
              <w:spacing w:before="0" w:after="283"/>
              <w:jc w:val="left"/>
              <w:rPr/>
            </w:pPr>
            <w:r>
              <w:rPr/>
              <w:t> </w:t>
            </w:r>
          </w:p>
        </w:tc>
      </w:tr>
      <w:tr>
        <w:trPr/>
        <w:tc>
          <w:tcPr>
            <w:tcW w:w="200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Parent</w:t>
              <w:br/>
              <w:t>Company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Subsidiaries(1)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Variable Interest</w:t>
              <w:br/>
              <w:t>Entities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w:t>
            </w:r>
          </w:p>
        </w:tc>
        <w:tc>
          <w:tcPr>
            <w:tcW w:w="77" w:type="dxa"/>
            <w:tcBorders/>
            <w:vAlign w:val="center"/>
          </w:tcPr>
          <w:p>
            <w:pPr>
              <w:pStyle w:val="TableContents"/>
              <w:bidi w:val="0"/>
              <w:spacing w:before="0" w:after="283"/>
              <w:jc w:val="left"/>
              <w:rPr/>
            </w:pPr>
            <w:r>
              <w:rPr/>
              <w:t> </w:t>
            </w:r>
          </w:p>
        </w:tc>
      </w:tr>
      <w:tr>
        <w:trPr/>
        <w:tc>
          <w:tcPr>
            <w:tcW w:w="200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6" w:type="dxa"/>
            <w:gridSpan w:val="18"/>
            <w:tcBorders/>
            <w:vAlign w:val="center"/>
          </w:tcPr>
          <w:p>
            <w:pPr>
              <w:pStyle w:val="TableContents"/>
              <w:bidi w:val="0"/>
              <w:spacing w:before="0" w:after="283"/>
              <w:jc w:val="center"/>
              <w:rPr>
                <w:b/>
              </w:rPr>
            </w:pPr>
            <w:r>
              <w:rPr>
                <w:b/>
              </w:rPr>
              <w:t>(RMB in thousands)</w:t>
            </w:r>
          </w:p>
        </w:tc>
        <w:tc>
          <w:tcPr>
            <w:tcW w:w="77" w:type="dxa"/>
            <w:tcBorders/>
            <w:vAlign w:val="center"/>
          </w:tcPr>
          <w:p>
            <w:pPr>
              <w:pStyle w:val="TableContents"/>
              <w:bidi w:val="0"/>
              <w:spacing w:before="0" w:after="283"/>
              <w:jc w:val="left"/>
              <w:rPr/>
            </w:pPr>
            <w:r>
              <w:rPr/>
              <w:t> </w:t>
            </w:r>
          </w:p>
        </w:tc>
      </w:tr>
      <w:tr>
        <w:trPr/>
        <w:tc>
          <w:tcPr>
            <w:tcW w:w="20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112,556,789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1,374,993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(1,075,762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112,856,020</w:t>
            </w:r>
          </w:p>
        </w:tc>
        <w:tc>
          <w:tcPr>
            <w:tcW w:w="77" w:type="dxa"/>
            <w:tcBorders/>
            <w:shd w:fill="CCEEFF" w:val="clear"/>
            <w:vAlign w:val="center"/>
          </w:tcPr>
          <w:p>
            <w:pPr>
              <w:pStyle w:val="TableContents"/>
              <w:bidi w:val="0"/>
              <w:spacing w:before="0" w:after="283"/>
              <w:jc w:val="left"/>
              <w:rPr/>
            </w:pPr>
            <w:r>
              <w:rPr/>
              <w:t> </w:t>
            </w:r>
          </w:p>
        </w:tc>
      </w:tr>
      <w:tr>
        <w:trPr/>
        <w:tc>
          <w:tcPr>
            <w:tcW w:w="20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of gain from subsidiaries and consolidated variable interest entities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8,090,266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(8,090,266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8,116,624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7,808,213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366,728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(8,090,266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8,201,299</w:t>
            </w:r>
          </w:p>
        </w:tc>
        <w:tc>
          <w:tcPr>
            <w:tcW w:w="77" w:type="dxa"/>
            <w:tcBorders/>
            <w:shd w:fill="CCEEFF" w:val="clear"/>
            <w:vAlign w:val="center"/>
          </w:tcPr>
          <w:p>
            <w:pPr>
              <w:pStyle w:val="TableContents"/>
              <w:bidi w:val="0"/>
              <w:spacing w:before="0" w:after="283"/>
              <w:jc w:val="left"/>
              <w:rPr/>
            </w:pPr>
            <w:r>
              <w:rPr/>
              <w:t> </w:t>
            </w:r>
          </w:p>
        </w:tc>
      </w:tr>
      <w:tr>
        <w:trPr/>
        <w:tc>
          <w:tcPr>
            <w:tcW w:w="20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8,128,663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7,808,213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366,728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(8,090,266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8,213,338</w:t>
            </w:r>
          </w:p>
        </w:tc>
        <w:tc>
          <w:tcPr>
            <w:tcW w:w="77" w:type="dxa"/>
            <w:tcBorders/>
            <w:vAlign w:val="center"/>
          </w:tcPr>
          <w:p>
            <w:pPr>
              <w:pStyle w:val="TableContents"/>
              <w:bidi w:val="0"/>
              <w:spacing w:before="0" w:after="283"/>
              <w:jc w:val="left"/>
              <w:rPr/>
            </w:pPr>
            <w:r>
              <w:rPr/>
              <w:t> </w:t>
            </w:r>
          </w:p>
        </w:tc>
      </w:tr>
      <w:tr>
        <w:trPr/>
        <w:tc>
          <w:tcPr>
            <w:tcW w:w="2002" w:type="dxa"/>
            <w:tcBorders/>
            <w:vAlign w:val="center"/>
          </w:tcPr>
          <w:p>
            <w:pPr>
              <w:pStyle w:val="TableContents"/>
              <w:bidi w:val="0"/>
              <w:spacing w:before="0" w:after="283"/>
              <w:jc w:val="left"/>
              <w:rPr>
                <w:sz w:val="4"/>
                <w:szCs w:val="4"/>
              </w:rPr>
            </w:pPr>
            <w:r>
              <w:rPr>
                <w:sz w:val="4"/>
                <w:szCs w:val="4"/>
              </w:rPr>
            </w:r>
          </w:p>
        </w:tc>
        <w:tc>
          <w:tcPr>
            <w:tcW w:w="8203" w:type="dxa"/>
            <w:gridSpan w:val="20"/>
            <w:tcBorders/>
            <w:vAlign w:val="center"/>
          </w:tcPr>
          <w:p>
            <w:pPr>
              <w:pStyle w:val="TableContents"/>
              <w:bidi w:val="0"/>
              <w:spacing w:before="0" w:after="283"/>
              <w:jc w:val="left"/>
              <w:rPr>
                <w:sz w:val="4"/>
                <w:szCs w:val="4"/>
              </w:rPr>
            </w:pPr>
            <w:r>
              <w:rPr>
                <w:sz w:val="4"/>
                <w:szCs w:val="4"/>
              </w:rPr>
            </w:r>
          </w:p>
        </w:tc>
      </w:tr>
      <w:tr>
        <w:trPr/>
        <w:tc>
          <w:tcPr>
            <w:tcW w:w="200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6"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2022</w:t>
            </w:r>
          </w:p>
        </w:tc>
        <w:tc>
          <w:tcPr>
            <w:tcW w:w="77" w:type="dxa"/>
            <w:tcBorders/>
            <w:vAlign w:val="center"/>
          </w:tcPr>
          <w:p>
            <w:pPr>
              <w:pStyle w:val="TableContents"/>
              <w:bidi w:val="0"/>
              <w:spacing w:before="0" w:after="283"/>
              <w:jc w:val="left"/>
              <w:rPr/>
            </w:pPr>
            <w:r>
              <w:rPr/>
              <w:t> </w:t>
            </w:r>
          </w:p>
        </w:tc>
      </w:tr>
      <w:tr>
        <w:trPr/>
        <w:tc>
          <w:tcPr>
            <w:tcW w:w="200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Parent</w:t>
              <w:br/>
              <w:t>Company</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Subsidiaries(1)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Variable Interest</w:t>
              <w:br/>
              <w:t>Entities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w:t>
            </w:r>
          </w:p>
        </w:tc>
        <w:tc>
          <w:tcPr>
            <w:tcW w:w="77" w:type="dxa"/>
            <w:tcBorders/>
            <w:vAlign w:val="center"/>
          </w:tcPr>
          <w:p>
            <w:pPr>
              <w:pStyle w:val="TableContents"/>
              <w:bidi w:val="0"/>
              <w:spacing w:before="0" w:after="283"/>
              <w:jc w:val="left"/>
              <w:rPr/>
            </w:pPr>
            <w:r>
              <w:rPr/>
              <w:t> </w:t>
            </w:r>
          </w:p>
        </w:tc>
      </w:tr>
      <w:tr>
        <w:trPr/>
        <w:tc>
          <w:tcPr>
            <w:tcW w:w="200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6" w:type="dxa"/>
            <w:gridSpan w:val="18"/>
            <w:tcBorders/>
            <w:vAlign w:val="center"/>
          </w:tcPr>
          <w:p>
            <w:pPr>
              <w:pStyle w:val="TableContents"/>
              <w:bidi w:val="0"/>
              <w:spacing w:before="0" w:after="283"/>
              <w:jc w:val="center"/>
              <w:rPr>
                <w:b/>
              </w:rPr>
            </w:pPr>
            <w:r>
              <w:rPr>
                <w:b/>
              </w:rPr>
              <w:t>(RMB in thousands)</w:t>
            </w:r>
          </w:p>
        </w:tc>
        <w:tc>
          <w:tcPr>
            <w:tcW w:w="77" w:type="dxa"/>
            <w:tcBorders/>
            <w:vAlign w:val="center"/>
          </w:tcPr>
          <w:p>
            <w:pPr>
              <w:pStyle w:val="TableContents"/>
              <w:bidi w:val="0"/>
              <w:spacing w:before="0" w:after="283"/>
              <w:jc w:val="left"/>
              <w:rPr/>
            </w:pPr>
            <w:r>
              <w:rPr/>
              <w:t> </w:t>
            </w:r>
          </w:p>
        </w:tc>
      </w:tr>
      <w:tr>
        <w:trPr/>
        <w:tc>
          <w:tcPr>
            <w:tcW w:w="20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102,541,330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1,933,233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(1,322,074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103,152,489</w:t>
            </w:r>
          </w:p>
        </w:tc>
        <w:tc>
          <w:tcPr>
            <w:tcW w:w="77" w:type="dxa"/>
            <w:tcBorders/>
            <w:shd w:fill="CCEEFF" w:val="clear"/>
            <w:vAlign w:val="center"/>
          </w:tcPr>
          <w:p>
            <w:pPr>
              <w:pStyle w:val="TableContents"/>
              <w:bidi w:val="0"/>
              <w:spacing w:before="0" w:after="283"/>
              <w:jc w:val="left"/>
              <w:rPr/>
            </w:pPr>
            <w:r>
              <w:rPr/>
              <w:t> </w:t>
            </w:r>
          </w:p>
        </w:tc>
      </w:tr>
      <w:tr>
        <w:trPr/>
        <w:tc>
          <w:tcPr>
            <w:tcW w:w="20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of gain from subsidiaries and consolidated variable interest entities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6,317,707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(6,317,707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00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6,298,816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0" w:type="dxa"/>
            <w:tcBorders/>
            <w:shd w:fill="CCEEFF" w:val="clear"/>
            <w:vAlign w:val="center"/>
          </w:tcPr>
          <w:p>
            <w:pPr>
              <w:pStyle w:val="TableContents"/>
              <w:bidi w:val="0"/>
              <w:spacing w:before="0" w:after="283"/>
              <w:jc w:val="right"/>
              <w:rPr/>
            </w:pPr>
            <w:r>
              <w:rPr/>
              <w:t>6,270,670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60,056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324" w:type="dxa"/>
            <w:tcBorders/>
            <w:shd w:fill="CCEEFF" w:val="clear"/>
            <w:vAlign w:val="center"/>
          </w:tcPr>
          <w:p>
            <w:pPr>
              <w:pStyle w:val="TableContents"/>
              <w:bidi w:val="0"/>
              <w:spacing w:before="0" w:after="283"/>
              <w:jc w:val="right"/>
              <w:rPr/>
            </w:pPr>
            <w:r>
              <w:rPr/>
              <w:t>(6,317,707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6,311,835</w:t>
            </w:r>
          </w:p>
        </w:tc>
        <w:tc>
          <w:tcPr>
            <w:tcW w:w="77" w:type="dxa"/>
            <w:tcBorders/>
            <w:shd w:fill="CCEEFF" w:val="clear"/>
            <w:vAlign w:val="center"/>
          </w:tcPr>
          <w:p>
            <w:pPr>
              <w:pStyle w:val="TableContents"/>
              <w:bidi w:val="0"/>
              <w:spacing w:before="0" w:after="283"/>
              <w:jc w:val="left"/>
              <w:rPr/>
            </w:pPr>
            <w:r>
              <w:rPr/>
              <w:t> </w:t>
            </w:r>
          </w:p>
        </w:tc>
      </w:tr>
      <w:tr>
        <w:trPr/>
        <w:tc>
          <w:tcPr>
            <w:tcW w:w="20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5,679,787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6,270,670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60,056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(6,317,707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5,692,806</w:t>
            </w:r>
          </w:p>
        </w:tc>
        <w:tc>
          <w:tcPr>
            <w:tcW w:w="77"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year ended December 31, 2022, 2023 and 2024, net revenue contributed by Vipshop China, Chongqing Pinwei E-commerce Co., Ltd, or Chongqing Pinwei, and their subsidiaries accounted for 90%, 90% and 90% of the total net revenue, respectively. For the year ended December 31, 2022, 2023 and 2024, net income contributed by Vipshop China, Chongqing Pinwei and their subsidiaries accounted for 96%, 97% and 98% of the total net income,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elimination mainly represents the intercompany service fee for technology services provide by our subsidiaries to the consolidated variable interest entities and services rendered relating to marketing activities provide by the consolidated variable interest entities to our subsidiaries.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Condensed Consolidating Balance Sheets Information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69"/>
        <w:gridCol w:w="120"/>
        <w:gridCol w:w="60"/>
        <w:gridCol w:w="1175"/>
        <w:gridCol w:w="155"/>
        <w:gridCol w:w="60"/>
        <w:gridCol w:w="63"/>
        <w:gridCol w:w="1299"/>
        <w:gridCol w:w="155"/>
        <w:gridCol w:w="60"/>
        <w:gridCol w:w="84"/>
        <w:gridCol w:w="1541"/>
        <w:gridCol w:w="155"/>
        <w:gridCol w:w="60"/>
        <w:gridCol w:w="67"/>
        <w:gridCol w:w="1340"/>
        <w:gridCol w:w="155"/>
        <w:gridCol w:w="60"/>
        <w:gridCol w:w="63"/>
        <w:gridCol w:w="1292"/>
        <w:gridCol w:w="172"/>
      </w:tblGrid>
      <w:tr>
        <w:trPr/>
        <w:tc>
          <w:tcPr>
            <w:tcW w:w="20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06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44"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As of December 31, 2024</w:t>
            </w:r>
          </w:p>
        </w:tc>
        <w:tc>
          <w:tcPr>
            <w:tcW w:w="172"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Parent</w:t>
              <w:br/>
              <w:t>Company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Subsidiaries(1)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Variable</w:t>
              <w:br/>
              <w:t>Interest 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w:t>
            </w:r>
          </w:p>
        </w:tc>
        <w:tc>
          <w:tcPr>
            <w:tcW w:w="172"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44" w:type="dxa"/>
            <w:gridSpan w:val="18"/>
            <w:tcBorders/>
            <w:vAlign w:val="center"/>
          </w:tcPr>
          <w:p>
            <w:pPr>
              <w:pStyle w:val="TableContents"/>
              <w:bidi w:val="0"/>
              <w:spacing w:before="0" w:after="283"/>
              <w:jc w:val="center"/>
              <w:rPr>
                <w:b/>
              </w:rPr>
            </w:pPr>
            <w:r>
              <w:rPr>
                <w:b/>
              </w:rPr>
              <w:t>(RMB in thousands)</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r>
              <w:rPr/>
              <w:t>411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r>
              <w:rPr/>
              <w:t>22,998,282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r>
              <w:rPr/>
              <w:t>3,353,468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 </w:t>
            </w:r>
            <w:r>
              <w:rPr/>
              <w:t>26,352,161</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32,900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569,442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602,342</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1,872,756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1,872,756</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545,421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2,724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548,145</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 and other receivables and prepayments,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2,747,428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637,357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3,388,208</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 due from group companies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908,747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14,335,254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(15,244,001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Loan receivables,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6,878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6,878</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5,031,867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202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5,032,069</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18,245,764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47,007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18,292,771</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Deposits for property and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164,849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106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164,955</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10,686,400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10,686,400</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327,836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327,844</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Investments in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1,111,998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890,045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2,002,043</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2,695,838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659,651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3,355,489</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 in subsidiaries and the consolidated variable interest entities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52,490,094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(52,490,094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434,206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434,206</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741,922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13,291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755,213</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678,465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2,564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681,029</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Right-of-use assets,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432,497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1,120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433,617</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single" w:sz="2" w:space="1" w:color="000000"/>
              </w:pBdr>
              <w:bidi w:val="0"/>
              <w:spacing w:before="0" w:after="0"/>
              <w:jc w:val="left"/>
              <w:rPr/>
            </w:pPr>
            <w:r>
              <w:rPr/>
              <w:t> </w:t>
            </w:r>
          </w:p>
        </w:tc>
        <w:tc>
          <w:tcPr>
            <w:tcW w:w="154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13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53,402,675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82,762,733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6,504,813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(67,734,095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74,936,126</w:t>
            </w:r>
          </w:p>
        </w:tc>
        <w:tc>
          <w:tcPr>
            <w:tcW w:w="172"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single" w:sz="2" w:space="1" w:color="000000"/>
              </w:pBdr>
              <w:bidi w:val="0"/>
              <w:spacing w:before="0" w:after="0"/>
              <w:jc w:val="left"/>
              <w:rPr/>
            </w:pPr>
            <w:r>
              <w:rPr/>
              <w:t> </w:t>
            </w:r>
          </w:p>
        </w:tc>
        <w:tc>
          <w:tcPr>
            <w:tcW w:w="154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13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 due to group companies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(13,433,091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(908,747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(902,163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15,244,001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(32,484,870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(901,256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(33,386,897</w:t>
            </w:r>
          </w:p>
        </w:tc>
        <w:tc>
          <w:tcPr>
            <w:tcW w:w="172"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single" w:sz="2" w:space="1" w:color="000000"/>
              </w:pBdr>
              <w:bidi w:val="0"/>
              <w:spacing w:before="0" w:after="0"/>
              <w:jc w:val="left"/>
              <w:rPr/>
            </w:pPr>
            <w:r>
              <w:rPr/>
              <w:t> </w:t>
            </w:r>
          </w:p>
        </w:tc>
        <w:tc>
          <w:tcPr>
            <w:tcW w:w="154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13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(13,433,862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(33,393,617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(1,803,419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15,244,001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(33,386,897</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single" w:sz="2" w:space="1" w:color="000000"/>
              </w:pBdr>
              <w:bidi w:val="0"/>
              <w:spacing w:before="0" w:after="0"/>
              <w:jc w:val="left"/>
              <w:rPr/>
            </w:pPr>
            <w:r>
              <w:rPr/>
              <w:t> </w:t>
            </w:r>
          </w:p>
        </w:tc>
        <w:tc>
          <w:tcPr>
            <w:tcW w:w="154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13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(39,968,813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(49,369,116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(4,701,394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52,490,094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(41,549,229</w:t>
            </w:r>
          </w:p>
        </w:tc>
        <w:tc>
          <w:tcPr>
            <w:tcW w:w="172"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double" w:sz="6" w:space="1" w:color="000000"/>
              </w:pBdr>
              <w:bidi w:val="0"/>
              <w:spacing w:before="0" w:after="0"/>
              <w:jc w:val="left"/>
              <w:rPr/>
            </w:pPr>
            <w:r>
              <w:rPr/>
              <w:t> </w:t>
            </w:r>
          </w:p>
        </w:tc>
        <w:tc>
          <w:tcPr>
            <w:tcW w:w="129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double" w:sz="6" w:space="1" w:color="000000"/>
              </w:pBdr>
              <w:bidi w:val="0"/>
              <w:spacing w:before="0" w:after="0"/>
              <w:jc w:val="left"/>
              <w:rPr/>
            </w:pPr>
            <w:r>
              <w:rPr/>
              <w:t> </w:t>
            </w:r>
          </w:p>
        </w:tc>
        <w:tc>
          <w:tcPr>
            <w:tcW w:w="154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double" w:sz="6" w:space="1" w:color="000000"/>
              </w:pBdr>
              <w:bidi w:val="0"/>
              <w:spacing w:before="0" w:after="0"/>
              <w:jc w:val="left"/>
              <w:rPr/>
            </w:pPr>
            <w:r>
              <w:rPr/>
              <w:t> </w:t>
            </w:r>
          </w:p>
        </w:tc>
        <w:tc>
          <w:tcPr>
            <w:tcW w:w="134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double" w:sz="6" w:space="1" w:color="000000"/>
              </w:pBdr>
              <w:bidi w:val="0"/>
              <w:spacing w:before="0" w:after="0"/>
              <w:jc w:val="left"/>
              <w:rPr/>
            </w:pPr>
            <w:r>
              <w:rPr/>
              <w:t> </w:t>
            </w:r>
          </w:p>
        </w:tc>
        <w:tc>
          <w:tcPr>
            <w:tcW w:w="1292" w:type="dxa"/>
            <w:tcBorders/>
            <w:vAlign w:val="center"/>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069"/>
        <w:gridCol w:w="120"/>
        <w:gridCol w:w="60"/>
        <w:gridCol w:w="1175"/>
        <w:gridCol w:w="155"/>
        <w:gridCol w:w="60"/>
        <w:gridCol w:w="63"/>
        <w:gridCol w:w="1299"/>
        <w:gridCol w:w="155"/>
        <w:gridCol w:w="60"/>
        <w:gridCol w:w="84"/>
        <w:gridCol w:w="1541"/>
        <w:gridCol w:w="155"/>
        <w:gridCol w:w="60"/>
        <w:gridCol w:w="67"/>
        <w:gridCol w:w="1340"/>
        <w:gridCol w:w="155"/>
        <w:gridCol w:w="60"/>
        <w:gridCol w:w="63"/>
        <w:gridCol w:w="1292"/>
        <w:gridCol w:w="172"/>
      </w:tblGrid>
      <w:tr>
        <w:trPr/>
        <w:tc>
          <w:tcPr>
            <w:tcW w:w="20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069" w:type="dxa"/>
            <w:tcBorders/>
            <w:vAlign w:val="center"/>
          </w:tcPr>
          <w:p>
            <w:pPr>
              <w:pStyle w:val="TableContents"/>
              <w:bidi w:val="0"/>
              <w:spacing w:before="0" w:after="283"/>
              <w:jc w:val="left"/>
              <w:rPr>
                <w:sz w:val="4"/>
                <w:szCs w:val="4"/>
              </w:rPr>
            </w:pPr>
            <w:r>
              <w:rPr>
                <w:sz w:val="4"/>
                <w:szCs w:val="4"/>
              </w:rPr>
            </w:r>
          </w:p>
        </w:tc>
        <w:tc>
          <w:tcPr>
            <w:tcW w:w="8136" w:type="dxa"/>
            <w:gridSpan w:val="20"/>
            <w:tcBorders/>
            <w:vAlign w:val="center"/>
          </w:tcPr>
          <w:p>
            <w:pPr>
              <w:pStyle w:val="TableContents"/>
              <w:bidi w:val="0"/>
              <w:spacing w:before="0" w:after="283"/>
              <w:jc w:val="left"/>
              <w:rPr>
                <w:sz w:val="4"/>
                <w:szCs w:val="4"/>
              </w:rPr>
            </w:pPr>
            <w:r>
              <w:rPr>
                <w:sz w:val="4"/>
                <w:szCs w:val="4"/>
              </w:rPr>
            </w:r>
          </w:p>
        </w:tc>
      </w:tr>
      <w:tr>
        <w:trPr/>
        <w:tc>
          <w:tcPr>
            <w:tcW w:w="206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44"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As of December 31, 2023</w:t>
            </w:r>
          </w:p>
        </w:tc>
        <w:tc>
          <w:tcPr>
            <w:tcW w:w="172"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Parent</w:t>
              <w:br/>
              <w:t>Company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Subsidiaries(1)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Variable</w:t>
              <w:br/>
              <w:t>Interest 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w:t>
            </w:r>
          </w:p>
        </w:tc>
        <w:tc>
          <w:tcPr>
            <w:tcW w:w="172"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44" w:type="dxa"/>
            <w:gridSpan w:val="18"/>
            <w:tcBorders/>
            <w:vAlign w:val="center"/>
          </w:tcPr>
          <w:p>
            <w:pPr>
              <w:pStyle w:val="TableContents"/>
              <w:bidi w:val="0"/>
              <w:spacing w:before="0" w:after="283"/>
              <w:jc w:val="center"/>
              <w:rPr>
                <w:b/>
              </w:rPr>
            </w:pPr>
            <w:r>
              <w:rPr>
                <w:b/>
              </w:rPr>
              <w:t>(RMB in thousands)</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r>
              <w:rPr/>
              <w:t>904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r>
              <w:rPr/>
              <w:t>21,558,952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r>
              <w:rPr/>
              <w:t>3,854,873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 </w:t>
            </w:r>
            <w:r>
              <w:rPr/>
              <w:t>25,414,729</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32,553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850,084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882,637</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1,983,201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1,983,201</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552,194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1,308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553,502</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 and other receivables and prepayments,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2,339,022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734,983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3,077,379</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 due from group companies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384,016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10,101,232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8,700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(10,493,948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Loan receivables,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4,437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4,437</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5,629,443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15,270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5,644,713</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16,833,930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48,170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16,882,100</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Deposits for property and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200,339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400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200,739</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10,132,626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10,132,626</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332,808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332,821</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Investments in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1,078,731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1,076,830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2,155,561</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2,409,996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506,193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2,916,189</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 in subsidiaries and the consolidated variable interest entities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45,235,847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(45,235,847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147,669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147,669</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741,922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13,291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755,213</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684,738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279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685,017</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Right-of-use assets,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545,965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8,096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554,061</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single" w:sz="2" w:space="1" w:color="000000"/>
              </w:pBdr>
              <w:bidi w:val="0"/>
              <w:spacing w:before="0" w:after="0"/>
              <w:jc w:val="left"/>
              <w:rPr/>
            </w:pPr>
            <w:r>
              <w:rPr/>
              <w:t> </w:t>
            </w:r>
          </w:p>
        </w:tc>
        <w:tc>
          <w:tcPr>
            <w:tcW w:w="154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13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45,624,141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74,976,963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7,451,285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(55,729,795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72,322,594</w:t>
            </w:r>
          </w:p>
        </w:tc>
        <w:tc>
          <w:tcPr>
            <w:tcW w:w="172"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single" w:sz="2" w:space="1" w:color="000000"/>
              </w:pBdr>
              <w:bidi w:val="0"/>
              <w:spacing w:before="0" w:after="0"/>
              <w:jc w:val="left"/>
              <w:rPr/>
            </w:pPr>
            <w:r>
              <w:rPr/>
              <w:t> </w:t>
            </w:r>
          </w:p>
        </w:tc>
        <w:tc>
          <w:tcPr>
            <w:tcW w:w="154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13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 due to group companies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(8,661,621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(392,716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(1,439,611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10,493,948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(32,699,564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(1,062,156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(33,762,836</w:t>
            </w:r>
          </w:p>
        </w:tc>
        <w:tc>
          <w:tcPr>
            <w:tcW w:w="172"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single" w:sz="2" w:space="1" w:color="000000"/>
              </w:pBdr>
              <w:bidi w:val="0"/>
              <w:spacing w:before="0" w:after="0"/>
              <w:jc w:val="left"/>
              <w:rPr/>
            </w:pPr>
            <w:r>
              <w:rPr/>
              <w:t> </w:t>
            </w:r>
          </w:p>
        </w:tc>
        <w:tc>
          <w:tcPr>
            <w:tcW w:w="154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13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206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(8,662,737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9" w:type="dxa"/>
            <w:tcBorders/>
            <w:shd w:fill="CCEEFF" w:val="clear"/>
            <w:vAlign w:val="center"/>
          </w:tcPr>
          <w:p>
            <w:pPr>
              <w:pStyle w:val="TableContents"/>
              <w:bidi w:val="0"/>
              <w:spacing w:before="0" w:after="283"/>
              <w:jc w:val="right"/>
              <w:rPr/>
            </w:pPr>
            <w:r>
              <w:rPr/>
              <w:t>(33,092,280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541" w:type="dxa"/>
            <w:tcBorders/>
            <w:shd w:fill="CCEEFF" w:val="clear"/>
            <w:vAlign w:val="center"/>
          </w:tcPr>
          <w:p>
            <w:pPr>
              <w:pStyle w:val="TableContents"/>
              <w:bidi w:val="0"/>
              <w:spacing w:before="0" w:after="283"/>
              <w:jc w:val="right"/>
              <w:rPr/>
            </w:pPr>
            <w:r>
              <w:rPr/>
              <w:t>(2,501,767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40" w:type="dxa"/>
            <w:tcBorders/>
            <w:shd w:fill="CCEEFF" w:val="clear"/>
            <w:vAlign w:val="center"/>
          </w:tcPr>
          <w:p>
            <w:pPr>
              <w:pStyle w:val="TableContents"/>
              <w:bidi w:val="0"/>
              <w:spacing w:before="0" w:after="283"/>
              <w:jc w:val="right"/>
              <w:rPr/>
            </w:pPr>
            <w:r>
              <w:rPr/>
              <w:t>10,493,948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(33,762,836</w:t>
            </w:r>
          </w:p>
        </w:tc>
        <w:tc>
          <w:tcPr>
            <w:tcW w:w="172" w:type="dxa"/>
            <w:tcBorders/>
            <w:shd w:fill="CCEEFF" w:val="clear"/>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single" w:sz="2" w:space="1" w:color="000000"/>
              </w:pBdr>
              <w:bidi w:val="0"/>
              <w:spacing w:before="0" w:after="0"/>
              <w:jc w:val="left"/>
              <w:rPr/>
            </w:pPr>
            <w:r>
              <w:rPr/>
              <w:t> </w:t>
            </w:r>
          </w:p>
        </w:tc>
        <w:tc>
          <w:tcPr>
            <w:tcW w:w="1541"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single" w:sz="2" w:space="1" w:color="000000"/>
              </w:pBdr>
              <w:bidi w:val="0"/>
              <w:spacing w:before="0" w:after="0"/>
              <w:jc w:val="left"/>
              <w:rPr/>
            </w:pPr>
            <w:r>
              <w:rPr/>
              <w:t> </w:t>
            </w:r>
          </w:p>
        </w:tc>
        <w:tc>
          <w:tcPr>
            <w:tcW w:w="134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292"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Shareholders’ equity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(36,961,404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9" w:type="dxa"/>
            <w:tcBorders/>
            <w:vAlign w:val="center"/>
          </w:tcPr>
          <w:p>
            <w:pPr>
              <w:pStyle w:val="TableContents"/>
              <w:bidi w:val="0"/>
              <w:spacing w:before="0" w:after="283"/>
              <w:jc w:val="right"/>
              <w:rPr/>
            </w:pPr>
            <w:r>
              <w:rPr/>
              <w:t>(41,884,683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541" w:type="dxa"/>
            <w:tcBorders/>
            <w:vAlign w:val="center"/>
          </w:tcPr>
          <w:p>
            <w:pPr>
              <w:pStyle w:val="TableContents"/>
              <w:bidi w:val="0"/>
              <w:spacing w:before="0" w:after="283"/>
              <w:jc w:val="right"/>
              <w:rPr/>
            </w:pPr>
            <w:r>
              <w:rPr/>
              <w:t>(4,949,518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right"/>
              <w:rPr/>
            </w:pPr>
            <w:r>
              <w:rPr/>
              <w:t>45,235,847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(38,559,758</w:t>
            </w:r>
          </w:p>
        </w:tc>
        <w:tc>
          <w:tcPr>
            <w:tcW w:w="172" w:type="dxa"/>
            <w:tcBorders/>
            <w:vAlign w:val="center"/>
          </w:tcPr>
          <w:p>
            <w:pPr>
              <w:pStyle w:val="TableContents"/>
              <w:bidi w:val="0"/>
              <w:spacing w:before="0" w:after="283"/>
              <w:jc w:val="left"/>
              <w:rPr/>
            </w:pPr>
            <w:r>
              <w:rPr/>
              <w:t>) </w:t>
            </w:r>
          </w:p>
        </w:tc>
      </w:tr>
      <w:tr>
        <w:trPr/>
        <w:tc>
          <w:tcPr>
            <w:tcW w:w="20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double" w:sz="6" w:space="1" w:color="000000"/>
              </w:pBdr>
              <w:bidi w:val="0"/>
              <w:spacing w:before="0" w:after="0"/>
              <w:jc w:val="left"/>
              <w:rPr/>
            </w:pPr>
            <w:r>
              <w:rPr/>
              <w:t> </w:t>
            </w:r>
          </w:p>
        </w:tc>
        <w:tc>
          <w:tcPr>
            <w:tcW w:w="129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pBdr>
                <w:top w:val="double" w:sz="6" w:space="1" w:color="000000"/>
              </w:pBdr>
              <w:bidi w:val="0"/>
              <w:spacing w:before="0" w:after="0"/>
              <w:jc w:val="left"/>
              <w:rPr/>
            </w:pPr>
            <w:r>
              <w:rPr/>
              <w:t> </w:t>
            </w:r>
          </w:p>
        </w:tc>
        <w:tc>
          <w:tcPr>
            <w:tcW w:w="1541"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pBdr>
                <w:top w:val="double" w:sz="6" w:space="1" w:color="000000"/>
              </w:pBdr>
              <w:bidi w:val="0"/>
              <w:spacing w:before="0" w:after="0"/>
              <w:jc w:val="left"/>
              <w:rPr/>
            </w:pPr>
            <w:r>
              <w:rPr/>
              <w:t> </w:t>
            </w:r>
          </w:p>
        </w:tc>
        <w:tc>
          <w:tcPr>
            <w:tcW w:w="134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double" w:sz="6" w:space="1" w:color="000000"/>
              </w:pBdr>
              <w:bidi w:val="0"/>
              <w:spacing w:before="0" w:after="0"/>
              <w:jc w:val="left"/>
              <w:rPr/>
            </w:pPr>
            <w:r>
              <w:rPr/>
              <w:t> </w:t>
            </w:r>
          </w:p>
        </w:tc>
        <w:tc>
          <w:tcPr>
            <w:tcW w:w="1292" w:type="dxa"/>
            <w:tcBorders/>
            <w:vAlign w:val="center"/>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2"/>
        <w:gridCol w:w="9923"/>
      </w:tblGrid>
      <w:tr>
        <w:trPr/>
        <w:tc>
          <w:tcPr>
            <w:tcW w:w="282" w:type="dxa"/>
            <w:tcBorders/>
            <w:vAlign w:val="center"/>
          </w:tcPr>
          <w:p>
            <w:pPr>
              <w:pStyle w:val="TableContents"/>
              <w:bidi w:val="0"/>
              <w:spacing w:before="0" w:after="283"/>
              <w:jc w:val="left"/>
              <w:rPr/>
            </w:pPr>
            <w:r>
              <w:rPr/>
              <w:t>(1)</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and 2024, assets held by Vipshop China, Chongqing Pinwei and their subsidiaries accounted for 37% and 41% of our total assets, respectively.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elimination mainly represents the intercompany service fee for technology services provide by our subsidiaries to the consolidated variable interest entities and services rendered relating to marketing activities provide by the consolidated variable interest entities to our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Condensed Consolidating Cash Flow Information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93"/>
        <w:gridCol w:w="120"/>
        <w:gridCol w:w="60"/>
        <w:gridCol w:w="1276"/>
        <w:gridCol w:w="155"/>
        <w:gridCol w:w="60"/>
        <w:gridCol w:w="64"/>
        <w:gridCol w:w="1186"/>
        <w:gridCol w:w="155"/>
        <w:gridCol w:w="60"/>
        <w:gridCol w:w="87"/>
        <w:gridCol w:w="1538"/>
        <w:gridCol w:w="155"/>
        <w:gridCol w:w="60"/>
        <w:gridCol w:w="69"/>
        <w:gridCol w:w="1226"/>
        <w:gridCol w:w="155"/>
        <w:gridCol w:w="60"/>
        <w:gridCol w:w="70"/>
        <w:gridCol w:w="1285"/>
        <w:gridCol w:w="171"/>
      </w:tblGrid>
      <w:tr>
        <w:trPr/>
        <w:tc>
          <w:tcPr>
            <w:tcW w:w="2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21"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2024</w:t>
            </w:r>
          </w:p>
        </w:tc>
        <w:tc>
          <w:tcPr>
            <w:tcW w:w="171" w:type="dxa"/>
            <w:tcBorders/>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Parent</w:t>
              <w:br/>
              <w:t>Company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Variable</w:t>
              <w:br/>
              <w:t>Interest 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w:t>
            </w:r>
          </w:p>
        </w:tc>
        <w:tc>
          <w:tcPr>
            <w:tcW w:w="171" w:type="dxa"/>
            <w:tcBorders/>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21" w:type="dxa"/>
            <w:gridSpan w:val="18"/>
            <w:tcBorders/>
            <w:vAlign w:val="center"/>
          </w:tcPr>
          <w:p>
            <w:pPr>
              <w:pStyle w:val="TableContents"/>
              <w:bidi w:val="0"/>
              <w:spacing w:before="0" w:after="283"/>
              <w:jc w:val="center"/>
              <w:rPr>
                <w:b/>
              </w:rPr>
            </w:pPr>
            <w:r>
              <w:rPr>
                <w:b/>
              </w:rPr>
              <w:t>(RMB in thousands)</w:t>
            </w:r>
          </w:p>
        </w:tc>
        <w:tc>
          <w:tcPr>
            <w:tcW w:w="171" w:type="dxa"/>
            <w:tcBorders/>
            <w:vAlign w:val="center"/>
          </w:tcPr>
          <w:p>
            <w:pPr>
              <w:pStyle w:val="TableContents"/>
              <w:bidi w:val="0"/>
              <w:spacing w:before="0" w:after="283"/>
              <w:jc w:val="left"/>
              <w:rPr/>
            </w:pPr>
            <w:r>
              <w:rPr/>
              <w:t> </w:t>
            </w:r>
          </w:p>
        </w:tc>
      </w:tr>
      <w:tr>
        <w:trPr/>
        <w:tc>
          <w:tcPr>
            <w:tcW w:w="21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1,662,949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8,099,198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(633,164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9,128,983</w:t>
            </w:r>
          </w:p>
        </w:tc>
        <w:tc>
          <w:tcPr>
            <w:tcW w:w="171" w:type="dxa"/>
            <w:tcBorders/>
            <w:shd w:fill="CCEEFF" w:val="clear"/>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Loans to group companies(1)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(1,884,299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1,884,299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21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from Group Companies(1)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1,892,999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(1,892,999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amount due from group companies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r>
              <w:rPr/>
              <w:t>3,887,078 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(3,887,078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21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investing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(3,409,649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(155,901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(3,565,550</w:t>
            </w:r>
          </w:p>
        </w:tc>
        <w:tc>
          <w:tcPr>
            <w:tcW w:w="171" w:type="dxa"/>
            <w:tcBorders/>
            <w:shd w:fill="CCEEFF" w:val="clear"/>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3,887,078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(3,409,649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(147,201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(3,895,778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(3,565,550</w:t>
            </w:r>
          </w:p>
        </w:tc>
        <w:tc>
          <w:tcPr>
            <w:tcW w:w="171" w:type="dxa"/>
            <w:tcBorders/>
            <w:vAlign w:val="center"/>
          </w:tcPr>
          <w:p>
            <w:pPr>
              <w:pStyle w:val="TableContents"/>
              <w:bidi w:val="0"/>
              <w:spacing w:before="0" w:after="283"/>
              <w:jc w:val="left"/>
              <w:rPr/>
            </w:pPr>
            <w:r>
              <w:rPr/>
              <w:t>) </w:t>
            </w:r>
          </w:p>
        </w:tc>
      </w:tr>
      <w:tr>
        <w:trPr/>
        <w:tc>
          <w:tcPr>
            <w:tcW w:w="21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Borrowings under loan from group companies(1)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1,884,299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(1,884,299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 to group companies(1)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(1,892,999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1,892,999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21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amount due to ultimate holding company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(3,887,078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3,887,078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financing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(5,550,502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582,777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(1,854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(4,969,579</w:t>
            </w:r>
          </w:p>
        </w:tc>
        <w:tc>
          <w:tcPr>
            <w:tcW w:w="171" w:type="dxa"/>
            <w:tcBorders/>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7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118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pBdr>
                <w:top w:val="single" w:sz="2" w:space="1" w:color="000000"/>
              </w:pBdr>
              <w:bidi w:val="0"/>
              <w:spacing w:before="0" w:after="0"/>
              <w:jc w:val="left"/>
              <w:rPr/>
            </w:pPr>
            <w:r>
              <w:rPr/>
              <w:t> </w:t>
            </w:r>
          </w:p>
        </w:tc>
        <w:tc>
          <w:tcPr>
            <w:tcW w:w="153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pBdr>
                <w:top w:val="single" w:sz="2" w:space="1" w:color="000000"/>
              </w:pBdr>
              <w:bidi w:val="0"/>
              <w:spacing w:before="0" w:after="0"/>
              <w:jc w:val="left"/>
              <w:rPr/>
            </w:pPr>
            <w:r>
              <w:rPr/>
              <w:t> </w:t>
            </w:r>
          </w:p>
        </w:tc>
        <w:tc>
          <w:tcPr>
            <w:tcW w:w="122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1285" w:type="dxa"/>
            <w:tcBorders/>
            <w:vAlign w:val="center"/>
          </w:tcPr>
          <w:p>
            <w:pPr>
              <w:pStyle w:val="TableContents"/>
              <w:pBdr>
                <w:top w:val="single" w:sz="2"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1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(5,550,502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(3,313,001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(1,854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3,895,778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(4,969,579</w:t>
            </w:r>
          </w:p>
        </w:tc>
        <w:tc>
          <w:tcPr>
            <w:tcW w:w="171" w:type="dxa"/>
            <w:tcBorders/>
            <w:shd w:fill="CCEEFF" w:val="clear"/>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7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double" w:sz="6" w:space="1" w:color="000000"/>
              </w:pBdr>
              <w:bidi w:val="0"/>
              <w:spacing w:before="0" w:after="0"/>
              <w:jc w:val="left"/>
              <w:rPr/>
            </w:pPr>
            <w:r>
              <w:rPr/>
              <w:t> </w:t>
            </w:r>
          </w:p>
        </w:tc>
        <w:tc>
          <w:tcPr>
            <w:tcW w:w="118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pBdr>
                <w:top w:val="double" w:sz="6" w:space="1" w:color="000000"/>
              </w:pBdr>
              <w:bidi w:val="0"/>
              <w:spacing w:before="0" w:after="0"/>
              <w:jc w:val="left"/>
              <w:rPr/>
            </w:pPr>
            <w:r>
              <w:rPr/>
              <w:t> </w:t>
            </w:r>
          </w:p>
        </w:tc>
        <w:tc>
          <w:tcPr>
            <w:tcW w:w="153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pBdr>
                <w:top w:val="double" w:sz="6" w:space="1" w:color="000000"/>
              </w:pBdr>
              <w:bidi w:val="0"/>
              <w:spacing w:before="0" w:after="0"/>
              <w:jc w:val="left"/>
              <w:rPr/>
            </w:pPr>
            <w:r>
              <w:rPr/>
              <w:t> </w:t>
            </w:r>
          </w:p>
        </w:tc>
        <w:tc>
          <w:tcPr>
            <w:tcW w:w="122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double" w:sz="6" w:space="1" w:color="000000"/>
              </w:pBdr>
              <w:bidi w:val="0"/>
              <w:spacing w:before="0" w:after="0"/>
              <w:jc w:val="left"/>
              <w:rPr/>
            </w:pPr>
            <w:r>
              <w:rPr/>
              <w:t> </w:t>
            </w:r>
          </w:p>
        </w:tc>
        <w:tc>
          <w:tcPr>
            <w:tcW w:w="1285" w:type="dxa"/>
            <w:tcBorders/>
            <w:vAlign w:val="center"/>
          </w:tcPr>
          <w:p>
            <w:pPr>
              <w:pStyle w:val="TableContents"/>
              <w:pBdr>
                <w:top w:val="double" w:sz="6" w:space="1" w:color="000000"/>
              </w:pBdr>
              <w:bidi w:val="0"/>
              <w:spacing w:before="0" w:after="0"/>
              <w:jc w:val="left"/>
              <w:rPr/>
            </w:pPr>
            <w:r>
              <w:rPr/>
              <w:t> </w:t>
            </w:r>
          </w:p>
        </w:tc>
        <w:tc>
          <w:tcPr>
            <w:tcW w:w="171" w:type="dxa"/>
            <w:tcBorders/>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283"/>
              <w:jc w:val="left"/>
              <w:rPr>
                <w:sz w:val="4"/>
                <w:szCs w:val="4"/>
              </w:rPr>
            </w:pPr>
            <w:r>
              <w:rPr>
                <w:sz w:val="4"/>
                <w:szCs w:val="4"/>
              </w:rPr>
            </w:r>
          </w:p>
        </w:tc>
        <w:tc>
          <w:tcPr>
            <w:tcW w:w="8012" w:type="dxa"/>
            <w:gridSpan w:val="20"/>
            <w:tcBorders/>
            <w:vAlign w:val="center"/>
          </w:tcPr>
          <w:p>
            <w:pPr>
              <w:pStyle w:val="TableContents"/>
              <w:bidi w:val="0"/>
              <w:spacing w:before="0" w:after="283"/>
              <w:jc w:val="left"/>
              <w:rPr>
                <w:sz w:val="4"/>
                <w:szCs w:val="4"/>
              </w:rPr>
            </w:pPr>
            <w:r>
              <w:rPr>
                <w:sz w:val="4"/>
                <w:szCs w:val="4"/>
              </w:rPr>
            </w:r>
          </w:p>
        </w:tc>
      </w:tr>
      <w:tr>
        <w:trPr/>
        <w:tc>
          <w:tcPr>
            <w:tcW w:w="21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21"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2023</w:t>
            </w:r>
          </w:p>
        </w:tc>
        <w:tc>
          <w:tcPr>
            <w:tcW w:w="171" w:type="dxa"/>
            <w:tcBorders/>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Parent</w:t>
              <w:br/>
              <w:t>Company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Variable</w:t>
              <w:br/>
              <w:t>Interest 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w:t>
            </w:r>
          </w:p>
        </w:tc>
        <w:tc>
          <w:tcPr>
            <w:tcW w:w="171" w:type="dxa"/>
            <w:tcBorders/>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721" w:type="dxa"/>
            <w:gridSpan w:val="18"/>
            <w:tcBorders/>
            <w:vAlign w:val="center"/>
          </w:tcPr>
          <w:p>
            <w:pPr>
              <w:pStyle w:val="TableContents"/>
              <w:bidi w:val="0"/>
              <w:spacing w:before="0" w:after="283"/>
              <w:jc w:val="center"/>
              <w:rPr>
                <w:b/>
              </w:rPr>
            </w:pPr>
            <w:r>
              <w:rPr>
                <w:b/>
              </w:rPr>
              <w:t>(RMB in thousands)</w:t>
            </w:r>
          </w:p>
        </w:tc>
        <w:tc>
          <w:tcPr>
            <w:tcW w:w="171" w:type="dxa"/>
            <w:tcBorders/>
            <w:vAlign w:val="center"/>
          </w:tcPr>
          <w:p>
            <w:pPr>
              <w:pStyle w:val="TableContents"/>
              <w:bidi w:val="0"/>
              <w:spacing w:before="0" w:after="283"/>
              <w:jc w:val="left"/>
              <w:rPr/>
            </w:pPr>
            <w:r>
              <w:rPr/>
              <w:t> </w:t>
            </w:r>
          </w:p>
        </w:tc>
      </w:tr>
      <w:tr>
        <w:trPr/>
        <w:tc>
          <w:tcPr>
            <w:tcW w:w="21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19,350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14,413,200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(18,037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14,414,513</w:t>
            </w:r>
          </w:p>
        </w:tc>
        <w:tc>
          <w:tcPr>
            <w:tcW w:w="171" w:type="dxa"/>
            <w:tcBorders/>
            <w:shd w:fill="CCEEFF" w:val="clear"/>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Loans to group companies(1)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(1,255,813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1,255,813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21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from Group Companies(1)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3,263,935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(3,263,935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r>
      <w:tr>
        <w:trPr/>
        <w:tc>
          <w:tcPr>
            <w:tcW w:w="219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amount due from group companies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5,086,910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(5,086,910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r>
      <w:tr>
        <w:trPr/>
        <w:tc>
          <w:tcPr>
            <w:tcW w:w="219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investing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(5,036,746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(123,591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(5,160,337</w:t>
            </w:r>
          </w:p>
        </w:tc>
        <w:tc>
          <w:tcPr>
            <w:tcW w:w="171"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082"/>
        <w:gridCol w:w="120"/>
        <w:gridCol w:w="60"/>
        <w:gridCol w:w="1250"/>
        <w:gridCol w:w="155"/>
        <w:gridCol w:w="60"/>
        <w:gridCol w:w="69"/>
        <w:gridCol w:w="1317"/>
        <w:gridCol w:w="155"/>
        <w:gridCol w:w="60"/>
        <w:gridCol w:w="87"/>
        <w:gridCol w:w="1538"/>
        <w:gridCol w:w="155"/>
        <w:gridCol w:w="60"/>
        <w:gridCol w:w="69"/>
        <w:gridCol w:w="1226"/>
        <w:gridCol w:w="155"/>
        <w:gridCol w:w="60"/>
        <w:gridCol w:w="70"/>
        <w:gridCol w:w="1285"/>
        <w:gridCol w:w="172"/>
      </w:tblGrid>
      <w:tr>
        <w:trPr/>
        <w:tc>
          <w:tcPr>
            <w:tcW w:w="20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08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31"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2023</w:t>
            </w:r>
          </w:p>
        </w:tc>
        <w:tc>
          <w:tcPr>
            <w:tcW w:w="172" w:type="dxa"/>
            <w:tcBorders/>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Parent</w:t>
              <w:br/>
              <w:t>Company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Variable</w:t>
              <w:br/>
              <w:t>Interest 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w:t>
            </w:r>
          </w:p>
        </w:tc>
        <w:tc>
          <w:tcPr>
            <w:tcW w:w="172" w:type="dxa"/>
            <w:tcBorders/>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31" w:type="dxa"/>
            <w:gridSpan w:val="18"/>
            <w:tcBorders/>
            <w:vAlign w:val="center"/>
          </w:tcPr>
          <w:p>
            <w:pPr>
              <w:pStyle w:val="TableContents"/>
              <w:bidi w:val="0"/>
              <w:spacing w:before="0" w:after="283"/>
              <w:jc w:val="center"/>
              <w:rPr>
                <w:b/>
              </w:rPr>
            </w:pPr>
            <w:r>
              <w:rPr>
                <w:b/>
              </w:rPr>
              <w:t>(RMB in thousands)</w:t>
            </w:r>
          </w:p>
        </w:tc>
        <w:tc>
          <w:tcPr>
            <w:tcW w:w="172" w:type="dxa"/>
            <w:tcBorders/>
            <w:vAlign w:val="center"/>
          </w:tcPr>
          <w:p>
            <w:pPr>
              <w:pStyle w:val="TableContents"/>
              <w:bidi w:val="0"/>
              <w:spacing w:before="0" w:after="283"/>
              <w:jc w:val="left"/>
              <w:rPr/>
            </w:pPr>
            <w:r>
              <w:rPr/>
              <w:t> </w:t>
            </w:r>
          </w:p>
        </w:tc>
      </w:tr>
      <w:tr>
        <w:trPr/>
        <w:tc>
          <w:tcPr>
            <w:tcW w:w="20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5,086,910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(5,036,746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1,884,531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(7,095,032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(5,160,337</w:t>
            </w:r>
          </w:p>
        </w:tc>
        <w:tc>
          <w:tcPr>
            <w:tcW w:w="172" w:type="dxa"/>
            <w:tcBorders/>
            <w:shd w:fill="CCEEFF" w:val="clear"/>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Borrowings under loan from group companies(1)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1,255,813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(1,255,813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20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 to group companies(1)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(3,263,935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3,263,935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amount due to ultimate holding company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(5,086,910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5,086,910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20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(5,106,944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(1,039,061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(6,146,005</w:t>
            </w:r>
          </w:p>
        </w:tc>
        <w:tc>
          <w:tcPr>
            <w:tcW w:w="172" w:type="dxa"/>
            <w:tcBorders/>
            <w:shd w:fill="CCEEFF" w:val="clear"/>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5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pBdr>
                <w:top w:val="single" w:sz="2" w:space="1" w:color="000000"/>
              </w:pBdr>
              <w:bidi w:val="0"/>
              <w:spacing w:before="0" w:after="0"/>
              <w:jc w:val="left"/>
              <w:rPr/>
            </w:pPr>
            <w:r>
              <w:rPr/>
              <w:t> </w:t>
            </w:r>
          </w:p>
        </w:tc>
        <w:tc>
          <w:tcPr>
            <w:tcW w:w="1317"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pBdr>
                <w:top w:val="single" w:sz="2" w:space="1" w:color="000000"/>
              </w:pBdr>
              <w:bidi w:val="0"/>
              <w:spacing w:before="0" w:after="0"/>
              <w:jc w:val="left"/>
              <w:rPr/>
            </w:pPr>
            <w:r>
              <w:rPr/>
              <w:t> </w:t>
            </w:r>
          </w:p>
        </w:tc>
        <w:tc>
          <w:tcPr>
            <w:tcW w:w="153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pBdr>
                <w:top w:val="single" w:sz="2" w:space="1" w:color="000000"/>
              </w:pBdr>
              <w:bidi w:val="0"/>
              <w:spacing w:before="0" w:after="0"/>
              <w:jc w:val="left"/>
              <w:rPr/>
            </w:pPr>
            <w:r>
              <w:rPr/>
              <w:t> </w:t>
            </w:r>
          </w:p>
        </w:tc>
        <w:tc>
          <w:tcPr>
            <w:tcW w:w="122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1285"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(5,106,944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(8,134,093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7,095,032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(6,146,005</w:t>
            </w:r>
          </w:p>
        </w:tc>
        <w:tc>
          <w:tcPr>
            <w:tcW w:w="172" w:type="dxa"/>
            <w:tcBorders/>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5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pBdr>
                <w:top w:val="double" w:sz="6" w:space="1" w:color="000000"/>
              </w:pBdr>
              <w:bidi w:val="0"/>
              <w:spacing w:before="0" w:after="0"/>
              <w:jc w:val="left"/>
              <w:rPr/>
            </w:pPr>
            <w:r>
              <w:rPr/>
              <w:t> </w:t>
            </w:r>
          </w:p>
        </w:tc>
        <w:tc>
          <w:tcPr>
            <w:tcW w:w="1317"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pBdr>
                <w:top w:val="double" w:sz="6" w:space="1" w:color="000000"/>
              </w:pBdr>
              <w:bidi w:val="0"/>
              <w:spacing w:before="0" w:after="0"/>
              <w:jc w:val="left"/>
              <w:rPr/>
            </w:pPr>
            <w:r>
              <w:rPr/>
              <w:t> </w:t>
            </w:r>
          </w:p>
        </w:tc>
        <w:tc>
          <w:tcPr>
            <w:tcW w:w="153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pBdr>
                <w:top w:val="double" w:sz="6" w:space="1" w:color="000000"/>
              </w:pBdr>
              <w:bidi w:val="0"/>
              <w:spacing w:before="0" w:after="0"/>
              <w:jc w:val="left"/>
              <w:rPr/>
            </w:pPr>
            <w:r>
              <w:rPr/>
              <w:t> </w:t>
            </w:r>
          </w:p>
        </w:tc>
        <w:tc>
          <w:tcPr>
            <w:tcW w:w="122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double" w:sz="6" w:space="1" w:color="000000"/>
              </w:pBdr>
              <w:bidi w:val="0"/>
              <w:spacing w:before="0" w:after="0"/>
              <w:jc w:val="left"/>
              <w:rPr/>
            </w:pPr>
            <w:r>
              <w:rPr/>
              <w:t> </w:t>
            </w:r>
          </w:p>
        </w:tc>
        <w:tc>
          <w:tcPr>
            <w:tcW w:w="1285" w:type="dxa"/>
            <w:tcBorders/>
            <w:vAlign w:val="center"/>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283"/>
              <w:jc w:val="left"/>
              <w:rPr>
                <w:sz w:val="4"/>
                <w:szCs w:val="4"/>
              </w:rPr>
            </w:pPr>
            <w:r>
              <w:rPr>
                <w:sz w:val="4"/>
                <w:szCs w:val="4"/>
              </w:rPr>
            </w:r>
          </w:p>
        </w:tc>
        <w:tc>
          <w:tcPr>
            <w:tcW w:w="8123" w:type="dxa"/>
            <w:gridSpan w:val="20"/>
            <w:tcBorders/>
            <w:vAlign w:val="center"/>
          </w:tcPr>
          <w:p>
            <w:pPr>
              <w:pStyle w:val="TableContents"/>
              <w:bidi w:val="0"/>
              <w:spacing w:before="0" w:after="283"/>
              <w:jc w:val="left"/>
              <w:rPr>
                <w:sz w:val="4"/>
                <w:szCs w:val="4"/>
              </w:rPr>
            </w:pPr>
            <w:r>
              <w:rPr>
                <w:sz w:val="4"/>
                <w:szCs w:val="4"/>
              </w:rPr>
            </w:r>
          </w:p>
        </w:tc>
      </w:tr>
      <w:tr>
        <w:trPr/>
        <w:tc>
          <w:tcPr>
            <w:tcW w:w="208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31"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 2022</w:t>
            </w:r>
          </w:p>
        </w:tc>
        <w:tc>
          <w:tcPr>
            <w:tcW w:w="172" w:type="dxa"/>
            <w:tcBorders/>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Parent</w:t>
              <w:br/>
              <w:t>Company</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Subsidiaries(2)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Variable</w:t>
              <w:br/>
              <w:t>Interest Entities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Eliminations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Consolidated</w:t>
              <w:br/>
              <w:t>Total</w:t>
            </w:r>
          </w:p>
        </w:tc>
        <w:tc>
          <w:tcPr>
            <w:tcW w:w="172" w:type="dxa"/>
            <w:tcBorders/>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31" w:type="dxa"/>
            <w:gridSpan w:val="18"/>
            <w:tcBorders/>
            <w:vAlign w:val="center"/>
          </w:tcPr>
          <w:p>
            <w:pPr>
              <w:pStyle w:val="TableContents"/>
              <w:bidi w:val="0"/>
              <w:spacing w:before="0" w:after="283"/>
              <w:jc w:val="center"/>
              <w:rPr>
                <w:b/>
              </w:rPr>
            </w:pPr>
            <w:r>
              <w:rPr>
                <w:b/>
              </w:rPr>
              <w:t>(RMB in thousands)</w:t>
            </w:r>
          </w:p>
        </w:tc>
        <w:tc>
          <w:tcPr>
            <w:tcW w:w="172" w:type="dxa"/>
            <w:tcBorders/>
            <w:vAlign w:val="center"/>
          </w:tcPr>
          <w:p>
            <w:pPr>
              <w:pStyle w:val="TableContents"/>
              <w:bidi w:val="0"/>
              <w:spacing w:before="0" w:after="283"/>
              <w:jc w:val="left"/>
              <w:rPr/>
            </w:pPr>
            <w:r>
              <w:rPr/>
              <w:t> </w:t>
            </w:r>
          </w:p>
        </w:tc>
      </w:tr>
      <w:tr>
        <w:trPr/>
        <w:tc>
          <w:tcPr>
            <w:tcW w:w="20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provided by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(103,305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10,608,709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14,288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10,519,692</w:t>
            </w:r>
          </w:p>
        </w:tc>
        <w:tc>
          <w:tcPr>
            <w:tcW w:w="172" w:type="dxa"/>
            <w:tcBorders/>
            <w:shd w:fill="CCEEFF" w:val="clear"/>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Loans to group companies(1)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(2,016,823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2,016,823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20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Repayments from Group Companies(1)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2,007,601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(2,007,601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 in amount due from group companies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6,362,371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(6,362,371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20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investing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479,543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569,610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1,049,153</w:t>
            </w:r>
          </w:p>
        </w:tc>
        <w:tc>
          <w:tcPr>
            <w:tcW w:w="172" w:type="dxa"/>
            <w:tcBorders/>
            <w:shd w:fill="CCEEFF" w:val="clear"/>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investing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r>
              <w:rPr/>
              <w:t>6,362,371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479,543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560,388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(6,353,149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1,049,153</w:t>
            </w:r>
          </w:p>
        </w:tc>
        <w:tc>
          <w:tcPr>
            <w:tcW w:w="172" w:type="dxa"/>
            <w:tcBorders/>
            <w:vAlign w:val="center"/>
          </w:tcPr>
          <w:p>
            <w:pPr>
              <w:pStyle w:val="TableContents"/>
              <w:bidi w:val="0"/>
              <w:spacing w:before="0" w:after="283"/>
              <w:jc w:val="left"/>
              <w:rPr/>
            </w:pPr>
            <w:r>
              <w:rPr/>
              <w:t> </w:t>
            </w:r>
          </w:p>
        </w:tc>
      </w:tr>
      <w:tr>
        <w:trPr/>
        <w:tc>
          <w:tcPr>
            <w:tcW w:w="20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Borrowings under loan from group companies(1)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2,016,823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(2,016,823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 to group companies(1)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(2,007,601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2,007,601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— </w:t>
            </w:r>
          </w:p>
        </w:tc>
        <w:tc>
          <w:tcPr>
            <w:tcW w:w="172" w:type="dxa"/>
            <w:tcBorders/>
            <w:vAlign w:val="center"/>
          </w:tcPr>
          <w:p>
            <w:pPr>
              <w:pStyle w:val="TableContents"/>
              <w:bidi w:val="0"/>
              <w:spacing w:before="0" w:after="283"/>
              <w:jc w:val="left"/>
              <w:rPr/>
            </w:pPr>
            <w:r>
              <w:rPr/>
              <w:t> </w:t>
            </w:r>
          </w:p>
        </w:tc>
      </w:tr>
      <w:tr>
        <w:trPr/>
        <w:tc>
          <w:tcPr>
            <w:tcW w:w="20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amount due to ultimate holding company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(6,362,371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6,362,371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financing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(6,257,703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317" w:type="dxa"/>
            <w:tcBorders/>
            <w:vAlign w:val="center"/>
          </w:tcPr>
          <w:p>
            <w:pPr>
              <w:pStyle w:val="TableContents"/>
              <w:bidi w:val="0"/>
              <w:spacing w:before="0" w:after="283"/>
              <w:jc w:val="right"/>
              <w:rPr/>
            </w:pPr>
            <w:r>
              <w:rPr/>
              <w:t>684,312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38"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right"/>
              <w:rPr/>
            </w:pPr>
            <w:r>
              <w:rPr/>
              <w:t>(5,573,391</w:t>
            </w:r>
          </w:p>
        </w:tc>
        <w:tc>
          <w:tcPr>
            <w:tcW w:w="172" w:type="dxa"/>
            <w:tcBorders/>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25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pBdr>
                <w:top w:val="single" w:sz="2" w:space="1" w:color="000000"/>
              </w:pBdr>
              <w:bidi w:val="0"/>
              <w:spacing w:before="0" w:after="0"/>
              <w:jc w:val="left"/>
              <w:rPr/>
            </w:pPr>
            <w:r>
              <w:rPr/>
              <w:t> </w:t>
            </w:r>
          </w:p>
        </w:tc>
        <w:tc>
          <w:tcPr>
            <w:tcW w:w="1317"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pBdr>
                <w:top w:val="single" w:sz="2" w:space="1" w:color="000000"/>
              </w:pBdr>
              <w:bidi w:val="0"/>
              <w:spacing w:before="0" w:after="0"/>
              <w:jc w:val="left"/>
              <w:rPr/>
            </w:pPr>
            <w:r>
              <w:rPr/>
              <w:t> </w:t>
            </w:r>
          </w:p>
        </w:tc>
        <w:tc>
          <w:tcPr>
            <w:tcW w:w="1538"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pBdr>
                <w:top w:val="single" w:sz="2" w:space="1" w:color="000000"/>
              </w:pBdr>
              <w:bidi w:val="0"/>
              <w:spacing w:before="0" w:after="0"/>
              <w:jc w:val="left"/>
              <w:rPr/>
            </w:pPr>
            <w:r>
              <w:rPr/>
              <w:t> </w:t>
            </w:r>
          </w:p>
        </w:tc>
        <w:tc>
          <w:tcPr>
            <w:tcW w:w="1226"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single" w:sz="2" w:space="1" w:color="000000"/>
              </w:pBdr>
              <w:bidi w:val="0"/>
              <w:spacing w:before="0" w:after="0"/>
              <w:jc w:val="left"/>
              <w:rPr/>
            </w:pPr>
            <w:r>
              <w:rPr/>
              <w:t> </w:t>
            </w:r>
          </w:p>
        </w:tc>
        <w:tc>
          <w:tcPr>
            <w:tcW w:w="1285" w:type="dxa"/>
            <w:tcBorders/>
            <w:vAlign w:val="center"/>
          </w:tcPr>
          <w:p>
            <w:pPr>
              <w:pStyle w:val="TableContents"/>
              <w:pBdr>
                <w:top w:val="single" w:sz="2"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r>
        <w:trPr/>
        <w:tc>
          <w:tcPr>
            <w:tcW w:w="20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(6,257,703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317" w:type="dxa"/>
            <w:tcBorders/>
            <w:shd w:fill="CCEEFF" w:val="clear"/>
            <w:vAlign w:val="center"/>
          </w:tcPr>
          <w:p>
            <w:pPr>
              <w:pStyle w:val="TableContents"/>
              <w:bidi w:val="0"/>
              <w:spacing w:before="0" w:after="283"/>
              <w:jc w:val="right"/>
              <w:rPr/>
            </w:pPr>
            <w:r>
              <w:rPr/>
              <w:t>(5,668,837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38"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26" w:type="dxa"/>
            <w:tcBorders/>
            <w:shd w:fill="CCEEFF" w:val="clear"/>
            <w:vAlign w:val="center"/>
          </w:tcPr>
          <w:p>
            <w:pPr>
              <w:pStyle w:val="TableContents"/>
              <w:bidi w:val="0"/>
              <w:spacing w:before="0" w:after="283"/>
              <w:jc w:val="right"/>
              <w:rPr/>
            </w:pPr>
            <w:r>
              <w:rPr/>
              <w:t>6,353,149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(5,573,391</w:t>
            </w:r>
          </w:p>
        </w:tc>
        <w:tc>
          <w:tcPr>
            <w:tcW w:w="172" w:type="dxa"/>
            <w:tcBorders/>
            <w:shd w:fill="CCEEFF" w:val="clear"/>
            <w:vAlign w:val="center"/>
          </w:tcPr>
          <w:p>
            <w:pPr>
              <w:pStyle w:val="TableContents"/>
              <w:bidi w:val="0"/>
              <w:spacing w:before="0" w:after="283"/>
              <w:jc w:val="left"/>
              <w:rPr/>
            </w:pPr>
            <w:r>
              <w:rPr/>
              <w:t>) </w:t>
            </w:r>
          </w:p>
        </w:tc>
      </w:tr>
      <w:tr>
        <w:trPr/>
        <w:tc>
          <w:tcPr>
            <w:tcW w:w="208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5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pBdr>
                <w:top w:val="double" w:sz="6" w:space="1" w:color="000000"/>
              </w:pBdr>
              <w:bidi w:val="0"/>
              <w:spacing w:before="0" w:after="0"/>
              <w:jc w:val="left"/>
              <w:rPr/>
            </w:pPr>
            <w:r>
              <w:rPr/>
              <w:t> </w:t>
            </w:r>
          </w:p>
        </w:tc>
        <w:tc>
          <w:tcPr>
            <w:tcW w:w="1317"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pBdr>
                <w:top w:val="double" w:sz="6" w:space="1" w:color="000000"/>
              </w:pBdr>
              <w:bidi w:val="0"/>
              <w:spacing w:before="0" w:after="0"/>
              <w:jc w:val="left"/>
              <w:rPr/>
            </w:pPr>
            <w:r>
              <w:rPr/>
              <w:t> </w:t>
            </w:r>
          </w:p>
        </w:tc>
        <w:tc>
          <w:tcPr>
            <w:tcW w:w="1538"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pBdr>
                <w:top w:val="double" w:sz="6" w:space="1" w:color="000000"/>
              </w:pBdr>
              <w:bidi w:val="0"/>
              <w:spacing w:before="0" w:after="0"/>
              <w:jc w:val="left"/>
              <w:rPr/>
            </w:pPr>
            <w:r>
              <w:rPr/>
              <w:t> </w:t>
            </w:r>
          </w:p>
        </w:tc>
        <w:tc>
          <w:tcPr>
            <w:tcW w:w="1226"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pBdr>
                <w:top w:val="double" w:sz="6" w:space="1" w:color="000000"/>
              </w:pBdr>
              <w:bidi w:val="0"/>
              <w:spacing w:before="0" w:after="0"/>
              <w:jc w:val="left"/>
              <w:rPr/>
            </w:pPr>
            <w:r>
              <w:rPr/>
              <w:t> </w:t>
            </w:r>
          </w:p>
        </w:tc>
        <w:tc>
          <w:tcPr>
            <w:tcW w:w="1285" w:type="dxa"/>
            <w:tcBorders/>
            <w:vAlign w:val="center"/>
          </w:tcPr>
          <w:p>
            <w:pPr>
              <w:pStyle w:val="TableContents"/>
              <w:pBdr>
                <w:top w:val="double" w:sz="6" w:space="1" w:color="000000"/>
              </w:pBdr>
              <w:bidi w:val="0"/>
              <w:spacing w:before="0" w:after="0"/>
              <w:jc w:val="left"/>
              <w:rPr/>
            </w:pPr>
            <w:r>
              <w:rPr/>
              <w:t> </w:t>
            </w:r>
          </w:p>
        </w:tc>
        <w:tc>
          <w:tcPr>
            <w:tcW w:w="172"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the years ended December 31, 2022, 2023 and 2024, an aggregate amount of RMB2.02 billion, RMB1.26 billion and RMB1.88 billion (US$258.1 million) was provided by the consolidated variable interest entities to our subsidiaries in the form of intercompany loan, respectively, an aggregate amount of RMB2.01 billion, RMB3.26 billion and RMB1.89 billion (US$259.3 million) was provided by our subsidiaries to the consolidated variable interest entities in the form of repayment of intercompany loan, respectively.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2022, 2023 and 2024, our PRC subsidiary Vipshop China distributed a portion of the earnings that amounted to RMB14.98 billion, nil and RMB10.00 billion to Vipshop International Holdings Limited, its holding company in Hong Kong.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255" w:type="dxa"/>
        <w:jc w:val="left"/>
        <w:tblInd w:w="0" w:type="dxa"/>
        <w:tblLayout w:type="fixed"/>
        <w:tblCellMar>
          <w:top w:w="0" w:type="dxa"/>
          <w:left w:w="0" w:type="dxa"/>
          <w:bottom w:w="0" w:type="dxa"/>
          <w:right w:w="0" w:type="dxa"/>
        </w:tblCellMar>
      </w:tblPr>
      <w:tblGrid>
        <w:gridCol w:w="275"/>
        <w:gridCol w:w="980"/>
      </w:tblGrid>
      <w:tr>
        <w:trPr/>
        <w:tc>
          <w:tcPr>
            <w:tcW w:w="275" w:type="dxa"/>
            <w:tcBorders/>
            <w:vAlign w:val="center"/>
          </w:tcPr>
          <w:p>
            <w:pPr>
              <w:pStyle w:val="TableContents"/>
              <w:bidi w:val="0"/>
              <w:spacing w:before="0" w:after="283"/>
              <w:jc w:val="left"/>
              <w:rPr>
                <w:b/>
              </w:rPr>
            </w:pPr>
            <w:r>
              <w:rPr>
                <w:b/>
              </w:rPr>
              <w:t>A.</w:t>
            </w:r>
          </w:p>
        </w:tc>
        <w:tc>
          <w:tcPr>
            <w:tcW w:w="9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[Reserved]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Selected Consolidated Financial Data </w:t>
      </w:r>
    </w:p>
    <w:p>
      <w:pPr>
        <w:pStyle w:val="TextBody"/>
        <w:bidi w:val="0"/>
        <w:spacing w:lineRule="atLeast" w:line="200" w:before="120" w:after="0"/>
        <w:jc w:val="left"/>
        <w:rPr>
          <w:rFonts w:ascii="Times New Roman" w:hAnsi="Times New Roman"/>
          <w:sz w:val="20"/>
        </w:rPr>
      </w:pPr>
      <w:r>
        <w:rPr>
          <w:rFonts w:ascii="Times New Roman" w:hAnsi="Times New Roman"/>
          <w:sz w:val="20"/>
        </w:rPr>
        <w:t xml:space="preserve">The following selected consolidated statements of income data for the years ended December 31, 2022, 2023 and 2024 and the selected consolidated balance sheets data as of December 31, 2023 and 2024 have been derived from our audited consolidated financial statements, which are included in this annual report beginning on page F-1. Our historical results are not necessarily indicative of results expected for any future periods. The selected consolidated financial data should be read in conjunction with our audited consolidated financial statements and related notes and “Item 5. Operating and Financial Review and Prospects” in this annual report. Our consolidated financial statements are prepared and presented in accordance with accounting principles generally accepted in the United States, or U.S. GAAP. </w:t>
      </w:r>
    </w:p>
    <w:p>
      <w:pPr>
        <w:pStyle w:val="TextBody"/>
        <w:bidi w:val="0"/>
        <w:spacing w:lineRule="atLeast" w:line="200" w:before="160" w:after="0"/>
        <w:jc w:val="left"/>
        <w:rPr>
          <w:rFonts w:ascii="Times New Roman" w:hAnsi="Times New Roman"/>
          <w:sz w:val="20"/>
        </w:rPr>
      </w:pPr>
      <w:r>
        <w:rPr>
          <w:rFonts w:ascii="Times New Roman" w:hAnsi="Times New Roman"/>
          <w:sz w:val="20"/>
        </w:rPr>
        <w:t xml:space="preserve">Our selected consolidated statements of income data for the years ended December 31, 2020 and 2021 and our selected consolidated balance sheets data as of December 31, 2020, 2021 and 2022 have been derived from our audited consolidated financial statements not included in this annual report.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0"/>
        <w:gridCol w:w="120"/>
        <w:gridCol w:w="60"/>
        <w:gridCol w:w="1055"/>
        <w:gridCol w:w="125"/>
        <w:gridCol w:w="60"/>
        <w:gridCol w:w="60"/>
        <w:gridCol w:w="1055"/>
        <w:gridCol w:w="125"/>
        <w:gridCol w:w="60"/>
        <w:gridCol w:w="60"/>
        <w:gridCol w:w="1055"/>
        <w:gridCol w:w="125"/>
        <w:gridCol w:w="60"/>
        <w:gridCol w:w="60"/>
        <w:gridCol w:w="1055"/>
        <w:gridCol w:w="125"/>
        <w:gridCol w:w="60"/>
        <w:gridCol w:w="60"/>
        <w:gridCol w:w="1055"/>
        <w:gridCol w:w="125"/>
        <w:gridCol w:w="60"/>
        <w:gridCol w:w="60"/>
        <w:gridCol w:w="1055"/>
        <w:gridCol w:w="140"/>
      </w:tblGrid>
      <w:tr>
        <w:trPr/>
        <w:tc>
          <w:tcPr>
            <w:tcW w:w="23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2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1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 xml:space="preserve">For the Year Ended December 31, </w:t>
            </w:r>
          </w:p>
        </w:tc>
        <w:tc>
          <w:tcPr>
            <w:tcW w:w="14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2020</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4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4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15" w:type="dxa"/>
            <w:gridSpan w:val="22"/>
            <w:tcBorders/>
            <w:vAlign w:val="center"/>
          </w:tcPr>
          <w:p>
            <w:pPr>
              <w:pStyle w:val="TableContents"/>
              <w:bidi w:val="0"/>
              <w:spacing w:before="0" w:after="283"/>
              <w:jc w:val="center"/>
              <w:rPr>
                <w:b/>
              </w:rPr>
            </w:pPr>
            <w:r>
              <w:rPr>
                <w:b/>
              </w:rPr>
              <w:t>(in thousands, except number of shares, and per share and per ADS data)</w:t>
            </w:r>
          </w:p>
        </w:tc>
        <w:tc>
          <w:tcPr>
            <w:tcW w:w="14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lineRule="atLeast" w:line="200" w:before="0" w:after="0"/>
              <w:jc w:val="left"/>
              <w:rPr>
                <w:rFonts w:ascii="Times New Roman" w:hAnsi="Times New Roman"/>
                <w:b/>
                <w:sz w:val="20"/>
              </w:rPr>
            </w:pPr>
            <w:r>
              <w:rPr>
                <w:rFonts w:ascii="Times New Roman" w:hAnsi="Times New Roman"/>
                <w:b/>
                <w:sz w:val="20"/>
              </w:rPr>
              <w:t>Selected Consolidated Statements of Income Data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233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Product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97,449,712</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111,256,902</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97,250,078</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105,613,485</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100,734,550</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13,800,577</w:t>
            </w:r>
          </w:p>
        </w:tc>
        <w:tc>
          <w:tcPr>
            <w:tcW w:w="140" w:type="dxa"/>
            <w:tcBorders/>
            <w:vAlign w:val="center"/>
          </w:tcPr>
          <w:p>
            <w:pPr>
              <w:pStyle w:val="TableContents"/>
              <w:bidi w:val="0"/>
              <w:spacing w:lineRule="atLeast" w:line="200" w:before="0" w:after="0"/>
              <w:jc w:val="left"/>
              <w:rPr/>
            </w:pPr>
            <w:r>
              <w:rPr/>
              <w:t> </w:t>
            </w:r>
          </w:p>
        </w:tc>
      </w:tr>
      <w:tr>
        <w:trPr/>
        <w:tc>
          <w:tcPr>
            <w:tcW w:w="2330"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Other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4,408,777</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5,802,776</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5,902,411</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7,242,535</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7,686,282</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1,053,016</w:t>
            </w:r>
          </w:p>
        </w:tc>
        <w:tc>
          <w:tcPr>
            <w:tcW w:w="140" w:type="dxa"/>
            <w:tcBorders/>
            <w:shd w:fill="CCEEFF" w:val="clear"/>
            <w:vAlign w:val="center"/>
          </w:tcPr>
          <w:p>
            <w:pPr>
              <w:pStyle w:val="TableContents"/>
              <w:bidi w:val="0"/>
              <w:spacing w:lineRule="atLeast" w:line="200" w:before="0" w:after="0"/>
              <w:jc w:val="left"/>
              <w:rPr/>
            </w:pPr>
            <w:r>
              <w:rPr/>
              <w:t> </w:t>
            </w:r>
          </w:p>
        </w:tc>
      </w:tr>
      <w:tr>
        <w:trPr/>
        <w:tc>
          <w:tcPr>
            <w:tcW w:w="233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Total net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101,858,489</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117,059,678</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103,152,489</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112,856,020</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108,420,832</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14,853,593</w:t>
            </w:r>
          </w:p>
        </w:tc>
        <w:tc>
          <w:tcPr>
            <w:tcW w:w="140" w:type="dxa"/>
            <w:tcBorders/>
            <w:vAlign w:val="center"/>
          </w:tcPr>
          <w:p>
            <w:pPr>
              <w:pStyle w:val="TableContents"/>
              <w:bidi w:val="0"/>
              <w:spacing w:lineRule="atLeast" w:line="200" w:before="0" w:after="0"/>
              <w:jc w:val="left"/>
              <w:rPr/>
            </w:pPr>
            <w:r>
              <w:rPr/>
              <w:t> </w:t>
            </w:r>
          </w:p>
        </w:tc>
      </w:tr>
      <w:tr>
        <w:trPr/>
        <w:tc>
          <w:tcPr>
            <w:tcW w:w="2330" w:type="dxa"/>
            <w:tcBorders/>
            <w:shd w:fill="CCEEFF" w:val="clear"/>
            <w:vAlign w:val="center"/>
          </w:tcPr>
          <w:p>
            <w:pPr>
              <w:pStyle w:val="TableContents"/>
              <w:bidi w:val="0"/>
              <w:spacing w:lineRule="atLeast" w:line="142" w:before="0" w:after="0"/>
              <w:jc w:val="left"/>
              <w:rPr>
                <w:rFonts w:ascii="Times New Roman" w:hAnsi="Times New Roman"/>
                <w:sz w:val="20"/>
              </w:rPr>
            </w:pPr>
            <w:r>
              <w:rPr>
                <w:rFonts w:ascii="Times New Roman" w:hAnsi="Times New Roman"/>
                <w:sz w:val="20"/>
              </w:rPr>
              <w:t>Cost of revenues(1)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(80,573,181</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(93,953,121</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(81,536,409</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(87,135,128</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(82,951,178</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(11,364,265</w:t>
            </w:r>
          </w:p>
        </w:tc>
        <w:tc>
          <w:tcPr>
            <w:tcW w:w="140"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r>
      <w:tr>
        <w:trPr/>
        <w:tc>
          <w:tcPr>
            <w:tcW w:w="233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Gross profit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21,285,308</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23,106,557</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21,616,080</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25,720,892</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25,469,654</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3,489,328</w:t>
            </w:r>
          </w:p>
        </w:tc>
        <w:tc>
          <w:tcPr>
            <w:tcW w:w="140" w:type="dxa"/>
            <w:tcBorders/>
            <w:vAlign w:val="center"/>
          </w:tcPr>
          <w:p>
            <w:pPr>
              <w:pStyle w:val="TableContents"/>
              <w:bidi w:val="0"/>
              <w:spacing w:lineRule="atLeast" w:line="200" w:before="0" w:after="0"/>
              <w:jc w:val="left"/>
              <w:rPr/>
            </w:pPr>
            <w:r>
              <w:rPr/>
              <w:t> </w:t>
            </w:r>
          </w:p>
        </w:tc>
      </w:tr>
      <w:tr>
        <w:trPr/>
        <w:tc>
          <w:tcPr>
            <w:tcW w:w="2330" w:type="dxa"/>
            <w:tcBorders/>
            <w:shd w:fill="CCEEFF" w:val="clear"/>
            <w:vAlign w:val="center"/>
          </w:tcPr>
          <w:p>
            <w:pPr>
              <w:pStyle w:val="TableContents"/>
              <w:bidi w:val="0"/>
              <w:spacing w:lineRule="atLeast" w:line="142" w:before="0" w:after="0"/>
              <w:jc w:val="left"/>
              <w:rPr>
                <w:rFonts w:ascii="Times New Roman" w:hAnsi="Times New Roman"/>
                <w:sz w:val="20"/>
              </w:rPr>
            </w:pPr>
            <w:r>
              <w:rPr>
                <w:rFonts w:ascii="Times New Roman" w:hAnsi="Times New Roman"/>
                <w:sz w:val="20"/>
              </w:rPr>
              <w:t>Operating expenses(2):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2330" w:type="dxa"/>
            <w:tcBorders/>
            <w:vAlign w:val="center"/>
          </w:tcPr>
          <w:p>
            <w:pPr>
              <w:pStyle w:val="TableContents"/>
              <w:bidi w:val="0"/>
              <w:spacing w:lineRule="atLeast" w:line="142" w:before="0" w:after="0"/>
              <w:jc w:val="left"/>
              <w:rPr/>
            </w:pPr>
            <w:r>
              <w:rPr/>
              <w:t>—</w:t>
            </w:r>
            <w:r>
              <w:rPr>
                <w:rFonts w:ascii="Times New Roman" w:hAnsi="Times New Roman"/>
                <w:sz w:val="20"/>
              </w:rPr>
              <w:t>Fulfillment expenses(3)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(6,878,991</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(7,652,504</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(7,247,210</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(8,262,004</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(8,346,864</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(1,143,516</w:t>
            </w:r>
          </w:p>
        </w:tc>
        <w:tc>
          <w:tcPr>
            <w:tcW w:w="14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r>
      <w:tr>
        <w:trPr/>
        <w:tc>
          <w:tcPr>
            <w:tcW w:w="2330" w:type="dxa"/>
            <w:tcBorders/>
            <w:shd w:fill="CCEEFF" w:val="clear"/>
            <w:vAlign w:val="center"/>
          </w:tcPr>
          <w:p>
            <w:pPr>
              <w:pStyle w:val="TableContents"/>
              <w:bidi w:val="0"/>
              <w:spacing w:lineRule="atLeast" w:line="200" w:before="0" w:after="0"/>
              <w:jc w:val="left"/>
              <w:rPr/>
            </w:pPr>
            <w:r>
              <w:rPr/>
              <w:t>—</w:t>
            </w:r>
            <w:r>
              <w:rPr>
                <w:rFonts w:ascii="Times New Roman" w:hAnsi="Times New Roman"/>
                <w:sz w:val="20"/>
              </w:rPr>
              <w:t>Marketing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(4,284,274</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(5,089,213</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(2,831,316</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(3,242,215</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(2,979,654</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(408,211</w:t>
            </w:r>
          </w:p>
        </w:tc>
        <w:tc>
          <w:tcPr>
            <w:tcW w:w="140"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r>
      <w:tr>
        <w:trPr/>
        <w:tc>
          <w:tcPr>
            <w:tcW w:w="2330" w:type="dxa"/>
            <w:tcBorders/>
            <w:vAlign w:val="center"/>
          </w:tcPr>
          <w:p>
            <w:pPr>
              <w:pStyle w:val="TableContents"/>
              <w:bidi w:val="0"/>
              <w:spacing w:lineRule="atLeast" w:line="200" w:before="0" w:after="0"/>
              <w:jc w:val="left"/>
              <w:rPr/>
            </w:pPr>
            <w:r>
              <w:rPr/>
              <w:t>—</w:t>
            </w:r>
            <w:r>
              <w:rPr>
                <w:rFonts w:ascii="Times New Roman" w:hAnsi="Times New Roman"/>
                <w:sz w:val="20"/>
              </w:rPr>
              <w:t>Technology and content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(1,221,264</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(1,517,307</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(1,605,422</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(1,767,530</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(1,892,434</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(259,262</w:t>
            </w:r>
          </w:p>
        </w:tc>
        <w:tc>
          <w:tcPr>
            <w:tcW w:w="14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r>
      <w:tr>
        <w:trPr/>
        <w:tc>
          <w:tcPr>
            <w:tcW w:w="2330" w:type="dxa"/>
            <w:tcBorders/>
            <w:shd w:fill="CCEEFF" w:val="clear"/>
            <w:vAlign w:val="center"/>
          </w:tcPr>
          <w:p>
            <w:pPr>
              <w:pStyle w:val="TableContents"/>
              <w:bidi w:val="0"/>
              <w:spacing w:lineRule="atLeast" w:line="200" w:before="0" w:after="0"/>
              <w:jc w:val="left"/>
              <w:rPr/>
            </w:pPr>
            <w:r>
              <w:rPr/>
              <w:t>—</w:t>
            </w:r>
            <w:r>
              <w:rPr>
                <w:rFonts w:ascii="Times New Roman" w:hAnsi="Times New Roman"/>
                <w:sz w:val="20"/>
              </w:rPr>
              <w:t>General and administrative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(3,748,548</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(4,189,690</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(4,459,518</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(4,146,568</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(3,992,657</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(546,992</w:t>
            </w:r>
          </w:p>
        </w:tc>
        <w:tc>
          <w:tcPr>
            <w:tcW w:w="140"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r>
      <w:tr>
        <w:trPr/>
        <w:tc>
          <w:tcPr>
            <w:tcW w:w="233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(16,133,077</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(18,448,714</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(16,143,466</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(17,418,317</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(17,211,609</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(2,357,981</w:t>
            </w:r>
          </w:p>
        </w:tc>
        <w:tc>
          <w:tcPr>
            <w:tcW w:w="14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r>
      <w:tr>
        <w:trPr/>
        <w:tc>
          <w:tcPr>
            <w:tcW w:w="2330"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Other operating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707,855</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924,579</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724,832</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801,560</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915,208</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125,383</w:t>
            </w:r>
          </w:p>
        </w:tc>
        <w:tc>
          <w:tcPr>
            <w:tcW w:w="140" w:type="dxa"/>
            <w:tcBorders/>
            <w:shd w:fill="CCEEFF" w:val="clear"/>
            <w:vAlign w:val="center"/>
          </w:tcPr>
          <w:p>
            <w:pPr>
              <w:pStyle w:val="TableContents"/>
              <w:bidi w:val="0"/>
              <w:spacing w:lineRule="atLeast" w:line="200" w:before="0" w:after="0"/>
              <w:jc w:val="left"/>
              <w:rPr/>
            </w:pPr>
            <w:r>
              <w:rPr/>
              <w:t> </w:t>
            </w:r>
          </w:p>
        </w:tc>
      </w:tr>
      <w:tr>
        <w:trPr/>
        <w:tc>
          <w:tcPr>
            <w:tcW w:w="233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Income from operations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5,860,086</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5,582,422</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6,197,446</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9,104,135</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9,173,253</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1,256,730</w:t>
            </w:r>
          </w:p>
        </w:tc>
        <w:tc>
          <w:tcPr>
            <w:tcW w:w="140" w:type="dxa"/>
            <w:tcBorders/>
            <w:vAlign w:val="center"/>
          </w:tcPr>
          <w:p>
            <w:pPr>
              <w:pStyle w:val="TableContents"/>
              <w:bidi w:val="0"/>
              <w:spacing w:lineRule="atLeast" w:line="200" w:before="0" w:after="0"/>
              <w:jc w:val="left"/>
              <w:rPr/>
            </w:pPr>
            <w:r>
              <w:rPr/>
              <w:t> </w:t>
            </w:r>
          </w:p>
        </w:tc>
      </w:tr>
      <w:tr>
        <w:trPr/>
        <w:tc>
          <w:tcPr>
            <w:tcW w:w="2330"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Income before income taxes and share of (loss)/income of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7,019,357</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5,873,275</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8,077,204</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9,987,002</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9,987,480</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1,368,278</w:t>
            </w:r>
          </w:p>
        </w:tc>
        <w:tc>
          <w:tcPr>
            <w:tcW w:w="140" w:type="dxa"/>
            <w:tcBorders/>
            <w:shd w:fill="CCEEFF" w:val="clear"/>
            <w:vAlign w:val="center"/>
          </w:tcPr>
          <w:p>
            <w:pPr>
              <w:pStyle w:val="TableContents"/>
              <w:bidi w:val="0"/>
              <w:spacing w:lineRule="atLeast" w:line="200" w:before="0" w:after="0"/>
              <w:jc w:val="left"/>
              <w:rPr/>
            </w:pPr>
            <w:r>
              <w:rPr/>
              <w:t> </w:t>
            </w:r>
          </w:p>
        </w:tc>
      </w:tr>
      <w:tr>
        <w:trPr/>
        <w:tc>
          <w:tcPr>
            <w:tcW w:w="233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Income tax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(1,130,016</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(1,222,704</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(1,758,810</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(1,866,004</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(2,315,515</w:t>
            </w:r>
          </w:p>
        </w:tc>
        <w:tc>
          <w:tcPr>
            <w:tcW w:w="12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(317,224</w:t>
            </w:r>
          </w:p>
        </w:tc>
        <w:tc>
          <w:tcPr>
            <w:tcW w:w="14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r>
      <w:tr>
        <w:trPr/>
        <w:tc>
          <w:tcPr>
            <w:tcW w:w="2330"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Share of (loss)/income of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30,015</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42,303</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(6,559</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80,301</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166,980</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22,876</w:t>
            </w:r>
          </w:p>
        </w:tc>
        <w:tc>
          <w:tcPr>
            <w:tcW w:w="140" w:type="dxa"/>
            <w:tcBorders/>
            <w:shd w:fill="CCEEFF" w:val="clear"/>
            <w:vAlign w:val="center"/>
          </w:tcPr>
          <w:p>
            <w:pPr>
              <w:pStyle w:val="TableContents"/>
              <w:bidi w:val="0"/>
              <w:spacing w:lineRule="atLeast" w:line="200" w:before="0" w:after="0"/>
              <w:jc w:val="left"/>
              <w:rPr/>
            </w:pPr>
            <w:r>
              <w:rPr/>
              <w:t> </w:t>
            </w:r>
          </w:p>
        </w:tc>
      </w:tr>
      <w:tr>
        <w:trPr/>
        <w:tc>
          <w:tcPr>
            <w:tcW w:w="233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5,919,356</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4,692,874</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6,311,835</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8,201,299</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7,838,945</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1,073,930</w:t>
            </w:r>
          </w:p>
        </w:tc>
        <w:tc>
          <w:tcPr>
            <w:tcW w:w="140" w:type="dxa"/>
            <w:tcBorders/>
            <w:vAlign w:val="center"/>
          </w:tcPr>
          <w:p>
            <w:pPr>
              <w:pStyle w:val="TableContents"/>
              <w:bidi w:val="0"/>
              <w:spacing w:lineRule="atLeast" w:line="200" w:before="0" w:after="0"/>
              <w:jc w:val="left"/>
              <w:rPr/>
            </w:pPr>
            <w:r>
              <w:rPr/>
              <w:t> </w:t>
            </w:r>
          </w:p>
        </w:tc>
      </w:tr>
      <w:tr>
        <w:trPr/>
        <w:tc>
          <w:tcPr>
            <w:tcW w:w="2330"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(12,399</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(11,801</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(13,019</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(84,675</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(99,010</w:t>
            </w:r>
          </w:p>
        </w:tc>
        <w:tc>
          <w:tcPr>
            <w:tcW w:w="125"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(13,564</w:t>
            </w:r>
          </w:p>
        </w:tc>
        <w:tc>
          <w:tcPr>
            <w:tcW w:w="140"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w:t>
            </w:r>
          </w:p>
        </w:tc>
      </w:tr>
      <w:tr>
        <w:trPr/>
        <w:tc>
          <w:tcPr>
            <w:tcW w:w="233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Net income attributable to our shareholders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5,906,957</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4,681,073</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6,298,816</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8,116,624</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7,739,935</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1,060,366</w:t>
            </w:r>
          </w:p>
        </w:tc>
        <w:tc>
          <w:tcPr>
            <w:tcW w:w="140" w:type="dxa"/>
            <w:tcBorders/>
            <w:vAlign w:val="center"/>
          </w:tcPr>
          <w:p>
            <w:pPr>
              <w:pStyle w:val="TableContents"/>
              <w:bidi w:val="0"/>
              <w:spacing w:lineRule="atLeast" w:line="200" w:before="0" w:after="0"/>
              <w:jc w:val="left"/>
              <w:rPr/>
            </w:pPr>
            <w:r>
              <w:rPr/>
              <w:t> </w:t>
            </w:r>
          </w:p>
        </w:tc>
      </w:tr>
      <w:tr>
        <w:trPr/>
        <w:tc>
          <w:tcPr>
            <w:tcW w:w="2330"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Shares used in calculating earnings per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233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Class A and Class B ordinary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2330" w:type="dxa"/>
            <w:tcBorders/>
            <w:shd w:fill="CCEEFF" w:val="clear"/>
            <w:vAlign w:val="center"/>
          </w:tcPr>
          <w:p>
            <w:pPr>
              <w:pStyle w:val="TableContents"/>
              <w:bidi w:val="0"/>
              <w:spacing w:lineRule="atLeast" w:line="200" w:before="0" w:after="0"/>
              <w:jc w:val="left"/>
              <w:rPr/>
            </w:pPr>
            <w:r>
              <w:rPr/>
              <w:t>—</w:t>
            </w:r>
            <w:r>
              <w:rPr>
                <w:rFonts w:ascii="Times New Roman" w:hAnsi="Times New Roman"/>
                <w:sz w:val="20"/>
              </w:rPr>
              <w:t>Basic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135,077,790</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136,175,112</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127,235,048</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110,695,778</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106,074,914</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106,074,914</w:t>
            </w:r>
          </w:p>
        </w:tc>
        <w:tc>
          <w:tcPr>
            <w:tcW w:w="140" w:type="dxa"/>
            <w:tcBorders/>
            <w:shd w:fill="CCEEFF" w:val="clear"/>
            <w:vAlign w:val="center"/>
          </w:tcPr>
          <w:p>
            <w:pPr>
              <w:pStyle w:val="TableContents"/>
              <w:bidi w:val="0"/>
              <w:spacing w:lineRule="atLeast" w:line="200" w:before="0" w:after="0"/>
              <w:jc w:val="left"/>
              <w:rPr/>
            </w:pPr>
            <w:r>
              <w:rPr/>
              <w:t> </w:t>
            </w:r>
          </w:p>
        </w:tc>
      </w:tr>
      <w:tr>
        <w:trPr/>
        <w:tc>
          <w:tcPr>
            <w:tcW w:w="2330" w:type="dxa"/>
            <w:tcBorders/>
            <w:vAlign w:val="center"/>
          </w:tcPr>
          <w:p>
            <w:pPr>
              <w:pStyle w:val="TableContents"/>
              <w:bidi w:val="0"/>
              <w:spacing w:lineRule="atLeast" w:line="200" w:before="0" w:after="0"/>
              <w:jc w:val="left"/>
              <w:rPr/>
            </w:pPr>
            <w:r>
              <w:rPr/>
              <w:t>—</w:t>
            </w:r>
            <w:r>
              <w:rPr>
                <w:rFonts w:ascii="Times New Roman" w:hAnsi="Times New Roman"/>
                <w:sz w:val="20"/>
              </w:rPr>
              <w:t>Diluted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138,036,010</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138,745,022</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128,157,304</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112,552,398</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107,855,806</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107,855,806</w:t>
            </w:r>
          </w:p>
        </w:tc>
        <w:tc>
          <w:tcPr>
            <w:tcW w:w="140" w:type="dxa"/>
            <w:tcBorders/>
            <w:vAlign w:val="center"/>
          </w:tcPr>
          <w:p>
            <w:pPr>
              <w:pStyle w:val="TableContents"/>
              <w:bidi w:val="0"/>
              <w:spacing w:lineRule="atLeast" w:line="200" w:before="0" w:after="0"/>
              <w:jc w:val="left"/>
              <w:rPr/>
            </w:pPr>
            <w:r>
              <w:rPr/>
              <w:t> </w:t>
            </w:r>
          </w:p>
        </w:tc>
      </w:tr>
      <w:tr>
        <w:trPr/>
        <w:tc>
          <w:tcPr>
            <w:tcW w:w="2330" w:type="dxa"/>
            <w:tcBorders/>
            <w:shd w:fill="CCEEFF" w:val="clear"/>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Net earnings per Class A and Class B ordinary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2330" w:type="dxa"/>
            <w:tcBorders/>
            <w:vAlign w:val="center"/>
          </w:tcPr>
          <w:p>
            <w:pPr>
              <w:pStyle w:val="TableContents"/>
              <w:bidi w:val="0"/>
              <w:spacing w:lineRule="atLeast" w:line="200" w:before="0" w:after="0"/>
              <w:jc w:val="left"/>
              <w:rPr/>
            </w:pPr>
            <w:r>
              <w:rPr/>
              <w:t>—</w:t>
            </w: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43.73</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34.38</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49.51</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73.32</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72.97</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10.00</w:t>
            </w:r>
          </w:p>
        </w:tc>
        <w:tc>
          <w:tcPr>
            <w:tcW w:w="140" w:type="dxa"/>
            <w:tcBorders/>
            <w:vAlign w:val="center"/>
          </w:tcPr>
          <w:p>
            <w:pPr>
              <w:pStyle w:val="TableContents"/>
              <w:bidi w:val="0"/>
              <w:spacing w:lineRule="atLeast" w:line="200" w:before="0" w:after="0"/>
              <w:jc w:val="left"/>
              <w:rPr/>
            </w:pPr>
            <w:r>
              <w:rPr/>
              <w:t> </w:t>
            </w:r>
          </w:p>
        </w:tc>
      </w:tr>
      <w:tr>
        <w:trPr/>
        <w:tc>
          <w:tcPr>
            <w:tcW w:w="2330" w:type="dxa"/>
            <w:tcBorders/>
            <w:shd w:fill="CCEEFF" w:val="clear"/>
            <w:vAlign w:val="center"/>
          </w:tcPr>
          <w:p>
            <w:pPr>
              <w:pStyle w:val="TableContents"/>
              <w:bidi w:val="0"/>
              <w:spacing w:lineRule="atLeast" w:line="200" w:before="0" w:after="0"/>
              <w:jc w:val="left"/>
              <w:rPr/>
            </w:pPr>
            <w:r>
              <w:rPr/>
              <w:t>—</w:t>
            </w: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42.79</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33.74</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49.15</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72.11</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71.76</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9.83</w:t>
            </w:r>
          </w:p>
        </w:tc>
        <w:tc>
          <w:tcPr>
            <w:tcW w:w="140" w:type="dxa"/>
            <w:tcBorders/>
            <w:shd w:fill="CCEEFF" w:val="clear"/>
            <w:vAlign w:val="center"/>
          </w:tcPr>
          <w:p>
            <w:pPr>
              <w:pStyle w:val="TableContents"/>
              <w:bidi w:val="0"/>
              <w:spacing w:lineRule="atLeast" w:line="200" w:before="0" w:after="0"/>
              <w:jc w:val="left"/>
              <w:rPr/>
            </w:pPr>
            <w:r>
              <w:rPr/>
              <w:t> </w:t>
            </w:r>
          </w:p>
        </w:tc>
      </w:tr>
      <w:tr>
        <w:trPr/>
        <w:tc>
          <w:tcPr>
            <w:tcW w:w="2330" w:type="dxa"/>
            <w:tcBorders/>
            <w:vAlign w:val="center"/>
          </w:tcPr>
          <w:p>
            <w:pPr>
              <w:pStyle w:val="TableContents"/>
              <w:bidi w:val="0"/>
              <w:spacing w:lineRule="atLeast" w:line="142" w:before="0" w:after="0"/>
              <w:jc w:val="left"/>
              <w:rPr>
                <w:rFonts w:ascii="Times New Roman" w:hAnsi="Times New Roman"/>
                <w:sz w:val="20"/>
              </w:rPr>
            </w:pPr>
            <w:r>
              <w:rPr>
                <w:rFonts w:ascii="Times New Roman" w:hAnsi="Times New Roman"/>
                <w:sz w:val="20"/>
              </w:rPr>
              <w:t>Net earnings per ADS(4)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2330" w:type="dxa"/>
            <w:tcBorders/>
            <w:shd w:fill="CCEEFF" w:val="clear"/>
            <w:vAlign w:val="center"/>
          </w:tcPr>
          <w:p>
            <w:pPr>
              <w:pStyle w:val="TableContents"/>
              <w:bidi w:val="0"/>
              <w:spacing w:lineRule="atLeast" w:line="200" w:before="0" w:after="0"/>
              <w:jc w:val="left"/>
              <w:rPr/>
            </w:pPr>
            <w:r>
              <w:rPr/>
              <w:t>—</w:t>
            </w:r>
            <w:r>
              <w:rPr>
                <w:rFonts w:ascii="Times New Roman" w:hAnsi="Times New Roman"/>
                <w:sz w:val="20"/>
              </w:rPr>
              <w:t>Basic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8.75</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6.88</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9.90</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14.66</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14.59</w:t>
            </w:r>
          </w:p>
        </w:tc>
        <w:tc>
          <w:tcPr>
            <w:tcW w:w="125" w:type="dxa"/>
            <w:tcBorders/>
            <w:shd w:fill="CCEEFF" w:val="clear"/>
            <w:vAlign w:val="center"/>
          </w:tcPr>
          <w:p>
            <w:pPr>
              <w:pStyle w:val="TableContents"/>
              <w:bidi w:val="0"/>
              <w:spacing w:lineRule="atLeast" w:line="200"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200" w:before="0" w:after="0"/>
              <w:jc w:val="left"/>
              <w:rPr/>
            </w:pPr>
            <w:r>
              <w:rPr/>
              <w:t> </w:t>
            </w:r>
          </w:p>
        </w:tc>
        <w:tc>
          <w:tcPr>
            <w:tcW w:w="1055" w:type="dxa"/>
            <w:tcBorders/>
            <w:shd w:fill="CCEEFF" w:val="clear"/>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2.00</w:t>
            </w:r>
          </w:p>
        </w:tc>
        <w:tc>
          <w:tcPr>
            <w:tcW w:w="140" w:type="dxa"/>
            <w:tcBorders/>
            <w:shd w:fill="CCEEFF" w:val="clear"/>
            <w:vAlign w:val="center"/>
          </w:tcPr>
          <w:p>
            <w:pPr>
              <w:pStyle w:val="TableContents"/>
              <w:bidi w:val="0"/>
              <w:spacing w:lineRule="atLeast" w:line="200" w:before="0" w:after="0"/>
              <w:jc w:val="left"/>
              <w:rPr/>
            </w:pPr>
            <w:r>
              <w:rPr/>
              <w:t> </w:t>
            </w:r>
          </w:p>
        </w:tc>
      </w:tr>
      <w:tr>
        <w:trPr/>
        <w:tc>
          <w:tcPr>
            <w:tcW w:w="2330" w:type="dxa"/>
            <w:tcBorders/>
            <w:vAlign w:val="center"/>
          </w:tcPr>
          <w:p>
            <w:pPr>
              <w:pStyle w:val="TableContents"/>
              <w:bidi w:val="0"/>
              <w:spacing w:lineRule="atLeast" w:line="200" w:before="0" w:after="0"/>
              <w:jc w:val="left"/>
              <w:rPr/>
            </w:pPr>
            <w:r>
              <w:rPr/>
              <w:t>—</w:t>
            </w:r>
            <w:r>
              <w:rPr>
                <w:rFonts w:ascii="Times New Roman" w:hAnsi="Times New Roman"/>
                <w:sz w:val="20"/>
              </w:rPr>
              <w:t>Diluted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8.56</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6.75</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9.83</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14.42</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14.35</w:t>
            </w:r>
          </w:p>
        </w:tc>
        <w:tc>
          <w:tcPr>
            <w:tcW w:w="125" w:type="dxa"/>
            <w:tcBorders/>
            <w:vAlign w:val="center"/>
          </w:tcPr>
          <w:p>
            <w:pPr>
              <w:pStyle w:val="TableContents"/>
              <w:bidi w:val="0"/>
              <w:spacing w:lineRule="atLeast" w:line="20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00" w:before="0" w:after="0"/>
              <w:jc w:val="left"/>
              <w:rPr/>
            </w:pPr>
            <w:r>
              <w:rPr/>
              <w:t> </w:t>
            </w:r>
          </w:p>
        </w:tc>
        <w:tc>
          <w:tcPr>
            <w:tcW w:w="1055" w:type="dxa"/>
            <w:tcBorders/>
            <w:vAlign w:val="center"/>
          </w:tcPr>
          <w:p>
            <w:pPr>
              <w:pStyle w:val="TableContents"/>
              <w:bidi w:val="0"/>
              <w:spacing w:lineRule="atLeast" w:line="200" w:before="0" w:after="0"/>
              <w:jc w:val="right"/>
              <w:rPr>
                <w:rFonts w:ascii="Times New Roman" w:hAnsi="Times New Roman"/>
                <w:sz w:val="20"/>
              </w:rPr>
            </w:pPr>
            <w:r>
              <w:rPr>
                <w:rFonts w:ascii="Times New Roman" w:hAnsi="Times New Roman"/>
                <w:sz w:val="20"/>
              </w:rPr>
              <w:t>1.97</w:t>
            </w:r>
          </w:p>
        </w:tc>
        <w:tc>
          <w:tcPr>
            <w:tcW w:w="140" w:type="dxa"/>
            <w:tcBorders/>
            <w:vAlign w:val="center"/>
          </w:tcPr>
          <w:p>
            <w:pPr>
              <w:pStyle w:val="TableContents"/>
              <w:bidi w:val="0"/>
              <w:spacing w:lineRule="atLeast" w:line="200" w:before="0" w:after="0"/>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Notes: </w:t>
      </w:r>
    </w:p>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305"/>
        <w:gridCol w:w="3470"/>
      </w:tblGrid>
      <w:tr>
        <w:trPr/>
        <w:tc>
          <w:tcPr>
            <w:tcW w:w="305" w:type="dxa"/>
            <w:tcBorders/>
            <w:vAlign w:val="center"/>
          </w:tcPr>
          <w:p>
            <w:pPr>
              <w:pStyle w:val="TableContents"/>
              <w:bidi w:val="0"/>
              <w:spacing w:before="0" w:after="283"/>
              <w:jc w:val="left"/>
              <w:rPr/>
            </w:pPr>
            <w:r>
              <w:rPr/>
              <w:t>(1)</w:t>
            </w:r>
          </w:p>
        </w:tc>
        <w:tc>
          <w:tcPr>
            <w:tcW w:w="3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 shipping and handling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870" w:type="dxa"/>
        <w:jc w:val="left"/>
        <w:tblInd w:w="0" w:type="dxa"/>
        <w:tblLayout w:type="fixed"/>
        <w:tblCellMar>
          <w:top w:w="0" w:type="dxa"/>
          <w:left w:w="0" w:type="dxa"/>
          <w:bottom w:w="0" w:type="dxa"/>
          <w:right w:w="0" w:type="dxa"/>
        </w:tblCellMar>
      </w:tblPr>
      <w:tblGrid>
        <w:gridCol w:w="305"/>
        <w:gridCol w:w="4565"/>
      </w:tblGrid>
      <w:tr>
        <w:trPr/>
        <w:tc>
          <w:tcPr>
            <w:tcW w:w="305" w:type="dxa"/>
            <w:tcBorders/>
            <w:vAlign w:val="center"/>
          </w:tcPr>
          <w:p>
            <w:pPr>
              <w:pStyle w:val="TableContents"/>
              <w:bidi w:val="0"/>
              <w:spacing w:before="0" w:after="283"/>
              <w:jc w:val="left"/>
              <w:rPr/>
            </w:pPr>
            <w:r>
              <w:rPr/>
              <w:t>(2)</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 share-based compensation expenses as follows: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0"/>
        <w:gridCol w:w="60"/>
        <w:gridCol w:w="60"/>
        <w:gridCol w:w="875"/>
        <w:gridCol w:w="155"/>
        <w:gridCol w:w="60"/>
        <w:gridCol w:w="60"/>
        <w:gridCol w:w="1055"/>
        <w:gridCol w:w="155"/>
        <w:gridCol w:w="60"/>
        <w:gridCol w:w="60"/>
        <w:gridCol w:w="1055"/>
        <w:gridCol w:w="155"/>
        <w:gridCol w:w="60"/>
        <w:gridCol w:w="60"/>
        <w:gridCol w:w="1055"/>
        <w:gridCol w:w="155"/>
        <w:gridCol w:w="60"/>
        <w:gridCol w:w="60"/>
        <w:gridCol w:w="1055"/>
        <w:gridCol w:w="155"/>
        <w:gridCol w:w="60"/>
        <w:gridCol w:w="60"/>
        <w:gridCol w:w="875"/>
        <w:gridCol w:w="170"/>
      </w:tblGrid>
      <w:tr>
        <w:trPr/>
        <w:tc>
          <w:tcPr>
            <w:tcW w:w="2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5" w:type="dxa"/>
            <w:gridSpan w:val="22"/>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Fulfillment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(100,486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(88,985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(74,063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(77,926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(84,079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(11,519</w:t>
            </w:r>
          </w:p>
        </w:tc>
        <w:tc>
          <w:tcPr>
            <w:tcW w:w="170"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Marketing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(16,534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(26,834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(14,630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(33,379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(31,215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(4,276</w:t>
            </w:r>
          </w:p>
        </w:tc>
        <w:tc>
          <w:tcPr>
            <w:tcW w:w="17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Technology and content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(152,234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(252,730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(242,714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(330,197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(382,308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(52,376</w:t>
            </w:r>
          </w:p>
        </w:tc>
        <w:tc>
          <w:tcPr>
            <w:tcW w:w="170"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(681,794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(641,464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(876,174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(1,068,304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(1,040,138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(142,498</w:t>
            </w:r>
          </w:p>
        </w:tc>
        <w:tc>
          <w:tcPr>
            <w:tcW w:w="17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(951,048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(1,010,013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(1,207,581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(1,509,806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(1,537,740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(210,669</w:t>
            </w:r>
          </w:p>
        </w:tc>
        <w:tc>
          <w:tcPr>
            <w:tcW w:w="170"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 shipping and handling expenses, which amounted to RMB4.51 billion for the year ended December 31, 2020, RMB5.24 billion for the year ended December 31, 2021, RMB5.06 billion for the year ended December 31, 2022, RMB5.84 billion for the year ended December 31, 2023 and RMB5.82 billion (US$797.7 million) for the year ended December 31, 2024. </w:t>
            </w:r>
          </w:p>
        </w:tc>
      </w:tr>
    </w:tbl>
    <w:tbl>
      <w:tblPr>
        <w:tblW w:w="4345" w:type="dxa"/>
        <w:jc w:val="left"/>
        <w:tblInd w:w="0" w:type="dxa"/>
        <w:tblLayout w:type="fixed"/>
        <w:tblCellMar>
          <w:top w:w="0" w:type="dxa"/>
          <w:left w:w="0" w:type="dxa"/>
          <w:bottom w:w="0" w:type="dxa"/>
          <w:right w:w="0" w:type="dxa"/>
        </w:tblCellMar>
      </w:tblPr>
      <w:tblGrid>
        <w:gridCol w:w="305"/>
        <w:gridCol w:w="4040"/>
      </w:tblGrid>
      <w:tr>
        <w:trPr/>
        <w:tc>
          <w:tcPr>
            <w:tcW w:w="305" w:type="dxa"/>
            <w:tcBorders/>
            <w:vAlign w:val="center"/>
          </w:tcPr>
          <w:p>
            <w:pPr>
              <w:pStyle w:val="TableContents"/>
              <w:bidi w:val="0"/>
              <w:spacing w:before="0" w:after="283"/>
              <w:jc w:val="left"/>
              <w:rPr/>
            </w:pPr>
            <w:r>
              <w:rPr/>
              <w:t>(4)</w:t>
            </w:r>
          </w:p>
        </w:tc>
        <w:tc>
          <w:tcPr>
            <w:tcW w:w="4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ADS represents 0.2 Class A ordinary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40"/>
        <w:gridCol w:w="60"/>
        <w:gridCol w:w="60"/>
        <w:gridCol w:w="1100"/>
        <w:gridCol w:w="155"/>
        <w:gridCol w:w="60"/>
        <w:gridCol w:w="60"/>
        <w:gridCol w:w="1100"/>
        <w:gridCol w:w="155"/>
        <w:gridCol w:w="60"/>
        <w:gridCol w:w="60"/>
        <w:gridCol w:w="1100"/>
        <w:gridCol w:w="155"/>
        <w:gridCol w:w="60"/>
        <w:gridCol w:w="60"/>
        <w:gridCol w:w="1100"/>
        <w:gridCol w:w="155"/>
        <w:gridCol w:w="60"/>
        <w:gridCol w:w="60"/>
        <w:gridCol w:w="1100"/>
        <w:gridCol w:w="155"/>
        <w:gridCol w:w="60"/>
        <w:gridCol w:w="60"/>
        <w:gridCol w:w="1100"/>
        <w:gridCol w:w="17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5"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35" w:type="dxa"/>
            <w:gridSpan w:val="22"/>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Selected Consolidated Balance Sheets Data: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12,811,321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17,171,269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23,103,401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26,297,366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26,954,503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3,692,752</w:t>
            </w:r>
          </w:p>
        </w:tc>
        <w:tc>
          <w:tcPr>
            <w:tcW w:w="170"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31,172,982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32,841,945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33,734,433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37,560,598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37,802,559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5,178,930</w:t>
            </w:r>
          </w:p>
        </w:tc>
        <w:tc>
          <w:tcPr>
            <w:tcW w:w="170"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58,940,814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62,287,541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65,475,510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72,322,594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74,936,126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10,266,208</w:t>
            </w:r>
          </w:p>
        </w:tc>
        <w:tc>
          <w:tcPr>
            <w:tcW w:w="170"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29,555,025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28,459,225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31,402,467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33,762,836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33,386,897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4,573,986</w:t>
            </w:r>
          </w:p>
        </w:tc>
        <w:tc>
          <w:tcPr>
            <w:tcW w:w="170"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29,385,789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33,828,316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34,073,043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38,559,758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41,549,229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5,692,222</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260"/>
        <w:gridCol w:w="2780"/>
      </w:tblGrid>
      <w:tr>
        <w:trPr/>
        <w:tc>
          <w:tcPr>
            <w:tcW w:w="260" w:type="dxa"/>
            <w:tcBorders/>
            <w:vAlign w:val="center"/>
          </w:tcPr>
          <w:p>
            <w:pPr>
              <w:pStyle w:val="TableContents"/>
              <w:bidi w:val="0"/>
              <w:spacing w:before="0" w:after="283"/>
              <w:jc w:val="left"/>
              <w:rPr>
                <w:b/>
              </w:rPr>
            </w:pPr>
            <w:r>
              <w:rPr>
                <w:b/>
              </w:rPr>
              <w:t>B.</w:t>
            </w:r>
          </w:p>
        </w:tc>
        <w:tc>
          <w:tcPr>
            <w:tcW w:w="27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Capitalization and Indebtedness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865" w:type="dxa"/>
        <w:jc w:val="left"/>
        <w:tblInd w:w="0" w:type="dxa"/>
        <w:tblLayout w:type="fixed"/>
        <w:tblCellMar>
          <w:top w:w="0" w:type="dxa"/>
          <w:left w:w="0" w:type="dxa"/>
          <w:bottom w:w="0" w:type="dxa"/>
          <w:right w:w="0" w:type="dxa"/>
        </w:tblCellMar>
      </w:tblPr>
      <w:tblGrid>
        <w:gridCol w:w="275"/>
        <w:gridCol w:w="3590"/>
      </w:tblGrid>
      <w:tr>
        <w:trPr/>
        <w:tc>
          <w:tcPr>
            <w:tcW w:w="275" w:type="dxa"/>
            <w:tcBorders/>
            <w:vAlign w:val="center"/>
          </w:tcPr>
          <w:p>
            <w:pPr>
              <w:pStyle w:val="TableContents"/>
              <w:bidi w:val="0"/>
              <w:spacing w:before="0" w:after="283"/>
              <w:jc w:val="left"/>
              <w:rPr>
                <w:b/>
              </w:rPr>
            </w:pPr>
            <w:r>
              <w:rPr>
                <w:b/>
              </w:rPr>
              <w:t>C.</w:t>
            </w:r>
          </w:p>
        </w:tc>
        <w:tc>
          <w:tcPr>
            <w:tcW w:w="35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Reasons for the Offer and Use of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1420" w:type="dxa"/>
        <w:jc w:val="left"/>
        <w:tblInd w:w="0" w:type="dxa"/>
        <w:tblLayout w:type="fixed"/>
        <w:tblCellMar>
          <w:top w:w="0" w:type="dxa"/>
          <w:left w:w="0" w:type="dxa"/>
          <w:bottom w:w="0" w:type="dxa"/>
          <w:right w:w="0" w:type="dxa"/>
        </w:tblCellMar>
      </w:tblPr>
      <w:tblGrid>
        <w:gridCol w:w="275"/>
        <w:gridCol w:w="1145"/>
      </w:tblGrid>
      <w:tr>
        <w:trPr/>
        <w:tc>
          <w:tcPr>
            <w:tcW w:w="275" w:type="dxa"/>
            <w:tcBorders/>
            <w:vAlign w:val="center"/>
          </w:tcPr>
          <w:p>
            <w:pPr>
              <w:pStyle w:val="TableContents"/>
              <w:bidi w:val="0"/>
              <w:spacing w:before="0" w:after="283"/>
              <w:jc w:val="left"/>
              <w:rPr>
                <w:b/>
              </w:rPr>
            </w:pPr>
            <w:r>
              <w:rPr>
                <w:b/>
              </w:rPr>
              <w:t>D.</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Risk Factors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Summary of Risk Factors </w:t>
      </w:r>
    </w:p>
    <w:p>
      <w:pPr>
        <w:pStyle w:val="TextBody"/>
        <w:bidi w:val="0"/>
        <w:spacing w:before="120" w:after="0"/>
        <w:jc w:val="left"/>
        <w:rPr>
          <w:rFonts w:ascii="Times New Roman" w:hAnsi="Times New Roman"/>
          <w:sz w:val="20"/>
        </w:rPr>
      </w:pPr>
      <w:r>
        <w:rPr>
          <w:rFonts w:ascii="Times New Roman" w:hAnsi="Times New Roman"/>
          <w:sz w:val="20"/>
        </w:rPr>
        <w:t xml:space="preserve">An investment in our ADSs involves significant risks. The operational and legal risks as well as the potential consequences associated with having operations in mainland China as discussed in the risk factors under “Item 3. Key Information—D. Risk Factors—Risks Relating to Our Business and Industry” also apply to any operations that we may have in Hong Kong. Below is a summary of material risks that we face, organized under headings. These risks are discussed more fully in “Item 3. Key Information—D. Risk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Risks Relating to Our Business and Industry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manage our growth or execute our strategies effectively, our business and prospects may be materially and adversely affected.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unable to offer branded products at attractive prices to meet customer needs and preferences, or if our reputation for selling authentic, high-quality products suffers, we may lose customers and our business, financial condition, and results of operations may be materially and adversely affected.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and results of operations may be materially and adversely affected if we are unable to maintain our customer experience or provide high-quality customer service.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harm to our brand or failure to maintain our reputation may materially and adversely affect our business and growth prospects.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fail to manage our relationships with, or otherwise fail to procure products at favorable terms from, our existing brand partners, or if we fail to attract new brand partners, our business and growth prospects may suffer.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primarily rely on third-party delivery companies for our product order fulfillment, and if these third-party delivery companies fail to provide reliable delivery services, our business and reputation may be materially and adversely affected.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do not compete effectively against existing or new competitors, we may lose market share and customers.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suffer losses if we are unable to effectively manage our inventory.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are subject to higher than expected product return rate, our business, financial condition, and results of operations may be materially and adversely affected.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incur liability for counterfeit or unauthorized products sold or information posted on our platforms.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is subject to complex and evolving laws and regulations regarding cybersecurity and data privacy. Any failure to comply with these laws and regulations could result in claims, changes to our business practices, negative publicity, increased cost of operation, or declines in user growth or engagement, or otherwise harm our business.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Relating to Our Corporate Structure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Substantial uncertainties and restrictions exist with respect to the interpretation and application of PRC laws and regulations relating to online commerce and provision of internet content in China. If the PRC government finds that the structure we have adopted for our business operations does not comply with PRC laws and regulations, we could be subject to severe penalties, including shut-down of our Vipshop Online Platform. For more details, see “Item 3. Key Information—D. Risk Factors—Risks Relating to Our Corporate Structure—Substantial uncertainties and restrictions exist with respect to the interpretation and application of PRC laws and regulations relating to online commerce and provision of internet content in China. If the PRC government finds that the structure we have adopted for our business operations does not comply with PRC laws and regulations, we could be subject to severe penalties, including shut-down of our Vipshop Online Platform” on page 41 of this annual report.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rely on contractual arrangements with the consolidated variable interest entities and their respective shareholders for the operation of our business, which may not be as effective as direct ownership. If the consolidated variable interest entities and their respective shareholders fail to perform their obligations under these contractual arrangements, we may have to resort to arbitration or litigation to enforce our rights, which may be time-consuming, unpredictable, expensive, and damaging to our operations and reputation. For more details, see “Item 3. Key Information—D. Risk Factors—Risks Relating to Our Corporate Structure—We rely on contractual arrangements with the consolidated variable interest entities and their respective shareholders for the operation of our business, which may not be as effective as direct ownership. If the consolidated variable interest entities and their respective shareholders fail to perform their obligations under these contractual arrangements, we may have to resort to arbitration or litigation to enforce our rights, which may be time-consuming, unpredictable, expensive, and damaging to our operations and reputation” on page 43 of this annual report.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shareholders of the significant consolidated variable interest entity have potential conflict of interest with us, which may adversely affect our business. For more details, see “Item 3. Key Information—D. Risk Factors—Risks Relating to Our Corporate Structure—The shareholders of the significant consolidated variable interest entity have potential conflict of interest with us, which may adversely affect our business” on page 43 of this annual report.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Relating to Doing Business in China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China’s economic, political or social conditions, or government policies could materially and adversely affect our business and operations. For more details, see “Item 3. Key Information—D. Risk Factors—Risks Relating to Doing Business in China—Changes in China’s economic, political or social conditions, or government policies could materially and adversely affect our business and operations” on page 46 of this annual report.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Uncertainties with respect to the PRC legal system could adversely affect us. Since the PRC legal system may still be evolving, certain laws and regulations may evolve quickly with little advance notice, and the interpretation and enforcement of these laws and regulations may involve uncertainties and could limit the legal protections available to you and us. For more details, see “Item 3. Key Information—D. Risk Factors—Risks Relating to Doing Business in China—Uncertainties with respect to the PRC legal system could adversely affect us” on page 46 of this annual report.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majority of our business operations are conducted in China, and we are subject to complex and evolving PRC laws and regulations. PRC government has significant oversight and discretion over the conduct of our business, and may intervene or influence our operations as the government deems appropriate to advance regulatory and societal goals and policy positions. The PRC government’s significant oversight and discretion over our business operations could result in a material adverse change in our operations and the value of our ADSs. For more details, see “Item 3. Key Information—D. Risk Factors—Risks Relating to Doing Business in China—The PRC government’s significant oversight and discretion over our business operations could result in a material adverse change in our operations and the value of our ADSs” on page 46 of this annual report.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PCAOB had historically been unable to inspect our auditor in relation to their audit work performed for our financial statements and the inability of the PCAOB to conduct inspections of our auditor in the past has deprived our investors with the benefits of such inspections. For more details, see “Item 3. Key Information—D. Risk Factors—Risks Relating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on page 47 of this annual report.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For more details, see “Item 3. Key Information—D. Risk Factors—Risks Relating to Doing Business in China—Our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on page 47 of this annual report.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PRC government may exert more control over offerings conducted overseas by and/or foreign investment in our company, which could result in a material change in our operations and/or the value of our securities. Any actions by the PRC government to exert more oversight and control over offshore offerings could significantly limit or completely hinder our ability to offer or continue to offer securities to investors and cause the value of such securities to significantly decline or become worthless. The approval of, filing with, and other administrative requirements of, the CSRC or other PRC government authorities may be required in connection with our future overseas offerings or future issuance of securities abroad under the PRC law, and, if required, we cannot predict whether or for how long we will be able to obtain such approval or complete such filing. For more details, see “Item 3. Key Information—D. Risk Factors—Risks Relating to Doing Business in China—The approval of, filing with, and other administrative requirements of, the CSRC or other PRC government authorities may be required in connection with our future overseas offerings or future issuance of securities abroad under the PRC law, and, if required, we cannot predict whether or for how long we will be able to obtain such approval or complete such filing” on page 48 of this annual report.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may be adversely affected by the complexity, uncertainties, and changes in PRC regulation of internet-related businesses and companies, including e-commerce business. For more details, see “Item 3. Key Information—D. Risk Factors—Risks Relating to Doing Business in China—We may be adversely affected by the complexity, uncertainties, and changes in PRC regulation of internet-related businesses and companies, including e-commerce business” on page 49 of this annual report.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funds in our PRC subsidiaries or the VIEs in China may not be available to fund operations or for other use outside of China due to interventions in or the imposition of restrictions and limitations on the ability of our holding company, our subsidiaries, or the VIEs by the PRC government on currency conversion. For more details, see “Item 3. Key Information—D. Risk Factors—Risks Relating to Doing Business in China-Government control of currency conversion may limit our ability to utilize our revenue effectively and affect the value of your investment” on page 48 of this annual report and “Item 3. Key Information—D. Risk Factors—Risks Relating to Doing Business in China—We principally rely on dividends and other distributions on equity paid by our PRC subsidiaries and payments made by the VIEs to us in accordance with the contractual arrangements to fund our cash and financing requirements, and any limitation on the ability of our PRC subsidiaries and the VIEs to make payments to us could materially and adversely affect our ability to conduct our business” on page 52 of this annual report.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Risks Relating to Our Ordinary Shares and ADSs </w:t>
      </w:r>
    </w:p>
    <w:p>
      <w:pPr>
        <w:pStyle w:val="TextBody"/>
        <w:bidi w:val="0"/>
        <w:spacing w:before="0" w:after="0"/>
        <w:jc w:val="left"/>
        <w:rPr/>
      </w:pPr>
      <w:r>
        <w:rPr/>
        <w:t> </w:t>
      </w:r>
    </w:p>
    <w:tbl>
      <w:tblPr>
        <w:tblW w:w="5650" w:type="dxa"/>
        <w:jc w:val="left"/>
        <w:tblInd w:w="0" w:type="dxa"/>
        <w:tblLayout w:type="fixed"/>
        <w:tblCellMar>
          <w:top w:w="0" w:type="dxa"/>
          <w:left w:w="0" w:type="dxa"/>
          <w:bottom w:w="0" w:type="dxa"/>
          <w:right w:w="0" w:type="dxa"/>
        </w:tblCellMar>
      </w:tblPr>
      <w:tblGrid>
        <w:gridCol w:w="75"/>
        <w:gridCol w:w="110"/>
        <w:gridCol w:w="60"/>
        <w:gridCol w:w="54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 for our ADSs has fluctuated and may be volatile.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dual-class voting structure will limit your ability to influence corporate matters and could discourage others from pursuing any change of control transactions that holders of our Class A ordinary shares and ADSs may view as beneficial.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Business and Industry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we are unable to manage our growth or execute our strategies effectively, our business and prospects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have experienced a period of growth and expansion that has demanded, and will continue to demand, significant financial and managerial resources. We plan to further increase our sales through enhancing our brand recognition, growing our customer base, and increasing customer spending on our Vipshop Online Platform. However, we cannot assure you that we will be able to execute our expansion plan as expected. Our rapid expansion requires us to continue to effectively manage our relationships with brand partners and third-party delivery companies to ensure efficient and timely delivery of our products. To continue our business growth, we will also need to allocate significant managerial and financial resources in retaining, training, managing, and motivating our workforce. </w:t>
      </w:r>
    </w:p>
    <w:p>
      <w:pPr>
        <w:pStyle w:val="TextBody"/>
        <w:bidi w:val="0"/>
        <w:spacing w:before="240" w:after="0"/>
        <w:jc w:val="left"/>
        <w:rPr>
          <w:rFonts w:ascii="Times New Roman" w:hAnsi="Times New Roman"/>
          <w:sz w:val="20"/>
        </w:rPr>
      </w:pPr>
      <w:r>
        <w:rPr>
          <w:rFonts w:ascii="Times New Roman" w:hAnsi="Times New Roman"/>
          <w:sz w:val="20"/>
        </w:rPr>
        <w:t xml:space="preserve">We also seek to broaden our product and service offerings through third-party sellers offering their own products and services on our Vipshop Online Platform. The products and services offered by such third-party sellers may differ in category, quality, and value in comparison to those that we directly offer. Such expansion may require us to work with different groups of brand partners and introduce new product and service categories to address the needs of different kinds of customers. We have limited or no experience in some of these new product and service offerings, and our expansion into these new product and service categories may not achieve broad customer acceptance. These offerings may present new and difficult technological or operational challenges, and we may be subject to claims if customers experience service disruptions or failure or other quality issues with these third-party sellers. In addition, our profitability, if any, in our new product and service categories may be lower than in our long-existing categories, which may adversely affect our overall profitability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seek to expand into the offline retail business that complements our online business and have for this purpose acquired control in various entities in the past years. As of December 31, 2024, we had a nationwide offline network, primarily consisting of 20 Shan Shan Outlets and a number of other offline retail stores. We cannot assure you that we will be able to compete successfully with existing offline competitors, including, among other things, traditional offline malls that have accumulated considerable customer base and offline stores of other reputable online retailers. We may lack sufficient experience in or capabilities for offline operations, including offline store management. We may not be able to locate desirable sites for our stores. Operating offline stores requires considerable capital and personnel, and we may not be able to generate profits from our offline business to cover the cost within a short period of time. The occurrence of any of the above may adversely affect our business, prospects,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All of these endeavors involve risks. We cannot assure you that we will successfully execute these expansion plans and strategies. We may not be able to acquire financial or managerial resources needed for our business growth in a timely and cost-efficient manner, or at all. We cannot assure you that we will be able to manage our growth effectively, and any failure to do so may materially and adversely affect our business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offer branded products at attractive prices to meet customer needs and preferences, or if our reputation for selling authentic, high-quality products suffers, we may lose customers and our business, financial condition, and results of operations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future growth depends on our ability to continue to attract new customers as well as to increase the spending and repeat purchase rate of existing customers. Constantly changing consumer preferences have historically affected, and will continue to affect, the online retail industry. Consequently, we must stay abreast of emerging lifestyle and consumer preferences and anticipate product trends that will appeal to existing and potential customers. As we implement our strategy to offer a curated selection of discounted products desired by our customers, we expect to face additional challenges in the selection of products and services. Our ability to offer suitable products catering to consumers’ needs depends on the effectiveness of our merchandising team to secure branded products of high quality and competitive price as well as the capability of our IT system to collect and provide accurate and reliable information on consumer interests. In addition, we have implemented measures, such as mostly working with brands directly, to ensure that only authentic products are offered on our platform. Any perception by our existing or prospective customers that any of our products are not authentic, or are of inferior quality, could cause our reputation to suffer. This is particularly important for cosmetics and mother and baby care products. While our representatives generally check the products that we sell to confirm their authenticity, quality, and proper labeling, we cannot assure you that all of our suppliers have provided us with authentic products or that all products that we sell are of the quality satisfactory to our customers. If our customers cannot find desirable products within our product portfolio at attractive prices, or if our reputation for selling authentic, high-quality product suffers, our customers may lose interest in our platform and thus may visit our platform less frequently or even stop visiting our platform, which in turn may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and results of operations may be materially and adversely affected if we are unable to maintain our customer experience or provide high-quality customer service. </w:t>
      </w:r>
    </w:p>
    <w:p>
      <w:pPr>
        <w:pStyle w:val="TextBody"/>
        <w:bidi w:val="0"/>
        <w:spacing w:before="120" w:after="0"/>
        <w:jc w:val="left"/>
        <w:rPr>
          <w:rFonts w:ascii="Times New Roman" w:hAnsi="Times New Roman"/>
          <w:sz w:val="20"/>
        </w:rPr>
      </w:pPr>
      <w:r>
        <w:rPr>
          <w:rFonts w:ascii="Times New Roman" w:hAnsi="Times New Roman"/>
          <w:sz w:val="20"/>
        </w:rPr>
        <w:t xml:space="preserve">The success of our business largely depends on our ability to provide superior customer experience and high-quality customer service, which in turn depends on a variety of factors, such as our ability to continue to provide reliable and user-friendly Vipshop Online Platform for our customers to browse and purchase our products, reliable and timely delivery of our products by third-party delivery companies, and superior after-sales services. Our sales may decrease if our platform services are severely interrupted or otherwise fail to meet our customer needs. Should third-party delivery companies fail to provide our product delivery and return services in a convenient and reliable manner, or if our customers are not satisfied with our product quality, our reputation and customer loyalty could be adversely affected. In addition, we also depend on our call center and online customer service representatives to provide live assistance to our customers. If our call center or online customer service representatives fail to satisfy the individual needs of customers, our reputation and customer loyalty could be adversely affected and we may lose potential or existing customers and experience a decrease in sales. As a result, if we are unable to continue to maintain our customer experience and provide high-quality customer service, we may not be able to retain existing customers or attract new customers, which could materially and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Any harm to our brand or failure to maintain our reputation may materially and adversely affect our business and growth prospects.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the recognition and reputation of our brand among our customers and brand partners have significantly contributed to the growth of our business. Maintaining and enhancing the recognition and reputation of our brand is critical to our business and competitiveness. Many factors, some of which are beyond our control, are important to maintaining and enhancing our brand and, if not properly managed, may negatively impact our brand and reputation. These factors include our ability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provide satisfactory user experience as consumer preferences evolve and as we expand into new product and service categories;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offer desirable branded merchandises at appealing discounts on a daily basis;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 brand awareness among existing and potential customers through various marketing and promotional activities and word-of-mouth referrals;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the popularity, attractiveness, and quality of the products and services that we offer; </w:t>
            </w:r>
          </w:p>
        </w:tc>
      </w:tr>
    </w:tbl>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75"/>
        <w:gridCol w:w="110"/>
        <w:gridCol w:w="60"/>
        <w:gridCol w:w="6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maintain the efficiency, reliability, and quality of our fulfillment services;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preserve our reputation and goodwill in the event of any negative media publicity on internet security, product quality, or authenticity issues affecting us or other online retail businesses in China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public perception that non-authentic or counterfeit goods are sold on our Vipshop Online Platform, even if factually incorrect, could damage our reputation, reduce our ability to attract new customers or retain our existing customers, and diminish the value of our brand. If we are unable to maintain our reputation, enhance our brand recognition, or increase positive awareness of our platform, products, and services, it may be difficult to maintain and grow our customer base, and our business and growth prospects may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manage our relationships with, or otherwise fail to procure products at favorable terms from, our existing brand partners, or if we fail to attract new brand partners, our business and growth prospects may suffer. </w:t>
      </w:r>
    </w:p>
    <w:p>
      <w:pPr>
        <w:pStyle w:val="TextBody"/>
        <w:bidi w:val="0"/>
        <w:spacing w:before="120" w:after="0"/>
        <w:jc w:val="left"/>
        <w:rPr>
          <w:rFonts w:ascii="Times New Roman" w:hAnsi="Times New Roman"/>
          <w:sz w:val="20"/>
        </w:rPr>
      </w:pPr>
      <w:r>
        <w:rPr>
          <w:rFonts w:ascii="Times New Roman" w:hAnsi="Times New Roman"/>
          <w:sz w:val="20"/>
        </w:rPr>
        <w:t xml:space="preserve">We source our products from both domestic and international brand partners. As of December 31, 2022, 2023 and 2024, we worked with over 27,000, 29,000 and 30,000 brand partners, respectively. We depend significantly on our ability to source products from brand partners on favorable pricing terms, typically at a substantial discount to the original sales price. However, our agreements do not ensure the long-term availability of merchandise or the continuation of any particular pricing practices. We cannot assure you that our current brand partners will continue to sell products to us on commercially acceptable terms, or at all. In the event that we are not able to purchase merchandise on favorable pricing terms, our revenues, profit margin, and earnings may be materially and adversely affected. Our brand partners primarily include brand owners, and to a lesser extent, brand distributors and resellers. If any brand distributor or reseller fails to obtain or maintain appropriate authorization from the brand owners to sell certain products to us, such brand distributor or reseller may cease selling such products to us at any time, which may adversely affect our business and revenues. Furthermore, although we, as an online distributor, are not directly responsible to obtain customs clearance or other permits for the sale of products imported by our brand partners, we are required under the PRC import regulations to check whether our brand partners who import such products have obtained the requisite import-related permits or filings and whether the products have passed the quality inspection before they are sold and distributed in the China market. If any of our brand partners fails to pay the required import tariffs, fails to obtain clearance from the customs or inspection and quarantine bureaus, or fails to meet the product labeling or other mandatory specification requirements, and sells such imported products to us, we may be subject to fines, suspension of business, and confiscation of unlawfully sold products and the proceeds from such sales, depending on the nature and gravity of such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our brand partners cease to provide us with favorable payment terms or return policies, our working capital needs may increase, resulting in negative impact on our cash flows from operating activities, and our operations may be materially and adversely affected. As part of our growth strategy, we plan to further expand our brand and product offerings and thus need to continue establishing relationships with new brand partners to ensure our access to a steady supply of products on favorable commercial terms. Furthermore, our relationships with some brand partners, particularly international brand partners of apparel products in China, may be adversely affected as a result of our sale of branded products that are directly procured from overseas markets. If we are unable to develop and maintain good relationships with brand partners that would allow us to obtain sufficient amount and variety of quality merchandise on acceptable commercial terms, it may inhibit our ability to offer sufficient products sought by our customers or to offer these products at prices acceptable to them. Negative developments in our relationships with brand partners could materially and adversely affect our business and growth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primarily rely on third-party delivery companies for our product order fulfillment, and if these third-party delivery companies fail to provide reliable delivery services, our business and reputation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providing superior order fulfillment services to our customers. We primarily rely on high-quality third-party delivery companies to fulfill our product delivery demand, and have built our in-house warehousing systems with nationwide coverage over the years. We have been cooperating with SF Express since November 2019, utilizing its delivery services to optimize the efficiency of our logistics operations, improve operating leverage in our fulfillment expenses, and provide our customers with superior delivery services. </w:t>
      </w:r>
    </w:p>
    <w:p>
      <w:pPr>
        <w:pStyle w:val="TextBody"/>
        <w:bidi w:val="0"/>
        <w:spacing w:before="240" w:after="0"/>
        <w:jc w:val="left"/>
        <w:rPr>
          <w:rFonts w:ascii="Times New Roman" w:hAnsi="Times New Roman"/>
          <w:sz w:val="20"/>
        </w:rPr>
      </w:pPr>
      <w:r>
        <w:rPr>
          <w:rFonts w:ascii="Times New Roman" w:hAnsi="Times New Roman"/>
          <w:sz w:val="20"/>
        </w:rPr>
        <w:t xml:space="preserve">Interruptions to or failures in delivery services could prevent the timely or proper delivery of our products. These interruptions may be due to events that are beyond our control or the control of our third-party delivery partners, such as inclement weather, natural disasters, transportation interruptions, or labor unrest or shortage. Moreover, if these third-party delivery companies fail to comply with applicable rules and regulations in China, reputation of our delivery services may be materially and adversely affected. We may not be able to find alternative delivery companies to provide delivery services in a timely and reliable manner, or at all, to replace such third-party delivery companies to the extent necessary. In anticipation of intensified competition in the future, we may need to require further shortened delivery time at increasing fulfillment expenses. Delivery of our products could also be affected or interrupted by merger, acquisition, insolvency, or government shut-down of the third-party delivery companies we engage to make deliveries. If our products are not delivered in proper condition or on a timely basis, our business and reputation could suffer.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do not compete effectively against existing or new competitors, we may lose market share and customers. </w:t>
      </w:r>
    </w:p>
    <w:p>
      <w:pPr>
        <w:pStyle w:val="TextBody"/>
        <w:bidi w:val="0"/>
        <w:spacing w:before="120" w:after="0"/>
        <w:jc w:val="left"/>
        <w:rPr>
          <w:rFonts w:ascii="Times New Roman" w:hAnsi="Times New Roman"/>
          <w:sz w:val="20"/>
        </w:rPr>
      </w:pPr>
      <w:r>
        <w:rPr>
          <w:rFonts w:ascii="Times New Roman" w:hAnsi="Times New Roman"/>
          <w:sz w:val="20"/>
        </w:rPr>
        <w:t xml:space="preserve">The online discount retail market is rapidly evolving and competitive. Our primary competitors include pure-play online discount retailers, other online discount retailers, and new forms of e-commerce such as live streaming platforms in China. We compete with others based on a number of factors,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identify products in demand among consumers and source these products on favorable terms from brand suppliers; </w:t>
            </w:r>
          </w:p>
        </w:tc>
      </w:tr>
    </w:tbl>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focus on and expertise in apparel-related categories;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pricing advantage due to our discount retail model; </w:t>
            </w:r>
          </w:p>
        </w:tc>
      </w:tr>
    </w:tbl>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75"/>
        <w:gridCol w:w="110"/>
        <w:gridCol w:w="60"/>
        <w:gridCol w:w="4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breadth and quality of product and service offerings;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75"/>
        <w:gridCol w:w="110"/>
        <w:gridCol w:w="60"/>
        <w:gridCol w:w="4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comprehensive and innovative platform features;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customer service and fulfillment capabilities; and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solid reputation among consumers and brands.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Some of our current and potential competitors may have significantly greater resources, longer operating histories, larger customer bases, and greater brand recognition. As the online discount retail market in China is expected to grow, new competitors and some existing B2C e-commerce companies may enter into this market. In addition, other online retailers may be acquired by, receive investment from, or enter into strategic relationships with, well-established and well-financed companies or investors, which would help enhance their competitive positions. Some of our competitors may be able to secure more favorable terms from brand partners, devote greater resources to marketing and promotional campaigns, adopt more aggressive pricing or inventory policies, and devote substantially more resources to their platform and system development than us. In addition, emerging technologies and continuing innovation in mobile internet may increase the competition in the online retail industry. Increasing competition may negatively affect our business development, online retail, and brand recognition, which may in turn affect our market share and operating margins. We cannot assure you that we will be able to compete effectively against our competitors, and competitive pressure may materially and adversely affect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suffer losses if we are unable to effectively manage our inventory. </w:t>
      </w:r>
    </w:p>
    <w:p>
      <w:pPr>
        <w:pStyle w:val="TextBody"/>
        <w:bidi w:val="0"/>
        <w:spacing w:before="120" w:after="0"/>
        <w:jc w:val="left"/>
        <w:rPr>
          <w:rFonts w:ascii="Times New Roman" w:hAnsi="Times New Roman"/>
          <w:sz w:val="20"/>
        </w:rPr>
      </w:pPr>
      <w:r>
        <w:rPr>
          <w:rFonts w:ascii="Times New Roman" w:hAnsi="Times New Roman"/>
          <w:sz w:val="20"/>
        </w:rPr>
        <w:t xml:space="preserve">Due to the nature of the flash sales business and our non-standardized product category offerings, we need to manage a large volume of inventory turnover. We depend on our forecasts of demand and popularity for various kinds of products to make decisions regarding product procurements. Our customers may not order products at our expected levels. In addition, any unfavorable market or industry conditions or change in consumer trends and preferences may limit our ability to accurately forecast the inventory levels to meet customer needs. </w:t>
      </w:r>
    </w:p>
    <w:p>
      <w:pPr>
        <w:pStyle w:val="TextBody"/>
        <w:bidi w:val="0"/>
        <w:spacing w:before="240" w:after="0"/>
        <w:jc w:val="left"/>
        <w:rPr>
          <w:rFonts w:ascii="Times New Roman" w:hAnsi="Times New Roman"/>
          <w:sz w:val="20"/>
        </w:rPr>
      </w:pPr>
      <w:r>
        <w:rPr>
          <w:rFonts w:ascii="Times New Roman" w:hAnsi="Times New Roman"/>
          <w:sz w:val="20"/>
        </w:rPr>
        <w:t xml:space="preserve">We generally have the right to return unsold items for most of our products to our brand partners. In order to secure more favorable commercial terms, we may need to continue to enter into supply arrangements without unconditional return clauses or with more restrictive return policies. We may also need to take inventory in certain key product categories in order to achieve higher gross margin and obtain better commercial terms. Furthermore, because products imported to China for our cross-border business are generally not returnable, our inventory may contain an increasing portion of unreturnable products to the extent our cross-border business continues to grow. </w:t>
      </w:r>
    </w:p>
    <w:p>
      <w:pPr>
        <w:pStyle w:val="TextBody"/>
        <w:bidi w:val="0"/>
        <w:spacing w:before="240" w:after="0"/>
        <w:jc w:val="left"/>
        <w:rPr>
          <w:rFonts w:ascii="Times New Roman" w:hAnsi="Times New Roman"/>
          <w:sz w:val="20"/>
        </w:rPr>
      </w:pPr>
      <w:r>
        <w:rPr>
          <w:rFonts w:ascii="Times New Roman" w:hAnsi="Times New Roman"/>
          <w:sz w:val="20"/>
        </w:rPr>
        <w:t xml:space="preserve">If we fail to manage our inventory effectively in the future, we may be subject to a heightened risk of inventory obsolescence, a decline in inventory values, and write-down, which could materially and adversely affect our business, financial condition, and results of operations. In addition, if we are unable to sell products or if we are required to lower sale prices in order to reduce inventory level or to pay higher prices to our brand partners in order to secure the right to return products to our brand partners, our profit margins might be negatively affected. High inventory levels may also require us to commit substantial capital resources, preventing us from using that capital for other important purposes. If we do not accurately predict product demand, our business, financial condition, and results of operations may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subject to higher than expected product return rate, our business, financial condition, and results of operations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Purchases of apparel, fashion accessories, and other items over the internet may be subject to higher return rate than merchandise sold at physical stores. In order to accommodate our customers and to overcome any hesitance that they may have in shopping with us, we currently implement a unified seven-day product return policy for purchases via our Vipshop Online Platform and refund our customers if they refuse to accept the delivery, which also constitutes a product return. Our product return rate increased during 2022 to 2024 due to the increased sales contribution from apparel products, which tend to carry a higher return rate as compared with standardized products, as well as the popularity of our Super VIP Membership program that offers free shipping and free return for its paid members. If we are unable to efficiently manage our product return rate within an appropriate range relative to our sales volume, or if our product return rate increases or is higher than expected, our revenues and costs can be negatively impacted. In addition, as we cannot return some products to our brand partners pursuant to our contracts with them, if return rate for such products increases significantly, we may experience an increase in our inventory balance, inventory impairment, and fulfillment costs, which may materially and adversely affect our working capital. As a result, our business, financial condition, and results of operations may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rely on online retail of apparel products for a significant portion of our total net revenues. </w:t>
      </w:r>
    </w:p>
    <w:p>
      <w:pPr>
        <w:pStyle w:val="TextBody"/>
        <w:bidi w:val="0"/>
        <w:spacing w:before="120" w:after="0"/>
        <w:jc w:val="left"/>
        <w:rPr>
          <w:rFonts w:ascii="Times New Roman" w:hAnsi="Times New Roman"/>
          <w:sz w:val="20"/>
        </w:rPr>
      </w:pPr>
      <w:r>
        <w:rPr>
          <w:rFonts w:ascii="Times New Roman" w:hAnsi="Times New Roman"/>
          <w:sz w:val="20"/>
        </w:rPr>
        <w:t xml:space="preserve">Online retail sales of apparel products accounted for, and are expected to continue to grow and account for, a significant portion of our total net revenues. We have increased our offerings to include other product categories, including cosmetics, home goods, mother and baby care products, accessories, wellness products, consumer electronic products, furniture, bed and bath, food and snacks, and other lifestyle products. However, we do not expect the sales of these new products and services to increase to a level that would reduce our dependence on our current line of products and services. Any failure in maintaining or increasing the number of our online retail customers or our sales volumes could result in our inability to retain or capture a sufficient share of the markets that we are targeting. Any event that results in a reduction in our sales of apparel products could materially and adversely affect our ability to maintain or increase our current level of revenue, our profitability, and business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not able to manage our logistics network successfully, our growth potential, results of operations, and business could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Our logistics network, currently consisting of both regional logistics hubs and local distribution centers, is essential to our business operations. We plan to maintain our logistics network to accommodate increasing volumes of customer orders, enhance customer experience, and provide sufficient coverage across China. However, we cannot assure you that our plans to maintain the operation of our own logistics centers will be successful. Nor can we assure you that we will be able to recruit or retain qualified managerial and operational personnel to support our logistics network. If we are unable to effectively control expenses relating to the maintenance of our logistics network, our business, prospects,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regarding the growth and sustained profitability of the online retail market in China, and in particular, the development of the online flash sales business model, could adversely affect our business, prospects,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Substantially all of our total net revenue is generated through an online retail business model, and in particular, an online flash sales business model. The long-term viability and prospects of the online retail industry, particularly companies utilizing an online flash sales business model, and B2C e-commerce business generally in China, remain subject to significant uncertainty. Our business, financial condition, and results of operations will depend on numerous factors affecting the development of the online flash sales business and, more broadly, the online retail and e-commerce businesses in China, which may be beyond our control. These factors include the general economic conditions in China, the emergence of alternative retail channels or business models, the success of marketing and brand building efforts by e-commerce and flash sales companies, and the development of payment, logistics, after-sale, and other services associated with e-commerce and flash sales.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proper functioning of our IT systems is essential to our business. Any failure to maintain the satisfactory performance, security, and integrity of our Vipshop Online Platform and systems will materially and adversely affect our business, reputation,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IT systems mainly include technology infrastructure supporting the user interface of our Vipshop Online Platform, as well as our customer service, enterprise resource planning, warehouse management, product information management, business intelligence, and administration management systems. The satisfactory performance, reliability, and availability of our IT systems are critical to our success, our ability to attract and retain customers, and our ability to maintain a satisfactory customer experience and level of customer service. </w:t>
      </w:r>
    </w:p>
    <w:p>
      <w:pPr>
        <w:pStyle w:val="TextBody"/>
        <w:bidi w:val="0"/>
        <w:spacing w:before="240" w:after="0"/>
        <w:jc w:val="left"/>
        <w:rPr>
          <w:rFonts w:ascii="Times New Roman" w:hAnsi="Times New Roman"/>
          <w:sz w:val="20"/>
        </w:rPr>
      </w:pPr>
      <w:r>
        <w:rPr>
          <w:rFonts w:ascii="Times New Roman" w:hAnsi="Times New Roman"/>
          <w:sz w:val="20"/>
        </w:rPr>
        <w:t xml:space="preserve">Our servers may be vulnerable to computer viruses, user traffic boom that exceeds the capacity of our servers, physical or electronic break-ins, and other disruptions, which could lead to system interruptions, website slowdown or unavailability, delays in transaction processing, loss of data, or the inability to accept and fulfill customer orders. We can provide no assurance that we will not experience such unexpected interruptions. We can provide no assurance that our current security mechanisms will be sufficient to protect our IT systems from any third-party intrusions, viruses or hacker attacks, information or data theft, or other similar activities. Any such future occurrences could damage our reputation and result in a material decrease in our revenue. We did not have any material system failure in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Additionally, we intend to continue using our available cash and financing options to upgrade and improve our IT systems and cybersecurity to support our business growth. For the year ended December 31, 2022, 2023 and 2024, we spent RMB222.4 million, RMB233.0 million and RMB308.0 million (US$42.2 million) to maintain our IT and cybersecurity protections, respectively. However, we cannot assure you that we will be successful in executing these system upgrades and improvement strategies. In particular, our systems may experience interruptions during upgrades, and the new technologies or infrastructures may not be fully integrated with the existing systems on a timely basis, or at all. If our existing or future IT systems do not function properly, it could cause system disruptions and slow response times, affecting data transmission, which in turn, could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fail to successfully adopt new technologies or adapt our Vipshop Online Platform and systems to changing customer needs or emerging industry standards, our business, financial condition, and results of operations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To remain competitive, we must continue to enhance and improve the responsiveness, functionality, and features of our Vipshop Online Platform. The online retail industry is characterized by rapid technological evolution, changes in end user requirements and preferences, frequent introductions of new products and services embodying new technologies, and the emergence of new industry standards and practices that could render our existing proprietary technologies and systems obsolete. Our success will depend, in part, on our ability to identify, develop, acquire, or license leading technologies useful in our business, enhance our existing services, develop new services and technologies that address the increasingly sophisticated and varied needs of our existing and prospective customers, and respond to technological advances and emerging industry standards and practices on a cost-effective and timely basis. The development of mobile applications, websites, and other proprietary technology entails significant technical and business risks. We can provide no assurance that we will be able to use new technologies effectively or adapt our platform, proprietary technologies, and transaction-processing systems to meet customer requirements or emerging industry standards. If we are unable to accurately project the need for such system expansion or upgrade or to adapt our systems in a cost-effective and timely manner in response to changing market conditions or customer requirements, whether for technical, legal, financial, or other reasons, our business, prospects,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wide variety of accepted payment methods subject us to third-party payment processing-related risks. </w:t>
      </w:r>
    </w:p>
    <w:p>
      <w:pPr>
        <w:pStyle w:val="TextBody"/>
        <w:bidi w:val="0"/>
        <w:spacing w:before="120" w:after="0"/>
        <w:jc w:val="left"/>
        <w:rPr>
          <w:rFonts w:ascii="Times New Roman" w:hAnsi="Times New Roman"/>
          <w:sz w:val="20"/>
        </w:rPr>
      </w:pPr>
      <w:r>
        <w:rPr>
          <w:rFonts w:ascii="Times New Roman" w:hAnsi="Times New Roman"/>
          <w:sz w:val="20"/>
        </w:rPr>
        <w:t xml:space="preserve">We accept payments using a variety of methods, including our Vipshop Payment service and payment through third-party online payment services, such as WeChat Pay, Alipay, and the emerging e-RMB online payment offered by the domestic banks. For certain payment methods, including credit and debit cards processed via our Vipshop Payment service, we pay interchange and other fees, which may increase over time and raise our operating costs and lower our profit margins. We may be subject to fraud, customer data leakage, and other illegal activities in connection with the various payment methods we offer. We may also be subject to various rules, regulations, and requirements, regulatory or otherwise, governing electronic fund transfers and online payment, which could change or be reinterpreted to make it difficult or impossible for us to comply with. If we fail to comply with these rules or requirements, we may be subject to fines and higher transaction fees and lose our ability to accept credit and debit card payments from our customers, process electronic fund transfers, or facilitate other types of online payments, and our business,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security of operations of our own and other third-party online payment services may materially and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Currently, we accept payments through our own Vipshop Payment service and other third-party online payment service providers, such as WeChat Pay, Alipay, and the emerging e-RMB online payment offered by the domestic banks. All of our total online orders are collected through online payment services. Among those online payments, WeChat Pay was used to process a significant portion of our total orders, and our Vipshop Payment service was used to process a meaningful portion of our total orders. In all these online payment transactions, secured transmission of confidential information such as customers’ credit card numbers and personal information over public networks is essential to maintain consumer confidence.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do not have control over the security measures of our third-party online payment vendors, and security breaches of the online payment services that we use could expose us to litigation and possible liability for failing to secure confidential customer information and could, among other things, damage our reputation and the perceived security of all of the online payment services that we use. If a well-publicized internet or mobile network security breach were to occur, users concerned about the security of their online financial transactions might become reluctant to purchase on our Vipshop Online Platform even if the publicized breach did not involve the online payment services or other methods that we use. In addition, there may be billing software errors that would damage customer confidence in these online payment services. If any of the above with respect to any third-party online payment vendors were to occur and damage our reputation or the perceived security of the online payment services we use, we might lose customers and customers might be discouraged from purchasing on our platform, which may adversely affect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growth and profitability depend on the level of consumer confidence and spending in China. </w:t>
      </w:r>
    </w:p>
    <w:p>
      <w:pPr>
        <w:pStyle w:val="TextBody"/>
        <w:bidi w:val="0"/>
        <w:spacing w:before="120" w:after="0"/>
        <w:jc w:val="left"/>
        <w:rPr>
          <w:rFonts w:ascii="Times New Roman" w:hAnsi="Times New Roman"/>
          <w:sz w:val="20"/>
        </w:rPr>
      </w:pPr>
      <w:r>
        <w:rPr>
          <w:rFonts w:ascii="Times New Roman" w:hAnsi="Times New Roman"/>
          <w:sz w:val="20"/>
        </w:rPr>
        <w:t xml:space="preserve">Our business, financial condition, and results of operations are sensitive to changes in overall economic and political conditions that affect consumer spending in China. The retail industry, including the online retail sector, is highly sensitive to general economic changes. Many factors outside of our control, including inflation and deflation, interest rates, volatility of equity and debt securities markets, taxation rates, employment and other government policies, and global pandemics such as the COVID-19 pandemic can adversely affect consumer confidence and spending. The domestic and international political environments, including military conflicts, economic sanctions, import or export control measures, and political turmoil or social instability, may also adversely affect consumer confidence and reduce spending, which could in turn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incur liability for counterfeit or unauthorized products sold or information posted on our platforms. </w:t>
      </w:r>
    </w:p>
    <w:p>
      <w:pPr>
        <w:pStyle w:val="TextBody"/>
        <w:bidi w:val="0"/>
        <w:spacing w:before="120" w:after="0"/>
        <w:jc w:val="left"/>
        <w:rPr>
          <w:rFonts w:ascii="Times New Roman" w:hAnsi="Times New Roman"/>
          <w:sz w:val="20"/>
        </w:rPr>
      </w:pPr>
      <w:r>
        <w:rPr>
          <w:rFonts w:ascii="Times New Roman" w:hAnsi="Times New Roman"/>
          <w:sz w:val="20"/>
        </w:rPr>
        <w:t xml:space="preserve">We have been and may continue to be subject to allegations that some of the items sold on our platforms are counterfeit or unauthorized from the brand owners. As of December 31, 2022, 2023 and 2024, we worked with over 27,000, 29,000 and 30,000 brand partners, respectively, via our Vipshop Online Platform. We cannot assure you that measures we have adopted in the course of sourcing such products to ensure their authenticity or authorization and to minimize potential liability of infringing third parties’ rights will be effective. Any inadvertent sales of counterfeit, non-authentic or unauthorized items, or public perception of such incidents could harm our reputation, impair our ability to attract and retain customers, and cause us to incur additional costs to respond to any incident of this nature. If counterfeit products, unauthorized products, or products, images, logos, or any other information that otherwise infringe third parties’ rights are sold or posted on our platform, we could also face infringement claims. We have occasionally received claims alleging our infringement of third-party rights and, depending on the circumstances, have incurred significant settlement expenses. We cannot assure you that in the future, we will not be required to allocate significant resources and incur material expenses regarding such claims. We may need to pay substantial amount of compensation to settle similar claims for the avoidance of being involved in any legal proceedings, and could be required to pay substantial damages or to refrain from the sale of products in the event that a claimant prevails in any proceedings against us. In the event that we negligently participate or assist in infringing activities associated with counterfeit goods, forms of potential liabilities that we may be subject to under the PRC law include injunctions to cease infringing activities, rectification, compensation, and administrative penalties. Moreover, our reputation could be adversely affected due to the negative publicity of any infringement claim against us. Any third-party claims may materially and adversely affect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is subject to complex and evolving laws and regulations regarding cybersecurity and data privacy. Any failure to comply with these laws and regulations could result in claims, changes to our business practices, negative publicity, increased cost of operation, or declines in user growth or engagement, or otherwise harm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business generates and processes a large quantity of data. We face risks inherent in handling and protecting large volume of data. In particular, we face a number of challenges relating to data from transactions and other activities on our platforms,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protecting the data in and hosted on our system, including against attacks on our system by outside parties or fraudulent behavior or improper use by our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addressing concerns relating to privacy and sharing, safety, security, and other factors;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complying with applicable laws, rules, and regulations relating to the collection, use, storage, transfer, disclosure, and security of personal information, including any requests from regulatory and government authorities relating to this data.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Regulatory authorities around the world, including China, the European Union, and the United States, have adopted or are considering a number of legislative and regulatory proposals concerning data protection, such as a series of legislations enacted in China, the General Data Protection Regulation that came into application in the European Union, and the California Consumer Privacy Act, the similar legislation enacted in the United States. These legislations, related regulatory proposals, if adopted, and the uncertainty in their interpretations and application thereof could, in addition to the possibility of fines, result in an order requiring companies to change their data practices and policies, which could have an adverse effect on their respective business and results of operations. In general, we expect that data security and data protection compliance will receive greater attention and focus from regulators, both domestically and globally, as well as attract continued or greater public scrutiny and attention going forward, which could increase our compliance costs and subject us to heightened risks and challenges associated with data security and protection. If we are unable to manage these risks, we could become subject to penalties, including fines, suspension of business and revocation of required licenses, and our reputation and results of operations could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The PRC regulatory and enforcement regime with regard to data security and data protection is evolving and may be subject to different interpretations or significant changes. Moreover, different PRC regulatory bodies, including the Standing Committee of the National People’s Congress, the Ministry of Industry and Information Technology, the CAC, the Ministry of Public Security, and the State Administration for Market Regulation, or the SAMR, have enforced data privacy and protections laws and regulations with varying standards and applications. The Cybersecurity Law came into effect in June 2017 and requires network operators to follow the principles of legitimacy in collecting and using personal information. In June 2021, the Standing Committee of the National People’s Congress promulgated the Data Security Law, which came into effect in September 2021. The Data Security Law provides a national data security review system, under which data processing activities that affect or may affect national security must be reviewed, and prohibits any individual or entity in China from providing data stored in China to foreign judicial or law enforcement departments without the approval of competent authorities in China. Moreover, in August 2021, the Standing Committee of the National People’s Congress promulgated the Personal Information Protection Law, which came into effect in November 2021 and further details the general rules and principles on personal information processing and further increases the potential liability of personal information processor. On February 12, 2025, the CAC published the Administrative Measures for the Compliance Audit of Personal Information Protection, or the Compliance Audit Measures, which will take effect on May 1, 2025. According to the Compliance Audit Measures, compliance audit of personal information protection refers to the supervision activities in which the personal information processing activities of personal information processors are examined and evaluated regarding their compliance with laws and administrative regulations. See “Item 4. Information on the Company—B. Business Overview—Regulations—Regulations Relating to Internet Privacy” and “Item 4. Information on the Company—B. Business Overview—Regulations—Regulations Relating to Information Security” for more details.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2021, the CAC, together with other authorities, jointly promulgated the Cybersecurity Review Measures, which came into effect on February 15, 2022 and replaces its predecessor regulation. Pursuant to the Cybersecurity Review Measures, critical information infrastructure operators that procure internet products and services and network platform operators engaging in data processing activities must be subject to the cybersecurity review if their activities affect or may affect national security. The Cybersecurity Review Measures further stipulates that a network platform operator that holds personal information of over one million users must apply with the Office of Cybersecurity Review of the CAC for a cybersecurity review before any public offering at a foreign stock exchange. In addition, PRC regulatory authorities may initiate cybersecurity review if they determine that an operator’s network products or services or data processing activities affect or may affect national security. While we have not been officially identified as a critical information infrastructure operator by any government authorities as of the date of this annual report, we have been directed by the Office of Cyberspace Affairs Commission of the Guangzhou Municipal Party Committee to conduct cybersecurity self-examinations, including in accordance with the Cybersecurity Examination Guidance for Critical Information Infrastructure Operators in Guangzhou (2020). We have conducted such cybersecurity self-examinations as directed and have submitted the corresponding cybersecurity self-examination reports to the responsible government authority. In other words, we have been subject to requirements imposed under certain PRC laws and regulations that have an apparent application on critical information infrastructure operators and as such it is possible that we may be identified as a critical information infrastructure operator. If we are designated as a critical information infrastructure operator, we will be subject to the requirement of a cybersecurity review and such other requirements and scrutiny from the PRC government authorities under applicable laws and regulations, which may increase our compliance costs and affect our ability to conduct overseas offerings. For example, in relation to our procurement of network products or services, we may be required to assess if there is any national security risk involved when such products or services are used and if national security will be affected or may be affected. We may be required to apply with the Office of Cybersecurity Review of the CAC for a cybersecurity review. We may also be obligated to comply with a hierarchical cybersecurity network security system that has been introduced and to implement technical protection measures and other necessary measures to address cybersecurity incidents, prevent cyber-attacks, forestall illegal and criminal activities, ensure the safe and stable operation of critical information infrastructure, and maintain data integrity, confidentiality, and availability.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March 22, 2024, the CAC issued the Provisions on Promoting and Regulating Cross-Border Data Flows, establishing a multi-tiered approach for cross-border data provisions. Depending on the types of data operators and the nature and amount of data involved, different measures may apply, which may require the data processors to undergo data export security assessments, enter into standard contractual clauses, or obtain personal information protection certifications. As these provisions are relatively new, we are analyzing whether we are subject to any of these measures. To the extent that we need to go through any of these measures for the cross-border data flows involved in our business operation, we may incur additional costs and devote additional resources to comply with the regulatory requirements. Failure to comply with these regulatory requirements may subject us to regulatory actions or liability, any of which may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2024, the State Council of China published the Regulations on Network Data Security Administration, which became effective on January 1, 2025. The Regulations on Network Data Security Administration provides that data processing operators engaging in data processing activities that affect or may affect national security must be subject to network data security review by the relevant cyberspace administration of the PRC. Network data processing activities refer to the collection, retention, use, processing, transmission, provision, disclosure, deletion, and other activities of network data. However, the Regulations on Network Data provide no further explanation or interpretation as to how to determine what “may affect national security,” and there remain uncertainties as to whether we would be subject to the cybersecurity review.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that we have accessed data in Hong Kong, we have been compliant with the currently effective laws and regulations in Hong Kong regarding data security, such as the Personal Data (Privacy) Ordinance and the Unsolicited Electronic Messages Ordinance, which impose protocols and obligations regarding the handling of personal data in Hong Kong. These protocols and obligations include, among other things, that (i) personal data must be collected for a lawful purpose, necessary, and not excessive, (ii) personal data must be collected by means that are lawful and fair in the circumstances of the case, and (iii) the person from whom personal data is collected is informed of the purpose of collecting the data. As of the date of this annual report, we believe that these laws and regulations in Hong Kong regarding data security would not, nor would any non-compliance therewith, have any material adverse impact on our business. However, if certain laws and regulations in Hong Kong were to result in oversight over data security that materially impacts our business in Hong Kong, we may be required to incur additional cost to ensure our compliance with such laws and regulations, and any violation could result in a material adverse impact on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data-related legislations may further evolve and certain concepts thereunder remain subject to clarifications and interpretations by the regulators. If any data that we possess belongs to data categories that are subject to heightened scrutiny, we may be required to adopt stricter measures for the protection and management of such data. The Cybersecurity Review Measures and the Regulations on Network Data Security Administration remain unclear on whether the requirements will be applicable to companies that are already listed in the United States, such as us. We cannot predict the impact of the Cybersecurity Review Measures and the Regulations on Network Data Security Administration, if any, at this stage, and we will closely monitor and assess any development in the rule-making process. If the Cybersecurity Review Measures, the Regulations on Network Data Security Administration, and the Measures for Security Assessment of Cross-border Data Transfer mandate clearance of cybersecurity review and other specific actions to be taken by issuers like us, we face uncertainties as to whether we can complete these additional procedures timely, or at all, which may subject us to government enforcement actions and investigations, fines, penalties, suspension of our non-compliant operations, or removal of our app from the application stores, and materially and adversely affect our business and results of operations and significantly limit or completely hinder our ability to continue to offer securities to investors, or cause the value of such securities to significantly decline. As of the date of this annual report, we have not been involved in any formal investigations on cybersecurity review made by the CAC on such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Despite our efforts to comply with applicable laws and regulations relating to cybersecurity and data privacy in connection with our ordinary course of business, any actual or perceived failure on our part to comply with applicable laws or regulations relating to cybersecurity or data privacy, or the perception or allegation that any of the foregoing types of failure has occurred, could damage our reputation or result in investigations, fines, suspension of our app, or other forms of sanctions or penalties by governmental authorities and private claims or litigation, any of which could materially and adversely affect our business, financial condition, results of operations, and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Failure to protect confidential information of our customers and our network against security breaches could damage our reputation and brand and substantially harm our business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A significant challenge to e-commerce and communications is the secure transmission of confidential information over public networks. Currently, almost all product orders and, in some cases, payments for products we offer, are made through our Vipshop Online Platform and systems. In such transactions, maintaining security on our platform and systems for the transmission of confidential or private information, such as customers’ personal information, payment-related information, and transaction information, is essential to maintain consumer confidence in our platform and systems. </w:t>
      </w:r>
    </w:p>
    <w:p>
      <w:pPr>
        <w:pStyle w:val="TextBody"/>
        <w:bidi w:val="0"/>
        <w:spacing w:before="240" w:after="0"/>
        <w:jc w:val="left"/>
        <w:rPr>
          <w:rFonts w:ascii="Times New Roman" w:hAnsi="Times New Roman"/>
          <w:sz w:val="20"/>
        </w:rPr>
      </w:pPr>
      <w:r>
        <w:rPr>
          <w:rFonts w:ascii="Times New Roman" w:hAnsi="Times New Roman"/>
          <w:sz w:val="20"/>
        </w:rPr>
        <w:t xml:space="preserve">We have adopted rigorous security policies and measures, including use of encryption technology, to protect our proprietary data and customer information. However, advances in technology and hacker skills, new discoveries in the field of cryptography, or other events or developments could result in a compromise or breach of the technology that we use to protect confidential information. We may not be able to prevent third parties, especially hackers or other individuals or entities engaging in similar activities, from illegally obtaining such confidential or private information we hold as a result of our customers’ visits on our platform. Such individuals or entities obtaining our customers’ confidential or private information may further engage in various other illegal activities using such information. In addition, we have limited control or influence over the security policies or measures adopted by third-party providers of online payment services through which some of our customers may elect to make payment for purchases on our platform. Furthermore, our third-party delivery partners may also violate their confidentiality obligations and disclose or use information about our customers illegally. Although we do not believe that there would be any material adverse effect on our ability to carry out our current business operations if we were held responsible for any such illegal activities, any negative publicity on our platform’s safety or privacy protection mechanism and policy could materially and adversely affect our public image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methods used by hackers and others to engage in illegal online activities are increasingly sophisticated and constantly evolving. Significant capital, managerial, and other resources may be required to ensure and enhance information security or to address the issues caused by such security failure. Any perception by the public that e-commerce and transactions, or the privacy of user information, are becoming increasingly unsafe or vulnerable to attack could inhibit the growth of online retail and other online services generally, which may also in turn reduce the number of orders we receive and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prevent others from unauthorized use of our intellectual property, which could harm our business and competitive position. </w:t>
      </w:r>
    </w:p>
    <w:p>
      <w:pPr>
        <w:pStyle w:val="TextBody"/>
        <w:bidi w:val="0"/>
        <w:spacing w:before="120" w:after="0"/>
        <w:jc w:val="left"/>
        <w:rPr>
          <w:rFonts w:ascii="Times New Roman" w:hAnsi="Times New Roman"/>
          <w:sz w:val="20"/>
        </w:rPr>
      </w:pPr>
      <w:r>
        <w:rPr>
          <w:rFonts w:ascii="Times New Roman" w:hAnsi="Times New Roman"/>
          <w:sz w:val="20"/>
        </w:rPr>
        <w:t xml:space="preserve">We regard our trademarks, service marks, domain names, trade secrets, proprietary technologies, and other intellectual property as critical to our business. We rely on a combination of intellectual property laws and contractual arrangements, including confidentiality agreements and license agreements with our employees, brand partners, and others, to protect our proprietary rights. As of December 31, 2024, we had been granted 370 patents and submitted 1,054 patent applications in China, owned 2,264 registered trademarks in China and 103 registered trademarks outside China, 266 copyrights (including copyrights to 235 software products in China that we develop relating to various aspects of our operations), and 30 registered domain names that are material to our business, including </w:t>
      </w:r>
      <w:r>
        <w:rPr>
          <w:rFonts w:ascii="Times New Roman" w:hAnsi="Times New Roman"/>
          <w:i/>
          <w:sz w:val="20"/>
        </w:rPr>
        <w:t>vip.com</w:t>
      </w:r>
      <w:r>
        <w:rPr>
          <w:rFonts w:ascii="Times New Roman" w:hAnsi="Times New Roman"/>
          <w:sz w:val="20"/>
        </w:rPr>
        <w:t xml:space="preserve"> and </w:t>
      </w:r>
      <w:r>
        <w:rPr>
          <w:rFonts w:ascii="Times New Roman" w:hAnsi="Times New Roman"/>
          <w:i/>
          <w:sz w:val="20"/>
        </w:rPr>
        <w:t>vipshop.com</w:t>
      </w:r>
      <w:r>
        <w:rPr>
          <w:rFonts w:ascii="Times New Roman" w:hAnsi="Times New Roman"/>
          <w:sz w:val="20"/>
        </w:rPr>
        <w:t xml:space="preserve">. See “Item 4. Information on the Company—B. Business Overview—Intellectual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It is often difficult to register, maintain, and enforce intellectual property rights in China. Statutory laws and regulations are subject to judicial interpretation and enforcement and may not be applied consistently due to the lack of clear guidance on statutory interpretation. Confidentiality agreements and license agreements may be breached by counterparties, and there may not be adequate remedies available to us for any such breach. Accordingly, we may not be able to effectively protect our intellectual property rights or to enforce our contractual rights in China. Policing any unauthorized use of our intellectual property is difficult and costly and the steps we have taken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 provide no assurance that we will prevail in such litigation. In addition, our trade secrets may be leaked or otherwise become available to, or be independently discovered by, our competitors. Any failure in protecting or enforcing our intellectual property rights could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intellectual property infringement claims, which may be expensive to defend and may disrupt our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We cannot be certain that our operations or any aspects of our business do not or will not infringe upon or otherwise violate patents, copyrights, or other intellectual property rights held by third parties. We have been, and from time to time in the future may be, subject to legal proceedings and claims relating to the intellectual property rights of others. In addition, there may be other third-party intellectual property that is infringed by our products, services, or other aspects of our business. There could also be existing patents of which we are not aware that our products may inadvertently infringe. We cannot assure you that holders of patents purportedly relating to some aspect of our technology platform or business, if any such holders exist, would not seek to enforce such patents against us in China, the United States, or any other jurisdictions. Further, the application and interpretation of China’s patent laws and the procedures and standards for granting patents in China are still evolving and are uncertain, and we cannot assure you that the PRC courts or regulatory authorities would agree with our analysis.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time and other resources from our business and operations to defend against these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Finally, we use open source codes in the software that we have developed in connection with our products and services. Companies that incorporate open source software into their products and services have, from time to time, faced claims challenging the ownership of open source software and compliance with open source license terms. As a result, we could be subject to suits by parties claiming ownership of what we believe to be open source software or noncompliance with open source licensing terms. Some open source software licenses require users who distribute open source software as part of their software to publicly disclose all or part of the source code to such software and make available any derivative works of the open source code on unfavorable terms or at no cost. Any requirement to disclose our source code or pay damages for breach of contract could be harmful to our business, results of operations, and financial condition.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litigation and regulatory proceedings. </w:t>
      </w:r>
    </w:p>
    <w:p>
      <w:pPr>
        <w:pStyle w:val="TextBody"/>
        <w:bidi w:val="0"/>
        <w:spacing w:before="120" w:after="0"/>
        <w:jc w:val="left"/>
        <w:rPr>
          <w:rFonts w:ascii="Times New Roman" w:hAnsi="Times New Roman"/>
          <w:sz w:val="20"/>
        </w:rPr>
      </w:pPr>
      <w:r>
        <w:rPr>
          <w:rFonts w:ascii="Times New Roman" w:hAnsi="Times New Roman"/>
          <w:sz w:val="20"/>
        </w:rPr>
        <w:t xml:space="preserve">We may be subject to litigation and regulatory proceedings relating to third-party and principal intellectual property infringement claims, contract disputes involving brand partners, consumer protection claims, claims relating to data and privacy protection, employment related cases, and other matters in the ordinary course of our business. There can be no assurance that we will be able to prevail in our defense or reverse any unfavorable judgment, ruling, or decision against us. In addition, we may decide to enter into settlements that may adversely affect our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 publicly-listed company, we may face additional exposure to claims and lawsuits inside and outside China, including securities law class actions. We will need to defend against these lawsuits, including any appeals should our initial defense be successful. The litigation process may utilize a material portion of our cash resources and divert management’s attention away from the day-to-day operations of our company, all of which could harm our business. There can be no assurance that we will prevail in any of these cases, and any adverse outcome of these cases could have a material adverse effect on our reputation, business, and results of operations. In addition, although we have obtained directors’ and officers’ liability insurance, the insurance coverage may not be adequate to cover our obligations to indemnify our directors and officers, fund a settlement of litigation in excess of insurance coverage or pay an adverse judgment in litigation. Our directors and executive officers may also face litigation or proceedings unrelated to their respective capacity as a director or executive officer of our company, and such litigation or proceedings may adversely affect our public image and reputation. </w:t>
      </w:r>
    </w:p>
    <w:p>
      <w:pPr>
        <w:pStyle w:val="TextBody"/>
        <w:bidi w:val="0"/>
        <w:spacing w:before="240" w:after="0"/>
        <w:jc w:val="left"/>
        <w:rPr>
          <w:rFonts w:ascii="Times New Roman" w:hAnsi="Times New Roman"/>
          <w:sz w:val="20"/>
        </w:rPr>
      </w:pPr>
      <w:r>
        <w:rPr>
          <w:rFonts w:ascii="Times New Roman" w:hAnsi="Times New Roman"/>
          <w:sz w:val="20"/>
        </w:rPr>
        <w:t xml:space="preserve">The existence of litigation, claims, investigations, and proceedings may harm our reputation, limit our ability to conduct our business in the affected areas, and adversely affect the trading price of our ADSs. The outcome of any claims, investigations, and proceedings is inherently uncertain, and in any event defending against these claims could be both costly and time-consuming, and could significantly divert the efforts and resources of our management and other personnel. An adverse determination in any litigation, investigation, or proceeding could cause us to pay damages, incur legal and other costs, limit our ability to conduct business, or require us to change the manner in which we operate.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potential government investigations or enforcement actions under anti-monopoly and anti-unfair competition laws and regulations. </w:t>
      </w:r>
    </w:p>
    <w:p>
      <w:pPr>
        <w:pStyle w:val="TextBody"/>
        <w:bidi w:val="0"/>
        <w:spacing w:before="120" w:after="0"/>
        <w:jc w:val="left"/>
        <w:rPr>
          <w:rFonts w:ascii="Times New Roman" w:hAnsi="Times New Roman"/>
          <w:sz w:val="20"/>
        </w:rPr>
      </w:pPr>
      <w:r>
        <w:rPr>
          <w:rFonts w:ascii="Times New Roman" w:hAnsi="Times New Roman"/>
          <w:sz w:val="20"/>
        </w:rPr>
        <w:t xml:space="preserve">The PRC government, media outlets, and public advocacy groups have been increasingly focused on anti-monopoly and anti-unfair competition. In October 2020, the SAMR issued the Interim Provisions for Regulating Promotional Activities, which came into effect on December 1, 2020. Among other things, these interim provisions are designed to promote consumer protection and prohibit false or misleading commercial information used in promotional activities. Failure to comply with these provisions may subject us to penalties or other administrative actions by regulatory authorities. On February 7, 2021, the Anti-monopoly Committee of the State Council published the Anti-monopoly Guidelines for the Platform Economy Sector that aims at enhancing anti-monopoly administration of businesses that operate under the platform model and the overall platform economy. The guidelines specifically prohibit certain acts of the platform economy operators that may have the effect of eliminating or limiting market competition, such as forcing users to choose the products or services of one operator exclusively from the others. In April 2021, the SAMR, together with certain other PRC government authorities, convened an administrative guidance meeting, focusing on unfair competition acts in community group buying, self-inspection, and rectification by major internet companies of possible violations of anti-monopoly, anti-unfair competition, tax, and other related laws and regulations, and requesting such companies to comply with the laws and regulations strictly and be subject to public supervision. In addition, many internet companies, including over 30 companies that attended such administrative guidance meeting, are required to conduct a comprehensive self-inspection and make necessary rectification accordingly. The SAMR stated that it would organize and conduct inspections on the companies’ rectification results. If a company is found to conduct illegal activities, more severe penalties are expected to be imposed in accordance with the laws. Considering the substantial uncertainty over the interpretation and implementation of the Anti-monopoly Guidelines for the Platform Economy Sector, we may face challenges in addressing its requirements and making necessary changes to our policies and practices, and may incur significant costs and expenses in an effort to do so. </w:t>
      </w:r>
    </w:p>
    <w:p>
      <w:pPr>
        <w:pStyle w:val="TextBody"/>
        <w:bidi w:val="0"/>
        <w:spacing w:before="240" w:after="0"/>
        <w:jc w:val="left"/>
        <w:rPr>
          <w:rFonts w:ascii="Times New Roman" w:hAnsi="Times New Roman"/>
          <w:sz w:val="20"/>
        </w:rPr>
      </w:pPr>
      <w:r>
        <w:rPr>
          <w:rFonts w:ascii="Times New Roman" w:hAnsi="Times New Roman"/>
          <w:sz w:val="20"/>
        </w:rPr>
        <w:t xml:space="preserve">On June 24, 2022, the Standing Committee of the National People’s Congress adopted the Decision of the Standing Committee of the National People’s Congress on Amending the PRC Anti-monopoly Law, which came into effect on August 1, 2022. This amendment decision increased the fines on business operators for illegal concentration to no more than ten percent of the preceding year’s sales revenue of the business operators if the concentration of business operators has or may have an effect of excluding or limiting competition, or a fine of up to RMB5 million if the concentration of business operators does not have an effect of excluding or limiting competition; the anti-monopoly enforcement agency may also order the business operators to cease the implementation of the concentration, to dispose of shares, assets, and the business within a period of time, or to take other necessary measures to restore to the status before the concentration if the concentration of the business operators has or may have an effect of excluding or limiting competition. In addition, according to the amendment decision, where a concentration of business operators does not meet the filing threshold set by the State Council but there is evidence that the concentration has or may have the effect of excluding or limiting competition, the anti-monopoly law enforcement agency may order the operators to file the concentration of business operators. Besides, the Provisions on the Threshold of Filings for Undertaking Concentrations issued by the State Council in 2008 and last amended on January 22, 2024 further adjusts the filing threshold for concentration of undertaking.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March 24, 2023, the SAMR released four regulations supporting the Anti-monopoly Law, namely the Review Measures of Concentration of Undertakings, the Provisions on the Prohibition of Monopoly Agreements, the Provisions on the Prohibitions of Acts of Abuse of Dominant Market Positions, and the Provisions on Curbing the Abuse of Administrative Power to Exclude or Restrict Competition, all of which came into effect on April 15, 2023. Each of these regulations superseded and replaced its corresponding interim provisions. The supporting regulations have, among other things, elaborated the specific requirements under the Anti-monopoly Law, optimized the regulatory and enforcement procedures, and imposed more stringent legal responsibilities on the relevant parties. </w:t>
      </w:r>
    </w:p>
    <w:p>
      <w:pPr>
        <w:pStyle w:val="TextBody"/>
        <w:bidi w:val="0"/>
        <w:spacing w:before="240" w:after="0"/>
        <w:jc w:val="left"/>
        <w:rPr>
          <w:rFonts w:ascii="Times New Roman" w:hAnsi="Times New Roman"/>
          <w:sz w:val="20"/>
        </w:rPr>
      </w:pPr>
      <w:r>
        <w:rPr>
          <w:rFonts w:ascii="Times New Roman" w:hAnsi="Times New Roman"/>
          <w:sz w:val="20"/>
        </w:rPr>
        <w:t xml:space="preserve">On January 10, 2024, the Anti-monopoly and Anti-unfair Competition Committee of the State Council issued the Anti-monopoly Guidelines for Industry Associations. The guidelines clarify prohibited practices for industry associations in organizing horizontal and vertical monopoly agreements, explicitly forbid interference with market pricing mechanisms, and specify corresponding legal liabilities for violations. On April 25, 2024, the Anti-monopoly Compliance Guideline for Operators was amended by the Anti-monopoly and Anti-unfair Competition Committee of the State Council. The guideline strengthens anti-monopoly compliance management and introduces measures for compliance management and incentives. On June 6, 2024, the State Council issued the Fair Competition Review Regulation. It is the first administrative regulation to comprehensively and systematically stipulate fair competition review, standardizing the review criteria for policy measures. On October 13, 2024, the SAMR issued the Work Rules for Handling Reports on Fair Competition Review, which clarifies the report handling mechanism and safeguards the public’s right to report policies and measures suspected of violating the fair competition review regulations. On November 4, 2024, the SAMR issued the Anti-monopoly Guidelines for Standard Essential Patents. It introduces ex-ante and interim supervision mechanisms, encourages best practices, and details monopolistic behaviors related to standard essential patents, clarifying their typical types and identification factors. On December 20, 2024, the SAMR issued the Guidelines for the Review of Horizontal Concentrations of Undertakings. It clarifies the review criteria for business operator concentrations with different market, focuses on dynamic competitive impacts, and removes the data protection clause. </w:t>
      </w:r>
    </w:p>
    <w:p>
      <w:pPr>
        <w:pStyle w:val="TextBody"/>
        <w:bidi w:val="0"/>
        <w:spacing w:before="240" w:after="0"/>
        <w:jc w:val="left"/>
        <w:rPr>
          <w:rFonts w:ascii="Times New Roman" w:hAnsi="Times New Roman"/>
          <w:sz w:val="20"/>
        </w:rPr>
      </w:pPr>
      <w:r>
        <w:rPr>
          <w:rFonts w:ascii="Times New Roman" w:hAnsi="Times New Roman"/>
          <w:sz w:val="20"/>
        </w:rPr>
        <w:t xml:space="preserve">Due to the enhanced enforcement of the Anti-monopoly Law, we may receive greater scrutiny and attention from regulators and more frequent and rigid investigation or review by regulators, which will increase our compliance costs and subject us to heightened risks and challenges. There are substantial uncertainties on the evolving legislative activities and varied local implementation practices of anti-monopoly and anti-unfair competition laws and regulations in China, and the Anti-monopoly Law, as amended, imposes a higher regulatory requirement for us to complete an acquisition. We may have to spend much more personnel cost and time evaluating and managing these risks and challenges in connection with our products and services as well as our investments in our ordinary business course to avoid any failure to comply with the Anti-monopoly Law and other anti-monopoly and anti-unfair competition laws and regulations. Our failure or perceived failure, if any, to comply with the Anti-monopoly Guidelines for Platform Economy Sector, the Anti-monopoly Law, and other anti-monopoly laws and regulations may result in governmental investigations or enforcement actions, litigations, or claims against us and could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We have been subject to administrative proceedings relating to anti-unfair competition laws, and may be subject to administrative proceedings relating to anti-monopoly and anti-unfair competition laws and regulations in the future. On May 6, 2024, the SAMR issued the Interim Provisions on Anti-Unfair Competition on the Internet, which prohibit business operators from using data, algorithms, and other technical means to commit traffic hijacking, interference, malicious incompatibility, and other improprieties to influence user choices or hinder or damage the normal operation of network products or services offered by other business operators. As of the date of this annual report, the aforesaid provisions have not been formally adopted, and due to the lack of further clarification, uncertainties remain as to the interpretation and implementation of such provisions. On December 25, 2024, the Standing Committee of the National People’s Congress, or SCNPC, promulgated the Revision Draft of Anti-unfair Competition Law for public comments, which reemphasized the specific rules to regulate unfair competition in the data economy area.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Due to the uncertainties associated with the evolving legislative activities and varied local implementation practices of anti-monopoly and anti-unfair competition laws and regulations in China, compliance with these laws, regulations, rules, guidelines, and implementations may be costly, and any incompliance or associated inquiries, investigations, and other governmental actions may divert significant management time and attention and our financial resources, bring negative publicity, subject us to liabilities or administrative penalties, and materially and adversely affect our financial conditions, operations, and business prospects.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are subject to changing law and regulations regarding regulatory matters, corporate governance, and public disclosure that have increased both our costs and the risk of non-compliance.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rules and regulations by various governing bodies, including, for example, the Securities and Exchange Commission, or the SEC, which is charged with the protection of investors and the oversight of companies whose securities are publicly traded, and the various regulatory authorities in China and the Cayman Islands,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 generating activities to compliance activities. For example, China enacted its amended Company Law, which came into effect on July 1, 2024. The changes are considerable in many respects and will have profound implications for companies incorporated in China, such as the five-year capital contribution timeframe for shareholders of limited liability companies to make their capital contributions in full, subject to applicable rules of transition period to be promulgated in the future. In response to these changes, we may need to devote significant efforts and resources to adapt and conform our PRC corporate practices to the new regulatory regime. </w:t>
      </w:r>
    </w:p>
    <w:p>
      <w:pPr>
        <w:pStyle w:val="TextBody"/>
        <w:bidi w:val="0"/>
        <w:spacing w:before="240" w:after="0"/>
        <w:jc w:val="left"/>
        <w:rPr>
          <w:rFonts w:ascii="Times New Roman" w:hAnsi="Times New Roman"/>
          <w:sz w:val="20"/>
        </w:rPr>
      </w:pPr>
      <w:r>
        <w:rPr>
          <w:rFonts w:ascii="Times New Roman" w:hAnsi="Times New Roman"/>
          <w:sz w:val="20"/>
        </w:rPr>
        <w:t xml:space="preserve">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strategic alliances or acquisitions may materially and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We may pursue selected strategic alliances and potential strategic acquisitions that are complementary to our business and operations, including opportunities that can help us promote our brand to new customers and suppliers, expand our product and service offerings, and improve our technology infrastructure. We may also pursue strategic initiatives with brands and platforms in international markets. </w:t>
      </w:r>
    </w:p>
    <w:p>
      <w:pPr>
        <w:pStyle w:val="TextBody"/>
        <w:bidi w:val="0"/>
        <w:spacing w:before="240" w:after="0"/>
        <w:jc w:val="left"/>
        <w:rPr>
          <w:rFonts w:ascii="Times New Roman" w:hAnsi="Times New Roman"/>
          <w:sz w:val="20"/>
        </w:rPr>
      </w:pPr>
      <w:r>
        <w:rPr>
          <w:rFonts w:ascii="Times New Roman" w:hAnsi="Times New Roman"/>
          <w:sz w:val="20"/>
        </w:rPr>
        <w:t xml:space="preserve">Strategic alliances with third parties could subject us to a number of risks, including risks associated with sharing proprietary information, non-performance or default by counterparties, and increasing expenses in establishing these new alliances, any of which may materially and adversely affect our business. We may have little ability to control or monitor the actions of our partners. To the extent a strategic partner suffers any negative publicity as a result of its business operations, our reputation may be negatively affected by virtue of our association with such party. In addition, although we have no current acquisition plans, we may consider entering into strategic acquisition of or alliance with other companies, businesses, assets, or technologies that are complementary to our business and operations as part of our growth strategy. </w:t>
      </w:r>
    </w:p>
    <w:p>
      <w:pPr>
        <w:pStyle w:val="TextBody"/>
        <w:bidi w:val="0"/>
        <w:spacing w:before="240" w:after="0"/>
        <w:jc w:val="left"/>
        <w:rPr>
          <w:rFonts w:ascii="Times New Roman" w:hAnsi="Times New Roman"/>
          <w:sz w:val="20"/>
        </w:rPr>
      </w:pPr>
      <w:r>
        <w:rPr>
          <w:rFonts w:ascii="Times New Roman" w:hAnsi="Times New Roman"/>
          <w:sz w:val="20"/>
        </w:rPr>
        <w:t xml:space="preserve">Strategic acquisitions and subsequent integrations of newly acquired businesses would require significant managerial and financial resources and could result in a diversion of resources from our existing business, which in turn could adversely affect our growth and business operations. The costs of identifying and consummating acquisitions may be significant. We may also incur significant expenses in obtaining approvals from shareholders and the government authorities in China and elsewhere in the world. Our failure to consummate acquisitions could also require us to pay certain pre-negotiated fees and expenses. Acquired businesses or assets may not generate expected financial results and may have historically incurred and continue to incur losses. In addition, acquisitions could also require the use of substantial amount of cash, issuance of equity or debt securities, incurrence of significant goodwill and related impairment charges, amortization expenses for intangible assets, and exposure to potential unknown liabilities of the acquired businesses or assets, including liabilities as the result of historical actions of the acquired businesses. The cost and duration of integrating newly acquired businesses could also materially exceed our expectations. Any such negative developments could materially and adversely affect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Any interruption in the operation of our logistics hubs or data centers for an extended period may materially and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process and fulfill orders accurately and to provide high-quality customer service depends on the efficient and uninterrupted operation of our logistics hubs and servers that we own located in data centers operated by major PRC internet datacenter providers. Our logistics hubs and data centers may be vulnerable to damage caused by fire, flood, power loss, telecommunications failure, break-ins, earthquake, human errors, and other events. We have developed a disaster tolerant system which includes real-time data mirroring, daily data back-up and system redundancy solutions. However, we do not carry business interruption insurance. The occurrence of any of the foregoing risks could materially and adversely affect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Pandemics, epidemics, or fear of spread of contagious diseases could disrupt our operations or Chinese or global economies, which could materially and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Global pandemics, epidemics in China or elsewhere in the world, or fear of spread of contagious diseases, such as COVID-19, H1N1 flu, H7N9 flu, avian flu, severe acute respiratory syndrome (SARS), Ebola, or other disease could disrupt our business operations in China and elsewhere in the world, reduce or restrict our fulfillment capacity, or result in regional or global economic distress, which may materially and adversely affect our business, financial condition, and results of operations. Any one or more of these events or recurrence may adversely affect our sales results, or even for a prolonged period of time, which could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Exposure to credit risks or significant deterioration in the asset quality of our internet finance business may materially and adversely affect our business, financial condition, and results of operation.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core online retail business, we also operate internet finance business, serving as a supporting function. We primarily cooperate with banks and third-party consumer financing companies to provide consumer loans to our customers, and charge the banks and third-party consumer financing companies a certain percentage of channel fees. Operating in this highly-regulated and fast-changing business sector involves risks and challenges. It may be difficult for us to capture the demands and preferences in the market and provide financial service products that meet our customers’ requirements and preferences. We may not be able to achieve customer satisfactory. </w:t>
      </w:r>
    </w:p>
    <w:p>
      <w:pPr>
        <w:pStyle w:val="TextBody"/>
        <w:bidi w:val="0"/>
        <w:spacing w:before="240" w:after="0"/>
        <w:jc w:val="left"/>
        <w:rPr>
          <w:rFonts w:ascii="Times New Roman" w:hAnsi="Times New Roman"/>
          <w:sz w:val="20"/>
        </w:rPr>
      </w:pPr>
      <w:r>
        <w:rPr>
          <w:rFonts w:ascii="Times New Roman" w:hAnsi="Times New Roman"/>
          <w:sz w:val="20"/>
        </w:rPr>
        <w:t xml:space="preserve">Additionally, the risk of nonpayment of loans is inherent in the financing business. We are not fully exempt from all the risks associated with potential bad debts. Defaults in payment for loans by our customers and suppliers expose us to bad debts. Furthermore, our ability to manage the quality of our loan portfolio and the associated credit risks will have significant impact on the results of operations of our internet finance business. Any significant deterioration in the asset quality of our internet finance business and significant increase in associated credit risks may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subject to product liability claims if people or properties are harmed by the products we sell. </w:t>
      </w:r>
    </w:p>
    <w:p>
      <w:pPr>
        <w:pStyle w:val="TextBody"/>
        <w:bidi w:val="0"/>
        <w:spacing w:before="120" w:after="0"/>
        <w:jc w:val="left"/>
        <w:rPr>
          <w:rFonts w:ascii="Times New Roman" w:hAnsi="Times New Roman"/>
          <w:sz w:val="20"/>
        </w:rPr>
      </w:pPr>
      <w:r>
        <w:rPr>
          <w:rFonts w:ascii="Times New Roman" w:hAnsi="Times New Roman"/>
          <w:sz w:val="20"/>
        </w:rPr>
        <w:t xml:space="preserve">We sell products manufactured by third parties, some of which may be defectively designed or manufactured. As a result, sales of such products could expose us to product liability claims in connection with personal injury or property damage and may require product recalls or other actions. Third parties subject to such injury or damage may bring claims or legal proceedings against us as a product retailer or as a marketplace service provider. Currently, we maintain product liability insurance in relation to products we sell for any product liability claims based on property damage or personal injury. We also maintain public liability insurance. However, any material product liability claim beyond our coverage or litigation could materially and adversely affect our business, financial condition, and results of operations. Even unsuccessful claims could result in the use of funds and managerial efforts in defending them and could negatively impact our reputation.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There can be no assurance that we will maintain profitable or positive cash flow from operating activities in the future. </w:t>
      </w:r>
    </w:p>
    <w:p>
      <w:pPr>
        <w:pStyle w:val="TextBody"/>
        <w:bidi w:val="0"/>
        <w:spacing w:before="120" w:after="0"/>
        <w:jc w:val="left"/>
        <w:rPr>
          <w:rFonts w:ascii="Times New Roman" w:hAnsi="Times New Roman"/>
          <w:sz w:val="20"/>
        </w:rPr>
      </w:pPr>
      <w:r>
        <w:rPr>
          <w:rFonts w:ascii="Times New Roman" w:hAnsi="Times New Roman"/>
          <w:sz w:val="20"/>
        </w:rPr>
        <w:t xml:space="preserve">Although we have achieved net profit since the fourth quarter of 2012, we cannot assure you that we can continue to generate net profits or maintain positive cash flow from operating activities in the future. Our ability to be profitable depends on our ability to grow our business and increase our total net revenues, to optimize our product category mix, to negotiate favorable terms with our suppliers, and to control our costs and operating expenses. Although we have experienced significant revenue growth since our inception, such growth may not be sustainable and we may incur net losses in future periods or fail to maintain positive cash flow from operating activities. We have incurred in the past and expect to continue to incur in future periods share-based compensation expenses and we expect our costs and other operating expenses to continue to increase as our business grows, either of which will reduce our net income and may result in future losses. If our costs and operating expenses continue to increase without a commensurate increase in our revenue, our business, financial condition, and results of operations will be adversely affected, and we may need additional capital to fund our ongoing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limited insurance coverage, which could expose us to significant costs and business disruption. </w:t>
      </w:r>
    </w:p>
    <w:p>
      <w:pPr>
        <w:pStyle w:val="TextBody"/>
        <w:bidi w:val="0"/>
        <w:spacing w:before="120" w:after="0"/>
        <w:jc w:val="left"/>
        <w:rPr>
          <w:rFonts w:ascii="Times New Roman" w:hAnsi="Times New Roman"/>
          <w:sz w:val="20"/>
        </w:rPr>
      </w:pPr>
      <w:r>
        <w:rPr>
          <w:rFonts w:ascii="Times New Roman" w:hAnsi="Times New Roman"/>
          <w:sz w:val="20"/>
        </w:rPr>
        <w:t xml:space="preserve">Risks associated with our business and operations include, but are not limited to, damage to properties due to fire, explosions, and other accidents, business interruption due to power shortages or network failure, product liability claims, transportation damages, losses of key personnel, and risks posed by natural disasters including storms, floods, and earthquakes, any of which may result in significant costs or business disruption. We have maintained insurance coverage we consider necessary and sufficient for our business, and customary for the industry in which we operate, including all risk property insurance covering our equipment, facilities, inventories, and other properties and public liability insurance covering certain premises liability. However, insurance companies in China currently offer limited business-related insurance products. We do not maintain business interruption insurance. We cannot assure you that our insurance coverage is sufficient to prevent us from any loss to be sustained or that we will be able to successfully claim our losses under our current insurance policies on a timely basis, or at all. If we incur any loss that is not covered by our insurance policies, or the compensated amount is significantly less than our actual loss, our business, financial condition, and results of operations could be materially and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depends on the continuing efforts of our management. If we lose their services, our business may be severely disrupted. </w:t>
      </w:r>
    </w:p>
    <w:p>
      <w:pPr>
        <w:pStyle w:val="TextBody"/>
        <w:bidi w:val="0"/>
        <w:spacing w:before="120" w:after="0"/>
        <w:jc w:val="left"/>
        <w:rPr>
          <w:rFonts w:ascii="Times New Roman" w:hAnsi="Times New Roman"/>
          <w:sz w:val="20"/>
        </w:rPr>
      </w:pPr>
      <w:r>
        <w:rPr>
          <w:rFonts w:ascii="Times New Roman" w:hAnsi="Times New Roman"/>
          <w:sz w:val="20"/>
        </w:rPr>
        <w:t xml:space="preserve">Our business operations depend on the continuing efforts of our management, particularly the executive officers named in “Item 6. Directors, Senior Management and Employees—A. Directors and Senior Management.” If one or more of our management were unable or unwilling to continue their employment with us, we might not be able to replace them in a timely manner, or at all. We may incur additional expenses to recruit and retain qualified replacements. Our business may be severely disrupted and our financial condition and results of operations may be materially and adversely affected. In addition, our management may join a competitor or form a competing company. We can provide no assurance that we will be able to successfully enforce our contractual rights included in the employment agreements we have entered into with our management team, particularly in China, where all these individuals reside. As a result, our business may be negatively affected due to the loss of one or more members of our management.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we are unable to attract, train, and retain qualified personnel, our business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We intend to hire and retain additional qualified employees to support our business operations and planned expansion. Our future success depends, to a significant extent, on our ability to attract, train, and retain qualified personnel, particularly management, technical, marketing, and other operational personnel with expertise in the online retail industry. Our experienced mid-level managers are instrumental in implementing our business strategies, executing our business plans and supporting our business operations and growth. Since our industry is characterized by high demand and intense competition for talent, we cannot assure you that we will be able to attract or retain qualified staff or other highly skilled employees that we will need in order to achieve our strategic objectives. In addition, our ability to train and integrate new employees into our operations may also be limited and may not meet the demand for our business growth on a timely fashion, or at all. If we are unable to attract, train, and retain qualified personnel, our business may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renew our current leases or locate desirable alternatives for our facilities could materially and adversely affect our business. </w:t>
      </w:r>
    </w:p>
    <w:p>
      <w:pPr>
        <w:pStyle w:val="TextBody"/>
        <w:bidi w:val="0"/>
        <w:spacing w:before="60" w:after="0"/>
        <w:jc w:val="left"/>
        <w:rPr>
          <w:rFonts w:ascii="Times New Roman" w:hAnsi="Times New Roman"/>
          <w:sz w:val="20"/>
        </w:rPr>
      </w:pPr>
      <w:r>
        <w:rPr>
          <w:rFonts w:ascii="Times New Roman" w:hAnsi="Times New Roman"/>
          <w:sz w:val="20"/>
        </w:rPr>
        <w:t xml:space="preserve">We lease various properties for offices, logistics centers, offline stores, data centers, and customer service centers. We may not be able to successfully extend or renew such leases and may therefore be forced to relocate our affected operations. This could disrupt our operations and result in significant relocation expenses, which could materially and adversely affect our business, financial condition, and results of operations. In addition, we compete with other businesses for premises at certain locations or of desirable sizes. As a result, even though we could extend or renew our leases, rental payments may significantly increase as a result of the high demand for the leased properties. In addition, we may not be able to locate desirable alternative sites for our facilities as our business continues to grow and such failure in relocating our affected operations could affect our business and operations.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use of leased properties could be challenged by third parties, which may cause interruptions to our business operations. </w:t>
      </w:r>
    </w:p>
    <w:p>
      <w:pPr>
        <w:pStyle w:val="TextBody"/>
        <w:bidi w:val="0"/>
        <w:spacing w:before="60" w:after="0"/>
        <w:jc w:val="left"/>
        <w:rPr>
          <w:rFonts w:ascii="Times New Roman" w:hAnsi="Times New Roman"/>
          <w:sz w:val="20"/>
        </w:rPr>
      </w:pPr>
      <w:r>
        <w:rPr>
          <w:rFonts w:ascii="Times New Roman" w:hAnsi="Times New Roman"/>
          <w:sz w:val="20"/>
        </w:rPr>
        <w:t xml:space="preserve">Some of our landlords do not have proper ownership certificates or authorization of sublease for the properties we lease, or have other restrictions on their ownership of the properties. In particular, several of our offices in Guangzhou, China are located on land allocated by local government, and the landlord has not obtained the government approvals for leasing the premises. Some of our leased properties are not used in accordance with the designated purposes of such properties. The land administrative authorities may retrieve the land and impose a fine on the landlords for unauthorized change of designated usage of land and we may incur additional costs for relocation. In addition, some of our leased properties were mortgaged by the owners to third parties before we entered into lease agreements with them, and if such owners fail to perform their obligations secured by such properties and the mortgage is enforced by the third parties, we may be unable to continue to lease such properties and may be forced to relocate. Furthermore, a few of our leasehold interests in leased properties have not been registered with the PRC government authorities as required by PRC laws. According to the PRC laws, rules, and regulations, failure to register a lease agreement will not affect its effectiveness between the landlord and the tenant. However, the landlord and the tenant may be subject to administrative fines of up to RMB10,000 each for such failure to register the lease and failure to make corrections within specified time limit. As of the date of this annual report, we are not aware of any material claims or actions being contemplated or initiated by government authorities or any third parties with respect to our leasehold interests in or use of such properties. However, we cannot assure you that our use of the leased properties will not be challenged by the government authorities or third parties alleging ownership of such properties. In the event that our use of properties is successfully challenged, we may be forced to relocate the affected operations. We can provide no assurance that we will be able to find suitable replacement sites on terms acceptable to us on a timely basis, or at all, or that we will not be subject to material liability resulting from third parties’ challenges on our use of such properties. As a result, our business, financial condition, and results of operations may be materially and adversely affected. </w:t>
      </w:r>
    </w:p>
    <w:p>
      <w:pPr>
        <w:pStyle w:val="TextBody"/>
        <w:bidi w:val="0"/>
        <w:spacing w:before="240" w:after="0"/>
        <w:jc w:val="left"/>
        <w:rPr>
          <w:rFonts w:ascii="Times New Roman" w:hAnsi="Times New Roman"/>
          <w:b/>
          <w:i/>
          <w:sz w:val="20"/>
        </w:rPr>
      </w:pPr>
      <w:r>
        <w:rPr>
          <w:rFonts w:ascii="Times New Roman" w:hAnsi="Times New Roman"/>
          <w:b/>
          <w:i/>
          <w:sz w:val="20"/>
        </w:rPr>
        <w:t xml:space="preserve">If we fail to implement and maintain an effective system of internal controls, we may be unable to accurately report our results of operations or prevent fraud, and investor confidence and the market price of our ADSs may be materially and adversely affected. </w:t>
      </w:r>
    </w:p>
    <w:p>
      <w:pPr>
        <w:pStyle w:val="TextBody"/>
        <w:bidi w:val="0"/>
        <w:spacing w:before="60" w:after="0"/>
        <w:jc w:val="left"/>
        <w:rPr>
          <w:rFonts w:ascii="Times New Roman" w:hAnsi="Times New Roman"/>
          <w:sz w:val="20"/>
        </w:rPr>
      </w:pPr>
      <w:r>
        <w:rPr>
          <w:rFonts w:ascii="Times New Roman" w:hAnsi="Times New Roman"/>
          <w:sz w:val="20"/>
        </w:rPr>
        <w:t xml:space="preserve">We are subject to the reporting obligations under the U.S. securities laws. The SEC, as required under Section 404 of the Sarbanes-Oxley Act of 2002, has adopted rules requiring a public company to include a report of management on the effectiveness of such company’s internal control over financial reporting in its annual report on Form 20-F. In addition, an independent registered public accounting firm for a public company must issue an attestation report on the effectiveness of our internal control over financial reporting for each fiscal year. As required by Section 404 of the Sarbanes-Oxley Act of 2002 and related rules promulgated by the SEC, our management assessed the effectiveness of our internal control over financial reporting as of December 31, 2024 using criteria established in Internal Control-Integrated Framework (2013) issued by the Committee of Sponsoring Organizations of the Treadway Commission. Based on this assessment, our management concluded that our internal control over financial reporting was effective as of December 31, 2024. In addition, our independent registered public accounting firm attested the effectiveness of our internal control and reported that our internal control over financial reporting was effective as of December 31, 2024. If we fail to achieve and maintain an effective internal control environment for our financial reporting, we may not be able to conclude on an ongoing basis that we have effective internal control over financial reporting in accordance with the Sarbanes-Oxley Act of 2002. We may therefore need to incur additional costs and use additional management and other resources in an effort to comply with Section 404 of the Sarbanes-Oxley Act of 2002 and other requirements going forward. Moreover, effective internal control over financial reporting is necessary for us to produce reliable financial reports. As a result, any failure to maintain effective internal control over financial reporting could result in the loss of investor confidence in the reliability of our financial statements, which in turn could negatively impact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t>
      </w:r>
    </w:p>
    <w:p>
      <w:pPr>
        <w:pStyle w:val="TextBody"/>
        <w:bidi w:val="0"/>
        <w:spacing w:before="240" w:after="0"/>
        <w:jc w:val="left"/>
        <w:rPr>
          <w:rFonts w:ascii="Times New Roman" w:hAnsi="Times New Roman"/>
          <w:b/>
          <w:i/>
          <w:sz w:val="20"/>
        </w:rPr>
      </w:pPr>
      <w:r>
        <w:rPr>
          <w:rFonts w:ascii="Times New Roman" w:hAnsi="Times New Roman"/>
          <w:b/>
          <w:i/>
          <w:sz w:val="20"/>
        </w:rPr>
        <w:t xml:space="preserve">Our business, financial condition, and results of operations, as well as our ability to obtain financing, may be adversely affected by the downturn in the global or Chinese economy. </w:t>
      </w:r>
    </w:p>
    <w:p>
      <w:pPr>
        <w:pStyle w:val="TextBody"/>
        <w:bidi w:val="0"/>
        <w:spacing w:before="60" w:after="0"/>
        <w:jc w:val="left"/>
        <w:rPr>
          <w:rFonts w:ascii="Times New Roman" w:hAnsi="Times New Roman"/>
          <w:sz w:val="20"/>
        </w:rPr>
      </w:pPr>
      <w:r>
        <w:rPr>
          <w:rFonts w:ascii="Times New Roman" w:hAnsi="Times New Roman"/>
          <w:sz w:val="20"/>
        </w:rPr>
        <w:t xml:space="preserve">COVID-19 had a severe and negative impact on the Chinese and the global economy from 2020 through 2022, and the global macroeconomic environment still faces numerous challenges. The growth rate of the Chinese economy has been generally slowing since 2010 and the Chinese population began to decline in 2022. The Russia-Ukraine conflict, the Hamas-Israel conflict, and attacks on shipping in the Red Sea have heightened geopolitical tensions across the world. The impact of the Russia-Ukraine conflict on Ukraine food exports has contributed to increases in food prices and thus to inflation more generally.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current tensions in international trade and rising international political tensions may adversely affect our business, financial condition, and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In recent years, there have been heightened trade and political tensions in international relations, particularly between the United States and China. These tensions have affected both diplomatic and economic ties between the two countries and created uncertainties to the international economy as a whole. Heightened tensions could reduce levels of trade, investments, technological exchanges, and other economic activities between major economies. The existing tensions and any further deterioration in the relationship between the United States and China and between other countries may have a negative impact on the general, economic, political, and social conditions around the globe, United States and China in particular, and thus adversely impact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U.S. government has implemented policies restricting international trade and investment, such as tariffs, export controls, economic or trade sanctions, and foreign investment filing and approval requirements. These actions may materially and adversely affect international trade, global financial markets, and the stability of the global economic condition. In the past, the U.S. government has imposed higher tariffs on certain products imported from China to penalize China for what it characterizes as unfair trade practices. China has responded by imposing higher tariffs on certain products imported from the United States. Recently, the U.S. has imposed or proposed the imposition of new tariffs on products imported into the U.S. from a number of countries, such as China and Canada and could propose additional tariffs or increases to those already in place. As of the date of this annual report, there is still a high degree of uncertainty surrounding U.S. tariff policy, how it will be implemented, and how other countries will react to it. Escalating U.S.-China tariff tensions have triggered a chain reaction of economic and political repercussions, potentially worsening bilateral relations. U.S. legislative and policy initiatives may impose stricter measures on China-based companies listed on U.S. exchanges. Heightened tensions could also reduce levels of trade, investments, technological exchanges, and other economic activities between the two major economies. The existing tensions and any further deterioration in the relationship between the United States and China may have a negative impact on the general, economic, political, and social conditions in both countries and, given our reliance on the Chinese market, adversely impact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United States government has taken efforts to limit the outbound U.S. investments to China. On August 9, 2023, the Biden administration of the United States released an executive order directing the Department of Treasury to create an outbound foreign direct investment review program that would require reporting on or (in more narrow circumstances) prohibit investments by U.S. persons involving “covered national security technologies and products.” On October 28, 2024, the Department of Treasury issued a final rule to implement the executive order, providing details on technical specifications and other aspects of the operative regulations, which came into effect on January 2, 2025. This is referred to as the Outbound Investment Rule.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 We do not believe that Vipshop Holdings Limited would be defined as a Covered Foreign Person under the Outbound Investment Rule because we do not engage in a “covered activity” (as defined in the Outbound Investment Rule) or otherwise meet the definition of Covered Foreign Persons provided in the Outbound Investment Rule. However, there is no assurance that the U.S. Department of Treasury will take the same view as ours. If we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For example,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As of the date of this annual report, the proposed changes under the America First Investment Policy are not implemented, although the proposed restrictions may further deepen the uncertainties for cross-border collaborations, investments, and funding opportunities for China-based issuers including us. If our ability to raise such capital is significantly and negatively affected, it could be detrimental to our business, financial condition and prospects, and our ADSs may significantly decline in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Rising political tensions could reduce levels of trades, investments, technological exchanges, and other economic activities across the globe, which would have a material adverse effect on global economic conditions and the stability of global financial markets. Any of these factors could have a material adverse effect on the demand of our vehicles, and thus negatively affect our business, prospects,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results of operations are subject to quarterly fluctuations due to a number of factors that could adversely affect our business and the trading price of our ADSs. </w:t>
      </w:r>
    </w:p>
    <w:p>
      <w:pPr>
        <w:pStyle w:val="TextBody"/>
        <w:bidi w:val="0"/>
        <w:spacing w:before="120" w:after="0"/>
        <w:jc w:val="left"/>
        <w:rPr>
          <w:rFonts w:ascii="Times New Roman" w:hAnsi="Times New Roman"/>
          <w:sz w:val="20"/>
        </w:rPr>
      </w:pPr>
      <w:r>
        <w:rPr>
          <w:rFonts w:ascii="Times New Roman" w:hAnsi="Times New Roman"/>
          <w:sz w:val="20"/>
        </w:rPr>
        <w:t xml:space="preserve">We experience seasonality in our business, reflecting a combination of seasonal fluctuations in internet usage, traditional retail seasonality patterns, and seasonal buying patterns in certain categories such as apparel. For example, we generally experience less user traffic and purchase orders during holidays in China, particularly during the Chinese New Year period in the first quarter of the year, when customers tend to shop less. Furthermore, sales in the retail industry are typically significantly higher in the fourth quarter of the year than in the preceding three quarters. E-commerce companies in China hold special promotional campaigns on November 11 and December 12 each year that boost sales in the fourth quarter relative to other quarters, and we hold a special promotional campaign in the fourth quarter of each year to celebrate the anniversary of the founding of our platform. Due to the foregoing factors, our financial condition and results of operations for future quarters may continue to fluctuate and our historical quarterly results may not be comparable to future quarters. As a result, the trading price of our ADSs may fluctuate from time to time due to seasonality.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Our Corporate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Substantial uncertainties and restrictions exist with respect to the interpretation and application of PRC laws and regulations relating to online commerce and provision of internet content in China. If the PRC government finds that the structure we have adopted for our business operations does not comply with PRC laws and regulations, we could be subject to severe penalties, including shut-down of our Vipshop Online Platform. </w:t>
      </w:r>
    </w:p>
    <w:p>
      <w:pPr>
        <w:pStyle w:val="TextBody"/>
        <w:bidi w:val="0"/>
        <w:spacing w:before="120" w:after="0"/>
        <w:jc w:val="left"/>
        <w:rPr>
          <w:rFonts w:ascii="Times New Roman" w:hAnsi="Times New Roman"/>
          <w:sz w:val="20"/>
        </w:rPr>
      </w:pPr>
      <w:r>
        <w:rPr>
          <w:rFonts w:ascii="Times New Roman" w:hAnsi="Times New Roman"/>
          <w:sz w:val="20"/>
        </w:rPr>
        <w:t xml:space="preserve">Foreign ownership of internet-based businesses is subject to significant restrictions under current PRC laws and regulations. The PRC government regulates internet access, provision of online information, and operation of online commerce through strict business licensing requirements and other government regulations. These laws and regulations also include limitations on foreign ownership in the PRC companies that provide value-added telecommunication services, including commercial internet content services and online data processing and transaction processing (operating e-commerce) services. Specifically, foreign investors are not allowed to own more than 50% of the equity interests in any entity operating value-added telecommunication services (except for operating e-commerce, domestic multi-party communication, store-and-forward, and call center), including commercial internet content provision business. The Ministry of Information Industry (the predecessor of the Ministry of Industry and Information Technology) issued the Circular on Strengthening the Administration of Foreign Investment in and Operation of Value-added Telecommunications Business in July 2006. This circular reiterated the regulations on foreign investment in telecommunications businesses, which require foreign investors to set up foreign-invested enterprises and obtain value-added telecommunication business operating licenses to operate any value-added telecommunications business in China. Because commercial internet content provision is a value-added telecommunication business, foreign-invested enterprises that plan to engage in internet content provision business must obtain value-added telecommunication business operating licenses for internet content provision business. Meanwhile, the operators of online platforms that provide access to third-party merchants for sales of their products are also required to obtain value-added telecommunication business operating licenses for online data processing and transaction processing (operating e-commerce) services. Under this circular, a PRC domestic company that holds a value-added telecommunication business operating license, including the value-added telecommunication business operating license for internet content provision business or online data processing and transaction processing (operating e-commerce) services, is prohibited from leasing, transferring, or selling the license to foreign investors in any form, and is also prohibited from providing any assistance, including providing resources, sites, or facilities, to foreign investors that operate value-added telecommunications business illegally in China. Meanwhile, foreign investors are prohibited from investing in companies engaged in internet audio-video programs businesses and internet culture businesses (except for music).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a Cayman Islands company, and our PRC subsidiary Vipshop (China) Co., Ltd., or Vipshop China, is a WFOE under the PRC law. To comply with PRC laws and regulations, our operations in China, including the operations of our Vipshop Online Platform, are conducted through contractual arrangements entered into between Vipshop China and the respective consolidated variable interest entities, Vipshop E-Commerce, Vipshop Information, and Pin Jun Tong. Because all shareholders of the consolidated variable interest entities are PRC citizens, the consolidated variable interest entities are considered PRC domestic companies under PRC laws. As of the date of this annual report, Vipshop E-Commerce holds a value-added telecommunication business operating license for online data processing and transaction processing (operating e-commerce) services valid until December 28, 2027, which is required for providing platform access to third-party merchants for their sales of products to further develop our business; Vipshop E-Commerce also holds an Internet Culture Operation License, which is valid until May 27, 2027, for its operation of internet culture businesses. We are in the process of renewing this license. However, we cannot assure you that we can renew this license before its expiry, or at all. For a detailed description of these licenses and permits, see “Item 4. Information on the Company—B. Business Overview—Regulation—Regulations Relating to Licenses and Permits.” Each of the consolidated variable interest entities is a PRC limited liability company. As a result of these contractual arrangements, we are considered the primary beneficiary of the consolidated variable interest entities and consolidate their operating results in our financial statements under U.S. GAAP for accounting purposes. For a detailed description of these contractual arrangements, see “Item 4. Information on the Company—C. Organizational Structure.” </w:t>
      </w:r>
    </w:p>
    <w:p>
      <w:pPr>
        <w:pStyle w:val="TextBody"/>
        <w:bidi w:val="0"/>
        <w:spacing w:before="240" w:after="0"/>
        <w:jc w:val="left"/>
        <w:rPr>
          <w:rFonts w:ascii="Times New Roman" w:hAnsi="Times New Roman"/>
          <w:sz w:val="20"/>
        </w:rPr>
      </w:pPr>
      <w:r>
        <w:rPr>
          <w:rFonts w:ascii="Times New Roman" w:hAnsi="Times New Roman"/>
          <w:sz w:val="20"/>
        </w:rPr>
        <w:t xml:space="preserve">In the opinion of our PRC legal counsel, Han Kun Law Offices, based on its understanding of the PRC laws, rules, and regulations, our current ownership structure, the ownership structure of our PRC subsidiaries, and the consolidated variable interest entities, each as described in this annual report, do not violate any PRC laws, rules, and regulations currently in effect, and the contractual arrangements among (a) Vipshop China, (b) Vipshop E-Commerce, and (c) shareholders of Vipshop E-Commerce as one set and the other two sets concerning the insignificant consolidated variable interest entities, each as described in this annual report, are not in violation of any PRC laws, rules, and regulations currently in effect. There are, however, substantial uncertainties regarding the interpretation and application of current or future PRC laws and regulations. See also “Item 3. Key Information—D. Risk Factors—Risks Relating to Our Corporate Structure—Our business may be significantly affected by the PRC Foreign Investment Law.” Accordingly, we cannot assure you that PRC government authorities will not ultimately take a view contrary to or otherwise different from that of our PRC legal counsel. </w:t>
      </w:r>
    </w:p>
    <w:p>
      <w:pPr>
        <w:pStyle w:val="TextBody"/>
        <w:bidi w:val="0"/>
        <w:spacing w:before="240" w:after="0"/>
        <w:jc w:val="left"/>
        <w:rPr>
          <w:rFonts w:ascii="Times New Roman" w:hAnsi="Times New Roman"/>
          <w:sz w:val="20"/>
        </w:rPr>
      </w:pPr>
      <w:r>
        <w:rPr>
          <w:rFonts w:ascii="Times New Roman" w:hAnsi="Times New Roman"/>
          <w:sz w:val="20"/>
        </w:rPr>
        <w:t xml:space="preserve">Particularly, we are a Cayman Islands holding company with no equity ownership in the consolidated variable interest entities with which we have maintained contractual arrangements. Investors in our ADSs thus are not purchasing equity interest in the consolidated variable interest entities in China but instead are purchasing equity interest in a Cayman Islands holding company. If our ownership structure, contractual arrangements, and businesses of our company, our PRC subsidiaries, or the consolidated variable interest entities are found to be in violation of any existing or future PRC laws or regulations, or if these regulations or the interpretation of existing regulations change or are interpreted differently in the future, the government authorities, including the CSRC, would have broad discretion in dealing with such violation, including levying fines, confiscating our income or the income of our PRC subsidiaries or the consolidated variable interest entities, revoking the business licenses or operating licenses of our PRC subsidiaries or the consolidated variable interest entities, shutting down our servers or blocking our platform, discontinuing or placing restrictions or onerous conditions on our operations, requiring us to undergo a costly and disruptive restructuring, restricting or prohibiting our use of proceeds from any securities offerings outside China to finance our business and operations in China, and taking other regulatory or enforcement actions that could be harmful to our business. We could also be forced to relinquish our interests in those operations. Our ADSs may decline in value or become worthless if we are unable to maintain the rights over the assets of the consolidated variable interest entities to which our WFOEs are entitled pursuant to the contractual arrangements, which contributed 1.1%, 0.3% and 0.3% of our revenues in 2022, 2023 and 2024, respectively. Our Cayman Islands holding company, the consolidated variable interest entities, and investors of our company face uncertainty about potential future actions by the PRC government that could affect the enforceability of the contractual arrangements with the consolidated variable interest entities and, consequently, significantly affect the financial performance of the consolidated variable interest entities and our company as a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rely on contractual arrangements with the consolidated variable interest entities and their respective shareholders for the operation of our business, which may not be as effective as direct ownership. If the consolidated variable interest entities and their respective shareholders fail to perform their obligations under these contractual arrangements, we may have to resort to arbitration or litigation to enforce our rights, which may be time-consuming, unpredictable, expensive, and damaging to our operations and reputation. </w:t>
      </w:r>
    </w:p>
    <w:p>
      <w:pPr>
        <w:pStyle w:val="TextBody"/>
        <w:bidi w:val="0"/>
        <w:spacing w:before="120" w:after="0"/>
        <w:jc w:val="left"/>
        <w:rPr>
          <w:rFonts w:ascii="Times New Roman" w:hAnsi="Times New Roman"/>
          <w:sz w:val="20"/>
        </w:rPr>
      </w:pPr>
      <w:r>
        <w:rPr>
          <w:rFonts w:ascii="Times New Roman" w:hAnsi="Times New Roman"/>
          <w:sz w:val="20"/>
        </w:rPr>
        <w:t xml:space="preserve">Because of the PRC restrictions on foreign ownership of internet-based businesses in China, we depend on contractual arrangements with the consolidated variable interest entities, in which we have no ownership interest, through our PRC subsidiaries to partially conduct our operations. These contractual arrangements, governed by PRC laws, are intended to enable us to make management decisions of the consolidated variable interest entities and allow us to obtain economic benefits from them. Although we have been advised by our PRC legal counsel, Han Kun Law Offices, that these contractual arrangements are valid, binding, and enforceable under current PRC laws, these contractual arrangements may not be as effective in providing control as direct ownership. For example, the consolidated variable interest entities and their respective shareholders could breach their contractual arrangements with us by, among other things, failing to operate our online retail business in an acceptable manner or taking other actions that are detrimental to our interests. If we held controlling equity interest in the consolidated variable interest entities, we would be able to exercise our shareholder rights to effect changes to its board of directors, which in turn could implement changes, subject to any applicable fiduciary obligations, at the management and operational level of the consolidated variable interest entities. However, under the current contractual arrangements, if the consolidated variable interest entities or their respective shareholders fail to perform their obligations under these contractual arrangements, we may have to incur substantial costs to enforce such arrangements, and rely on legal remedies, including arbitration and litigation, under the PRC law, which may not be sufficient or effective. In particular, the contractual arrangements provide that any dispute arising from these arrangements will be resolved by arbitration, and any ruling of such arbitration will be final and binding. The legal framework and system in China, particularly those relating to arbitration proceedings, is not as developed as other jurisdictions such as the United States. As a result, significant uncertainties relating to the enforcement of legal rights through arbitration, litigation, and other legal proceedings remain in China, which could limit our ability to enforce these contractual arrangements. If we are unable to enforce these contractual arrangements, or if we suffer significant delay or other obstacles in the process of enforcing these contractual arrangements, our business and operations could be severely disrupted, which could materially and adversely affect our results of operations and damage our reputation, and we may not be able to consolidate the financial results of the consolidated variable interest entities into our consolidated financial statements in accordance with U.S. GAAP. See “Item 3. Key Information—D. Risk Factors—Risks Relating to Doing Business in China—Uncertainties with respect to the PRC legal system could adversely affect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shareholders of the significant consolidated variable interest entity have potential conflict of interest with us, which may adversely affect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Each shareholder of Vipshop E-Commerce is an employee of our company, and one of them also serve as a shareholder and director of our company, who has a duty of care and a duty of loyalty to our company and to our shareholders as a whole under Cayman Islands law. Thus, conflict of interest between their duties to our company and our shareholders and their interests in Vipshop E-Commerce may arise. </w:t>
      </w:r>
    </w:p>
    <w:p>
      <w:pPr>
        <w:pStyle w:val="TextBody"/>
        <w:bidi w:val="0"/>
        <w:spacing w:before="240" w:after="0"/>
        <w:jc w:val="left"/>
        <w:rPr>
          <w:rFonts w:ascii="Times New Roman" w:hAnsi="Times New Roman"/>
          <w:sz w:val="20"/>
        </w:rPr>
      </w:pPr>
      <w:r>
        <w:rPr>
          <w:rFonts w:ascii="Times New Roman" w:hAnsi="Times New Roman"/>
          <w:sz w:val="20"/>
        </w:rPr>
        <w:t xml:space="preserve">Even though the contractual arrangements with Vipshop E-Commerce and its shareholders provide that (i) we may replace any such individual as a shareholder of Vipshop E-Commerce at our discretion, and (ii) each of these individuals has executed a power of attorney to appoint Vipshop China or its designated third party to vote on their behalf and exercise shareholder rights of Vipshop E-Commerce, we cannot assure you that these individuals would not breach or cause Vipshop E-Commerce to breach the existing contractual arrangements. It is possible that these individuals may not act in the best interests of our company, should any conflict of interest arise, or that any conflict of interest may not be resolved in our favor. If we cannot resolve the conflict of interest or disputes between us and any of these individuals, we would have to rely on legal proceedings, which may be expensive, time-consuming, and disruptive to our operations. There is also substantial uncertainty as to the outcome of any such legal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lose the ability to use and enjoy assets held by the consolidated variable interest entities that are important to the operation of our business if either such entity goes bankrupt or becomes subject to a dissolution or liquidation proceeding. </w:t>
      </w:r>
    </w:p>
    <w:p>
      <w:pPr>
        <w:pStyle w:val="TextBody"/>
        <w:bidi w:val="0"/>
        <w:spacing w:before="120" w:after="0"/>
        <w:jc w:val="left"/>
        <w:rPr>
          <w:rFonts w:ascii="Times New Roman" w:hAnsi="Times New Roman"/>
          <w:sz w:val="20"/>
        </w:rPr>
      </w:pPr>
      <w:r>
        <w:rPr>
          <w:rFonts w:ascii="Times New Roman" w:hAnsi="Times New Roman"/>
          <w:sz w:val="20"/>
        </w:rPr>
        <w:t xml:space="preserve">As part of our contractual arrangements with the consolidated variable interest entities, some of these entities hold certain assets that are important to the operation of our business. If any of the consolidated variable interest entities goes bankrupt and all or part of its assets become subject to liens or rights of third-party creditors, we may be unable to continue some or all of our business activities, which could adversely affect our business, financial condition, and results of operations. If any of the consolidated variable interest entities undergoes a voluntary or involuntary liquidation proceeding, the unrelated third-party creditors may claim rights to some or all of these assets, thereby hindering our ability to operate our business, which could materially and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business may be significantly affected by the PRC Foreign Investment Law. </w:t>
      </w:r>
    </w:p>
    <w:p>
      <w:pPr>
        <w:pStyle w:val="TextBody"/>
        <w:bidi w:val="0"/>
        <w:spacing w:before="120" w:after="0"/>
        <w:jc w:val="left"/>
        <w:rPr>
          <w:rFonts w:ascii="Times New Roman" w:hAnsi="Times New Roman"/>
          <w:sz w:val="20"/>
        </w:rPr>
      </w:pPr>
      <w:r>
        <w:rPr>
          <w:rFonts w:ascii="Times New Roman" w:hAnsi="Times New Roman"/>
          <w:sz w:val="20"/>
        </w:rPr>
        <w:t xml:space="preserve">On March 15, 2019, the National People’s Congress approved the PRC Foreign Investment Law, which came into effect on January 1, 2020 and replaced the trio of existing laws regulating foreign investment in China, namely, the PRC Wholly Foreign-invested Enterprise Law, the PRC Sino-foreign Cooperative Joint Venture Enterprise Law, and the PRC Sino-foreign Equity Joint Venture Enterprise Law, together with their implementation rules and ancillary regulations. The PRC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law adds a catch-all clause to the definition of “foreign investment,” which includes investments made by foreign investors in China through other means defined by other laws or administrative regulations or provisions promulgated by the State Council, without further elaboration on the scope of “other means.” The Implementing Regulation of the Foreign Investment Law adopted by the State Council on December 26, 2019 did not provide further clarification for such “other means” either. The current laws and regulations leave leeway for future legislation to be promulgated by competent PRC legislative institutions to provide for contractual arrangements as a form of foreign investment and subject to foreign investment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most recent negative list, issued on September 6, 2024 and effective on November 1, 2024, stipulates that any PRC domestic enterprise engaging in prohibited industries under the negative list must obtain the consent of the competent PRC authorities for overseas listing, and the foreign investors cannot participate in the operation and management of such enterprise, and the shareholding percentage of the foreign investors in such enterprise must be subject to the administrative provisions relating to foreign investment in the securities of PRC domestic companies. Such negative list does not further elaborate whether existing overseas listed enterprise will be subject to such requirements. The staff of the National Development and Reform Commission, or the NDRC, addressed in an interview on December 27, 2021 that certain existing overseas listed enterprises whose foreign investors’ shareholding percentage exceed the aforementioned threshold are not required to make adjustment or deduction. It is unclear, however, whether the aforesaid provisions in the negative list will apply to the companies that conduct their business operations in China through contractual arrangements. The Guideline No. 2 on the Application of Regulatory Rules on Overseas Securities Offerings and Listings, as one of the supporting guidelines for the Overseas Offering and Listing Measures, provides that the filing documents submitted to the CSRC must specify, among other things: (i) whether the PRC laws, administrative regulations, or provisions restrict or prohibit the PRC domestic companies from conducting business and/or holding licenses or qualifications for the issuers through contractual arrangements; and (ii) whether the PRC domestic operating entities that have contractual arrangements with the issuers fall into the industries in which foreign investments are restricted or prohibited. The officials from the CSRC clarified at the press conference held for the Overseas Offering and Listing Measures on February 17, 2023, that the CSRC would solicit opinions from regulatory authorities and complete the filing of the overseas listing of companies with the variable interest entity structure that meet the compliance requirements. Uncertainty still remains on how such rules will be interpreted and implemented. It also remains uncertain whether our corporate structure may be deemed as violating the foreign investment restrictions in China. </w:t>
      </w:r>
    </w:p>
    <w:p>
      <w:pPr>
        <w:pStyle w:val="TextBody"/>
        <w:bidi w:val="0"/>
        <w:spacing w:before="240" w:after="0"/>
        <w:jc w:val="left"/>
        <w:rPr>
          <w:rFonts w:ascii="Times New Roman" w:hAnsi="Times New Roman"/>
          <w:sz w:val="20"/>
        </w:rPr>
      </w:pPr>
      <w:r>
        <w:rPr>
          <w:rFonts w:ascii="Times New Roman" w:hAnsi="Times New Roman"/>
          <w:sz w:val="20"/>
        </w:rPr>
        <w:t xml:space="preserve">Furthermore, if future legislations prescribed by the State Council, the CSRC, or other PRC regulatory authorities mandate further actions to be taken by companies with respect to existing contractual arrangement, we may face substantial uncertainties as to whether we can complete such actions in a timely manner, or at all. If we fail to take appropriate and timely measures to comply with any of these or similar regulatory compliance requirements, our current corporate structure, corporate governance, and business operations could be materially and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Our contractual arrangements with the consolidated variable interest entities may result in adverse tax consequences to us. </w:t>
      </w:r>
    </w:p>
    <w:p>
      <w:pPr>
        <w:pStyle w:val="TextBody"/>
        <w:bidi w:val="0"/>
        <w:spacing w:before="120" w:after="0"/>
        <w:jc w:val="left"/>
        <w:rPr>
          <w:rFonts w:ascii="Times New Roman" w:hAnsi="Times New Roman"/>
          <w:sz w:val="20"/>
        </w:rPr>
      </w:pPr>
      <w:r>
        <w:rPr>
          <w:rFonts w:ascii="Times New Roman" w:hAnsi="Times New Roman"/>
          <w:sz w:val="20"/>
        </w:rPr>
        <w:t xml:space="preserve">We might be subject to adverse tax consequences if the PRC tax authorities were to determine that the contracts between our PRC subsidiaries and the consolidated variable interest entities were not entered into on an arm’s length basis and therefore constitute favorable transfer pricing arrangements. If this occurs, the PRC tax authorities could request that the consolidated variable interest entities adjust its taxable income, if any, upward for PRC tax purposes. Such a pricing adjustment could adversely affect us by increasing the consolidated variable interest entities’ tax expenses without reducing our tax expenses, which could subject the consolidated variable interest entities to late payment fees and other penalties for underpayment of taxes. The PRC Enterprise Income Tax Law requires every enterprise in China to submit annual report of enterprise income tax together with a report on transactions with its related parties to the tax authorities. The tax authorities may impose reasonable adjustments on taxation if they have identified any related party transactions that are inconsistent with arm’s length principles. As a result, our contractual arrangements with the consolidated variable interest entities may result in adverse tax consequences to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our PRC subsidiaries and the consolidated variable interest entities fail to obtain and maintain the requisite assets, licenses, and approvals required under PRC laws, our business, financial condition, and results of operations may be materially and adversely affected. </w:t>
      </w:r>
    </w:p>
    <w:p>
      <w:pPr>
        <w:pStyle w:val="TextBody"/>
        <w:bidi w:val="0"/>
        <w:spacing w:before="120" w:after="0"/>
        <w:jc w:val="left"/>
        <w:rPr>
          <w:rFonts w:ascii="Times New Roman" w:hAnsi="Times New Roman"/>
          <w:sz w:val="20"/>
        </w:rPr>
      </w:pPr>
      <w:r>
        <w:rPr>
          <w:rFonts w:ascii="Times New Roman" w:hAnsi="Times New Roman"/>
          <w:sz w:val="20"/>
        </w:rPr>
        <w:t xml:space="preserve">Foreign investment and the internet industry in China are highly regulated by the PRC government, and numerous regulatory authorities of the central PRC government are empowered to issue and implement regulations governing various aspects of the internet industry. See “Item 4. Information on the Company—B. Business Overview—Regulation—Regulations Relating to Foreign Investments in Value-added Telecommunications Businesses.” Our PRC subsidiaries and the consolidated variable interest entities are required to obtain and maintain certain assets relevant to their businesses as well as applicable licenses or approvals from different regulatory authorities in order to provide their current services. These assets and licenses are essential to the operation of our business and are generally subject to annual review by the government authorities. Furthermore, our PRC subsidiaries and the consolidated variable interest entities may be required to obtain additional licenses. For instance, as we have launched various internet finance businesses, we are required to obtain and hold various licenses, permits, or approvals that are required for the provision of those internet finance services, and we may be required to obtain additional licenses, permits, or approvals in case we further expand our internet finance businesses in the future. See “Item 4. Information on the Company—B. Business Overview—Regulation—Regulations Relating to Internet Finance.” However, we cannot assure you that we will obtain such licenses, permits, or approvals in a timely manner, or at all, due to complex procedural requirements and policies. If we fail to obtain or maintain any of the required assets, licenses, or approvals, our continued business operations in the internet industry may subject it to various penalties, such as confiscation of illegal net revenue, fines, and the discontinuation or restriction of our operations. Any such disruption in the business operations of the consolidated variable interest entities will materially and adversely affect our business, financial condition, and results of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Doing Business in China </w:t>
      </w:r>
    </w:p>
    <w:p>
      <w:pPr>
        <w:pStyle w:val="TextBody"/>
        <w:bidi w:val="0"/>
        <w:spacing w:before="120" w:after="0"/>
        <w:jc w:val="left"/>
        <w:rPr>
          <w:rFonts w:ascii="Times New Roman" w:hAnsi="Times New Roman"/>
          <w:b/>
          <w:i/>
          <w:sz w:val="20"/>
        </w:rPr>
      </w:pPr>
      <w:r>
        <w:rPr>
          <w:rFonts w:ascii="Times New Roman" w:hAnsi="Times New Roman"/>
          <w:b/>
          <w:i/>
          <w:sz w:val="20"/>
        </w:rPr>
        <w:t xml:space="preserve">Changes in China’s economic, political or social conditions, or government policies could materially and adversely affect our business and operations. </w:t>
      </w:r>
    </w:p>
    <w:p>
      <w:pPr>
        <w:pStyle w:val="TextBody"/>
        <w:bidi w:val="0"/>
        <w:spacing w:before="120" w:after="0"/>
        <w:jc w:val="left"/>
        <w:rPr>
          <w:rFonts w:ascii="Times New Roman" w:hAnsi="Times New Roman"/>
          <w:sz w:val="20"/>
        </w:rPr>
      </w:pPr>
      <w:r>
        <w:rPr>
          <w:rFonts w:ascii="Times New Roman" w:hAnsi="Times New Roman"/>
          <w:sz w:val="20"/>
        </w:rPr>
        <w:t xml:space="preserve">Substantially all of our assets and operations are located in China. Accordingly, our business, financial condition, results of operations, and prospects may be influenced to a significant degree by political, economic, and social conditions in China generally and by continued yet slowing economic growth in China as a whole. </w:t>
      </w:r>
    </w:p>
    <w:p>
      <w:pPr>
        <w:pStyle w:val="TextBody"/>
        <w:bidi w:val="0"/>
        <w:spacing w:before="240" w:after="0"/>
        <w:jc w:val="left"/>
        <w:rPr>
          <w:rFonts w:ascii="Times New Roman" w:hAnsi="Times New Roman"/>
          <w:sz w:val="20"/>
        </w:rPr>
      </w:pPr>
      <w:r>
        <w:rPr>
          <w:rFonts w:ascii="Times New Roman" w:hAnsi="Times New Roman"/>
          <w:sz w:val="20"/>
        </w:rPr>
        <w:t xml:space="preserve">The Chinese economy differs from the economies of most developed countries in many respects, including the level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While the Chinese economy has experienced significant growth over the past decades, growth has been uneven, both geographically and among various sectors of the economy.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 The PRC government has implemented various measures to encourage economic growth and guide the allocation of resources. Some of these measures may benefit the overall Chinese economy, but may not necessarily work in our favor. </w:t>
      </w:r>
    </w:p>
    <w:p>
      <w:pPr>
        <w:pStyle w:val="TextBody"/>
        <w:bidi w:val="0"/>
        <w:spacing w:before="360" w:after="0"/>
        <w:jc w:val="left"/>
        <w:rPr>
          <w:rFonts w:ascii="Times New Roman" w:hAnsi="Times New Roman"/>
          <w:b/>
          <w:i/>
          <w:sz w:val="20"/>
        </w:rPr>
      </w:pPr>
      <w:r>
        <w:rPr>
          <w:rFonts w:ascii="Times New Roman" w:hAnsi="Times New Roman"/>
          <w:b/>
          <w:i/>
          <w:sz w:val="20"/>
        </w:rPr>
        <w:t xml:space="preserve">Uncertainties with respect to the PRC legal system could adversely affect us. </w:t>
      </w:r>
    </w:p>
    <w:p>
      <w:pPr>
        <w:pStyle w:val="TextBody"/>
        <w:bidi w:val="0"/>
        <w:spacing w:before="120" w:after="0"/>
        <w:jc w:val="left"/>
        <w:rPr>
          <w:rFonts w:ascii="Times New Roman" w:hAnsi="Times New Roman"/>
          <w:sz w:val="20"/>
        </w:rPr>
      </w:pPr>
      <w:r>
        <w:rPr>
          <w:rFonts w:ascii="Times New Roman" w:hAnsi="Times New Roman"/>
          <w:sz w:val="20"/>
        </w:rPr>
        <w:t xml:space="preserve">We conduct our business primarily through our PRC subsidiaries and the consolidated variable interest entities in China. Our operations in China are governed by PRC laws and regulations. Our significant PRC subsidiary, Vipshop China, is a foreign-invested enterprise subject to laws and regulations applicable to foreign investment in China and, in particular, laws applicable to foreign-invested enterprises. The PRC legal system is a civil law system based on written statutes. Unlike the common law system, prior court decisions under the civil law system may be cited for reference but have limited precedential value. </w:t>
      </w:r>
    </w:p>
    <w:p>
      <w:pPr>
        <w:pStyle w:val="TextBody"/>
        <w:bidi w:val="0"/>
        <w:spacing w:before="240" w:after="0"/>
        <w:jc w:val="left"/>
        <w:rPr>
          <w:rFonts w:ascii="Times New Roman" w:hAnsi="Times New Roman"/>
          <w:sz w:val="20"/>
        </w:rPr>
      </w:pPr>
      <w:r>
        <w:rPr>
          <w:rFonts w:ascii="Times New Roman" w:hAnsi="Times New Roman"/>
          <w:sz w:val="20"/>
        </w:rPr>
        <w:t xml:space="preserve">The PRC laws and regulations have significantly enhanced the protections afforded to various forms of foreign investments in China for the past decades. However, many laws, regulations, and rules are subject to interpretation and clarification, which may lead to uncertainties. These uncertainties may affect our judgment on the relevance of legal requirements and our ability to enforce our contractual rights or tort claims. In addition, the regulatory uncertainties may be exploited through unmerited or frivolous legal actions or threats in attempts to extract payments or benefits from us.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PRC legal system is based in part on government policies and internal rules, some of which are not published on a timely basis or at all and may have retroactive effect. As a result, we may not be aware of our violation of any of these policies and rules until sometime after the violation. In addition, any administrative and court proceedings in China may be protracted, resulting in substantial costs and diversion of resources and management attention.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PRC government’s significant oversight and discretion over our business operations could result in a material adverse change in our operations and the value of our ADSs. </w:t>
      </w:r>
    </w:p>
    <w:p>
      <w:pPr>
        <w:pStyle w:val="TextBody"/>
        <w:bidi w:val="0"/>
        <w:spacing w:before="120" w:after="0"/>
        <w:jc w:val="left"/>
        <w:rPr>
          <w:rFonts w:ascii="Times New Roman" w:hAnsi="Times New Roman"/>
          <w:sz w:val="20"/>
        </w:rPr>
      </w:pPr>
      <w:r>
        <w:rPr>
          <w:rFonts w:ascii="Times New Roman" w:hAnsi="Times New Roman"/>
          <w:sz w:val="20"/>
        </w:rPr>
        <w:t xml:space="preserve">We conduct a majority of our business in China. Our operations in China are governed by PRC laws and regulations. The PRC government has significant oversight and discretion over the conduct of our business, and may intervene in or influence our operations as the government deems appropriate to advance regulatory and social objectives and policy positions. The PRC government has published new policies that significantly affected certain industries and we cannot rule out the possibility that it will in the future release regulations or policies that directly or indirectly affect our industry or require us to seek additional permissions to continue our operations, which could result in a material adverse change in our operation and the value of our ADSs. Also, the PRC government has rolled out a new filing-based regime to regulate overseas offerings and listings by PRC domestic companies. For more details, see “—The approval of, filing with, and other administrative requirements of, the CSRC or other PRC government authorities may be required in connection with our future overseas offerings or future issuance of securities abroad under the PRC law, and, if required, we cannot predict whether or for how long we will be able to obtain such approval or complete such filing.” Any such action could significantly limit or completely hinder our ability to offer or continue to offer securities to investors and cause the value of our shares and the ADSs to significantly decline or become worthless. Therefore, investors of our company and our business face potential uncertainty from actions taken by the PRC government affecting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PCAOB had historically been unable to inspect our auditor in relation to their audit work performed for our financial statements and the inability of the PCAOB to conduct inspections of our auditor in the past has deprived our investors with the benefits of such inspections. </w:t>
      </w:r>
    </w:p>
    <w:p>
      <w:pPr>
        <w:pStyle w:val="TextBody"/>
        <w:bidi w:val="0"/>
        <w:spacing w:before="120" w:after="0"/>
        <w:jc w:val="left"/>
        <w:rPr>
          <w:rFonts w:ascii="Times New Roman" w:hAnsi="Times New Roman"/>
          <w:sz w:val="20"/>
        </w:rPr>
      </w:pPr>
      <w:r>
        <w:rPr>
          <w:rFonts w:ascii="Times New Roman" w:hAnsi="Times New Roman"/>
          <w:sz w:val="20"/>
        </w:rPr>
        <w:t xml:space="preserve">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mainland China, a jurisdiction where the PCAOB was historically unable to conduct inspections and investigations completely before 2022. As a result, we and investors in our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was unable to inspect or investigate completely registered public accounting firms. However,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was unable to inspect or investigate completely registered public accounting firms. As of the date of this annual report, the PCAOB has not issued any new determination that it is unable to inspect or investigate completely registered public accounting firms headquartered in any jurisdiction. For this reason, we do not expect to be identified so after we file this annual report on Form 20-F for the fiscal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the ability of our ADS holders to sell or purchase their ADSs when they wish to do so, and the risk and uncertainty associated with delisting would have a negative impact on the price of the ADSs. Also, such a prohibition would significantly affect our ability to raise capital on terms acceptable to us, or at all, which would have a material adverse impact on our business, financial condition,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approval of, filing with, and other administrative requirements of, the CSRC or other PRC government authorities may be required in connection with our future overseas offerings or future issuance of securities abroad under the PRC law, and, if required, we cannot predict whether or for how long we will be able to obtain such approval or complete such filing. </w:t>
      </w:r>
    </w:p>
    <w:p>
      <w:pPr>
        <w:pStyle w:val="TextBody"/>
        <w:bidi w:val="0"/>
        <w:spacing w:before="120" w:after="0"/>
        <w:jc w:val="left"/>
        <w:rPr>
          <w:rFonts w:ascii="Times New Roman" w:hAnsi="Times New Roman"/>
          <w:sz w:val="20"/>
        </w:rPr>
      </w:pPr>
      <w:r>
        <w:rPr>
          <w:rFonts w:ascii="Times New Roman" w:hAnsi="Times New Roman"/>
          <w:sz w:val="20"/>
        </w:rPr>
        <w:t xml:space="preserve">The Regulations on Mergers and Acquisitions of Domestic Enterprises by Foreign Investors, adopted by six PRC regulatory agencies in 2006 and amended in 2009, requires an overseas special purpose vehicle formed for listing purposes through acquisitions of PRC domestic companies and controlled by PRC persons or entities to obtain the approval of the CSRC prior to the overseas listing and trading of such special purpose vehicle’s securities. The interpretation and application of the regulations remain unclear, and our overseas offerings may ultimately require approval of the CSRC under the regulations. If the CSRC approval under the abovementioned regulations is required, it is uncertain whether we can or how long it will take us to obtain the approval and, even if we obtain such CSRC approval, whether the approval could be rescinded. Any failure to obtain or delay in obtaining the CSRC approval under the abovementioned regulations for any of our overseas offerings, or a rescission of such obtained approval, would subject us to sanctions imposed by the CSRC or other PRC government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On February 17, 2023, the CSRC promulgated the Overseas Offering and Listing Measures, which came into effect on March 31, 2023. On the same day, the CSRC also published a series of guidance rules and Q&amp;As in connection with the implementation of the Overseas Offering and Listing Measures. The Overseas Offering and Listing Measures establishes a new filing-based regime to regulate overseas offerings and listings by PRC domestic companies. According to the Overseas Offering and Listing Measures, an overseas offering of securities (including shares, depository receipts, corporate bonds convertible into shares and other securities in nature of equity) and listing by a PRC domestic company, whether directly or indirectly, are required to fulfill the filing procedures with, and to report the information to, the CSRC. Due to the fact that our ADSs have been listed on the New York Stock Exchange, we are deemed as an “Existing Issuer” pursuant to the Overseas Offering and Listing Measures and the implementation guidance and are not required to complete the filing procedures with the CSRC for our historical securities offering. Nevertheless, in the event that we conduct any securities offerings that will be captured by the Overseas Offering and Listing Measures, we will have to complete the filing procedures with the CSRC within three business days following the closing of the securities issuance or offering. </w:t>
      </w:r>
    </w:p>
    <w:p>
      <w:pPr>
        <w:pStyle w:val="TextBody"/>
        <w:bidi w:val="0"/>
        <w:spacing w:before="240" w:after="0"/>
        <w:jc w:val="left"/>
        <w:rPr>
          <w:rFonts w:ascii="Times New Roman" w:hAnsi="Times New Roman"/>
          <w:sz w:val="20"/>
        </w:rPr>
      </w:pPr>
      <w:r>
        <w:rPr>
          <w:rFonts w:ascii="Times New Roman" w:hAnsi="Times New Roman"/>
          <w:sz w:val="20"/>
        </w:rPr>
        <w:t xml:space="preserve">On February 24, 2023, the CSRC and certain other PRC regulatory authorities promulgated the Provisions on Strengthening Confidentiality and Archives Administration of Overseas Securities Offering and Listing by Domestic Companies, which came into effect on March 31, 2023. Pursuant to these provisions, a PRC domestic enterprise that seeks overseas offering and listing, whether in a direct or indirect manner, must strictly abide by applicable PRC laws and regulations, enhance legal awareness of keeping state secrets and strengthening archives administration, institute a sound confidentiality and archives administration system, and take necessary measures to fulfill confidentiality and archives administration obligations. Where a PRC domestic company, either directly or through its overseas listed entity, publicly discloses or provides to any individuals or entities including securities companies, securities service providers, and overseas regulators, any documents or materials that contain state secrets or working secrets of government agencies, it must first obtain approval from competent authorities according to the law, and file with the secrecy administrative department at the same level. In the event that such documents and materials, if leaked, will be detrimental to national security or public interest, the PRC domestic company must strictly fulfill the procedures stipulated by applicable national regulations. Where a PRC domestic company, after fulfilling the procedures, provides to securities companies, securities service providers, and other entities with any documents and materials that contain state secrets or working secrets of government agencies, or any other documents and materials that will be detrimental to national security or public interest if leaked, a non-disclosure agreement must be signed between the provider and receiver of such information according to the PRC laws and regulations, which must specify, among other things, the obligations and liabilities on confidentiality held by such securities companies and securities service providers. Specifically, when a PRC domestic company provides accounting archives or copies of accounting archives to any entities including securities companies, securities service providers, and overseas regulators and individuals, it must fulfill due procedures in compliance with applicable national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the requirements discussed above may further evolve and develop, there remain substantial uncertainties as to the interpretation and implementation of these new requirements. We cannot assure you that we will be able to strictly comply with the regulatory requirements, including but not limited to completing the filing procedures with the CSRC for our future issuance or offering of securities, on a timely manner, or at all. If we fail to do so, our business, financial condition, and results of operations may be materially and adversely affected. For more details of those effective and draft regulations, see “Item 4. Information on the Company—B. Business Overview—Regulation—Regulations Relating to Overseas Listing and M&amp;A.” </w:t>
      </w:r>
    </w:p>
    <w:p>
      <w:pPr>
        <w:pStyle w:val="TextBody"/>
        <w:bidi w:val="0"/>
        <w:spacing w:before="240" w:after="0"/>
        <w:jc w:val="left"/>
        <w:rPr>
          <w:rFonts w:ascii="Times New Roman" w:hAnsi="Times New Roman"/>
          <w:sz w:val="20"/>
        </w:rPr>
      </w:pPr>
      <w:r>
        <w:rPr>
          <w:rFonts w:ascii="Times New Roman" w:hAnsi="Times New Roman"/>
          <w:sz w:val="20"/>
        </w:rPr>
        <w:t xml:space="preserve">Furthermore, we cannot assure you that new regulations or rules promulgated in the future will not impose additional requirements on us. Any failure to obtain or delay in obtaining requisite approval(s) or completing requisite filing procedures for our overseas offerings, or a rescission of any such obtained approval or filing, would subject us to sanctions by the CSRC or other PRC government authorities. These government authorities may impose fines and penalties on our operations in China, limit our ability to pay dividends outside of China, limit our operating privileges in China, delay or restrict the repatriation of the proceeds from our overseas offerings into China, or take other actions that could materially and adversely affect our business, financial condition, results of operations, and prospects, as well as the trading price of our listed securities. The CSRC or other PRC government authorities also may take actions requiring us, or making it advisable for us, to halt our overseas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government authorities later promulgate new rules or explanations requiring that we obtain their approvals or accomplish the required filing or other regulatory procedures for our prior overseas offerings, we may be unable to obtain a waiver of such approval requirements, if and when procedures are established to obtain such a waiver. Any uncertainties or negative publicity regarding such approval requirement could materially and adversely affect our business, financial condition, results of operations, reputation, and the trading price of our listed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be adversely affected by the complexity, uncertainties, and changes in PRC regulation of internet-related businesses and companies, including e-commerce business. </w:t>
      </w:r>
    </w:p>
    <w:p>
      <w:pPr>
        <w:pStyle w:val="TextBody"/>
        <w:bidi w:val="0"/>
        <w:spacing w:before="120" w:after="0"/>
        <w:jc w:val="left"/>
        <w:rPr>
          <w:rFonts w:ascii="Times New Roman" w:hAnsi="Times New Roman"/>
          <w:sz w:val="20"/>
        </w:rPr>
      </w:pPr>
      <w:r>
        <w:rPr>
          <w:rFonts w:ascii="Times New Roman" w:hAnsi="Times New Roman"/>
          <w:sz w:val="20"/>
        </w:rPr>
        <w:t xml:space="preserve">The PRC government extensively regulates the internet industry, including foreign ownership of, and the licensing and permit requirements pertaining to, companies in the internet industry. These internet-related laws and regulations are relatively new and evolving, and their interpretation and enforcement involve significant uncertainty. As a result, in certain circumstances it may be difficult to determine what actions or omissions may be deemed to be in violations of applicable laws and regulations. Issues, risks, and uncertainties relating to PRC regulation of the internet-related businesses include, but are not limited to,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only have contractual arrangements with the variable interest entities that operate our Vipshop Online Platform and other platforms in China. We do not directly own our platform through our subsidiaries due to the restriction of foreign investment in businesses providing value-added telecommunication services in China, including internet content provision services. This may significantly disrupt our business, subject us to sanctions, compromise enforceability of related contractual arrangements, or have other harmful effects on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There are uncertainties relating to the regulation of the internet-related businesses in China, including evolving requirements for licenses and permits as well as the interpretation by the authorities with regard to the laws and regulations. Some of our licenses, permits, or operations may be subject to challenge by the PRC government, or we may fail to obtain licenses or permits that may be deemed necessary for our operations or we may not be able to obtain or renew certain licenses or permits. For example, the live streaming service we offered to brands may require the License for Online Transmission of Audio-visual Programs, and as of the date of this annual report, we have submitted an application for the record-filing in the Information Management System for National Online Audio-visual Platforms for the live streaming service we offered to brands and the application is currently under review by the competent authorities. There is, however, no assurance that such application will eventually be approved in a timely manner, or at all. In addition, our financial services may require the entity operating such services to hold the value-added telecommunication business operating licenses for internet content provision business and for online data processing and transaction processing (operating e-commerce) services from competent departments of the Ministry of Industry and Information Technology. If such licenses or permits are deemed necessary and we fail to maintain any of these required licenses or permits, we may be subject to various penalties, including fines and discontinuation of or restriction on our operations. Any such disruption in our business operations may have a material and adverse effect on our results of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New laws and regulations may be promulgated to regulate internet-related businesses in China, including online retail businesses and internet finance businesses. Additional licenses or permits may be required for or stricter supervision may be imposed on our internet-related businesses. If our operations do not comply with these new laws and regulations after they become effective, or if we fail to obtain any licenses or permits required under these new laws and regulations, we could be subject to penalties. We cannot assure you that we will be able to obtain all licenses and permits required for internet-related businesses in a timely manner, or at all.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August 2018, the Standing Committee of the National People’s Congress promulgated the E-commerce Law, which came into effect on January 1, 2019. The E-commerce Law imposes a number of requirements and obligations on e-commerce platform operators. Failure to comply with the regulatory requirements may have a material adverse impact on our business and results of operations. Given that the implementation of the E-commerce Law may be subject to interpretation and further development, we cannot assure you as to whether or how they will affect our operations and financial conditions in the future. See “Item 4. Information on the Company—B. Business Overview—Regulation—Regulations Relating to E-commerce.” We have adopted a series of measures to comply with such requirements under the E-commerce Law. We cannot assure you, however, that our current business operations meet the requirements under the E-commerce Law in all respects. If the PRC governmental authorities determine that we are not in compliance with all the requirements under the E-commerce Law and other applicable laws and rules, we may be subject to fines or other sanctions. </w:t>
      </w:r>
    </w:p>
    <w:p>
      <w:pPr>
        <w:pStyle w:val="TextBody"/>
        <w:bidi w:val="0"/>
        <w:spacing w:before="240" w:after="0"/>
        <w:jc w:val="left"/>
        <w:rPr>
          <w:rFonts w:ascii="Times New Roman" w:hAnsi="Times New Roman"/>
          <w:sz w:val="20"/>
        </w:rPr>
      </w:pPr>
      <w:r>
        <w:rPr>
          <w:rFonts w:ascii="Times New Roman" w:hAnsi="Times New Roman"/>
          <w:sz w:val="20"/>
        </w:rPr>
        <w:t xml:space="preserve">The interpretation and application of existing PRC laws, regulations, and policies and possible new laws, regulations, or policies relating to the internet industry have created substantial uncertainties regarding the legality of existing and future foreign investments in, and the businesses and activities of internet businesses in China, including our business. We cannot assure you that we have obtained all the permits or licenses required for conducting our business in China or will be able to maintain our existing licenses or obtain any new licenses required under any new laws or regulations. There are also risks that we may be found to violate the existing or future laws and regulations given the uncertainty and complexity of China’s regulation of internet-related businesses.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and censorship of information disseminated over the internet in China may adversely affect our business, and we may be liable for content that is displayed on our platforms. </w:t>
      </w:r>
    </w:p>
    <w:p>
      <w:pPr>
        <w:pStyle w:val="TextBody"/>
        <w:bidi w:val="0"/>
        <w:spacing w:before="120" w:after="0"/>
        <w:jc w:val="left"/>
        <w:rPr>
          <w:rFonts w:ascii="Times New Roman" w:hAnsi="Times New Roman"/>
          <w:sz w:val="20"/>
        </w:rPr>
      </w:pPr>
      <w:r>
        <w:rPr>
          <w:rFonts w:ascii="Times New Roman" w:hAnsi="Times New Roman"/>
          <w:sz w:val="20"/>
        </w:rPr>
        <w:t xml:space="preserve">China has enacted laws and regulations governing internet access and the distribution of products, services, news, information, audio-video programs, and other content through the internet. The PRC government has prohibited the distribution of information through the internet that it deems to be in violation of PRC laws and regulations. In November 2016, China promulgated the Cybersecurity Law, which came into effect on June 1, 2017, to protect cyberspace security and order. The Cybersecurity Law tightens control of cyber security and sets forth various security protection obligations for network operators. If any of our internet content were deemed by the PRC government to violate any content restrictions, we would not be able to continue to display such content and could become subject to penalties, including confiscation of illegal gains, fines, suspension of business, and revocation of required licenses, which could materially and adversely affect our business, financial condition, and results of operations. We may also be subject to potential liability for any unlawful actions of our customers or users of our platforms or for content we distribute that is deemed inappropriate. It may be difficult to determine the type of content that may result in liability to us, and if we are found to be liable, we may be prevented from operating our platform in China. </w:t>
      </w:r>
    </w:p>
    <w:p>
      <w:pPr>
        <w:pStyle w:val="TextBody"/>
        <w:bidi w:val="0"/>
        <w:spacing w:before="240" w:after="0"/>
        <w:jc w:val="left"/>
        <w:rPr>
          <w:rFonts w:ascii="Times New Roman" w:hAnsi="Times New Roman"/>
          <w:sz w:val="20"/>
        </w:rPr>
      </w:pPr>
      <w:r>
        <w:rPr>
          <w:rFonts w:ascii="Times New Roman" w:hAnsi="Times New Roman"/>
          <w:sz w:val="20"/>
        </w:rPr>
        <w:t xml:space="preserve">On September 12, 2022, the CAC issued the Notice on Seeking Public Comments on the Decision to Amend the PRC Cybersecurity Law (Draft for Comments). According to this draft decision, the violations of the Cybersecurity Law might be subject to more severe punishment if this draft decision is implemented in its current form. Specifically, the draft decision proposed to enhance the punishment against violations of the network operation security obligation, the critical information infrastructure operation security obligation, and the network information security obligation by increasing the upper limits of the fines and imposing additional punishment. The draft decision also proposed enhance the punishment against personal information infringement by referencing to the punishment under the applicable laws, including the one under the Personal Information Protection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Fluctuations in exchange rates may materially and adversely affect our results of operations and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value of Renminbi against U.S. dollars and other currencies may fluctuate and is affected by, among other things, changes in political and economic conditions in China and by China’s foreign exchange policies. The conversion of Renminbi into foreign currencies, including U.S. dollars, is based on rates set by the People’s Bank of China. Renminbi has fluctuated against U.S. dollars, at times significantly and unpredictably. The value of Renminbi against U.S. dollars and other currencies is affected by changes in China’s political and economic conditions and by China’s foreign exchange policies, among other things. We cannot assure you that Renminbi will not appreciate or depreciate significantly in value against U.S. dollars in the future. It is difficult to predict how market forces or PRC or U.S. government policy may impact the exchange rate between Renminbi and the U.S. dollar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All of our total net revenues and most of our expenses are denominated in Renminbi. Any significant revaluation of Renminbi may materially and adversely affect our revenues, earnings, and financial position, and the value of, and any dividends payable on, our ADSs. For example, an appreciation of Renminbi against U.S. dollars would reduce the amount of Renminbi we would receive if we need to convert U.S. dollars into Renminbi. Conversely, a significant depreciation of Renminbi against U.S. dollars may significantly reduce the U.S. dollar equivalent of our earnings, which in turn could adversely affect the price of our ADSs. Also, the difference between the reporting currency and the denomination currency may expose us to additional uncertainties in connection with the foreign currency translation. In 2022, 2023 and 2024, we recorded exchange gain of RMB687.9 million, exchange gain of RMB162.7 million, and exchange loss of RMB24.8 million (US$3.4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Very limited hedging options are available in China to reduce our exposure to exchange rate fluctuations. We entered into several foreign exchange forward contracts historically to hedge our exposure to foreign currency exchange risk and we may continue to use foreign currency swaps, forwards, or other derivative instruments to hedge our exposure to foreign currency risk where we deem necessary, and may adopt additional measures in the future to manage such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materially and adversely affect the value of your investment.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Government control of currency conversion may limit our ability to utilize our revenue effectively and affect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PRC government imposes controls on the convertibility of Renminbi into foreign currencies and, in certain cases, the remittance of currency out of mainland China. We receive substantially all of our revenue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currencies and remitted out of mainland China to pay capital expenses such as the repayment of loans denominated in foreign currencies. As a result, we need to obtain SAFE approval to use cash generated from the operations of our PRC subsidiaries and the consolidated variable interest entities to pay off their respective debt in a currency other than Renminbi owed to entities outside mainland China, or to make other capital expenditure payments outside mainland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Class A ordinary shares or ADSs. As a result, the funds in our PRC subsidiaries or the VIEs in mainland China may not be available to fund operations or for other use outside of mainland China due to interventions in, or the imposition of restrictions and limitations on, the ability of our holding company, our subsidiaries, or the VIEs by the PRC government on currency conversion. Similarly, to the extent that any similar intervention, restrictions, or limitations is imposed in Hong Kong, we cannot assure you that our cash or assets located in Hong Kong will be readily available to fund operations or for other use outside of Hong Kong.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principally rely on dividends and other distributions on equity paid by our PRC subsidiaries and payments made by the VIEs to us in accordance with the contractual arrangements to fund our cash and financing requirements, and any limitation on the ability of our PRC subsidiaries and the VIEs to make payments to us could materially and adversely affect our ability to conduct our business. </w:t>
      </w:r>
    </w:p>
    <w:p>
      <w:pPr>
        <w:pStyle w:val="TextBody"/>
        <w:bidi w:val="0"/>
        <w:spacing w:before="120" w:after="0"/>
        <w:jc w:val="left"/>
        <w:rPr>
          <w:rFonts w:ascii="Times New Roman" w:hAnsi="Times New Roman"/>
          <w:sz w:val="20"/>
        </w:rPr>
      </w:pPr>
      <w:r>
        <w:rPr>
          <w:rFonts w:ascii="Times New Roman" w:hAnsi="Times New Roman"/>
          <w:sz w:val="20"/>
        </w:rPr>
        <w:t xml:space="preserve">We are a Cayman Islands holding company and we rely principally on dividends and other distributions on equity from our PRC subsidiaries and service fees paid to us by the VIEs for our cash requirements, including for services of any debt we may incur. Our subsidiaries’ ability to distribute dividends is based upon their distributable earnings which are mainly derived from the payments for products and services from the consolidated variable interest entities. Current PRC regulations permit our PRC subsidiaries to pay dividends to their respective shareholders only out of their accumulated profits, if any, determined in accordance with PRC accounting standards and regulations. In addition, each of our PRC subsidiaries and the consolidated variable interest entities is required to set aside at least 10% of its after-tax profits each year, if any, to fund a statutory reserve until such reserve reaches 50% of its registered capital. Each of such entities in China may further set aside a portion of its after-tax profits to fund the employee welfare fund and for other purposes at the discretion of its board of directors. These reserves are not distributable as cash dividends. Meanwhile, the VIEs can only make payments to us in accordance with contractual arrangements that we entered into with them. Moreover, as our PRC subsidiaries and the VIEs may incur debt on their own behalf in the future, the instruments governing the debt may restrict their ability to pay dividends or make other payments to us. Any limitation on the ability of our PRC subsidiaries to distribute dividends or other payments to their respective shareholders or on the ability of the VIEs to make payments to us in accordance with the contractual arrangements that we entered into with them could materially and adversely limit our ability to grow, make investments or acquisitions that could be beneficial to our businesses, pay dividends or otherwise fund and conduct our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PRC regulation of loans to and direct investments in PRC entities by offshore holding companies may delay or prevent us from using the proceeds of our debt and equity offerings to make loans or additional capital contributions to our PRC subsidiaries in China. </w:t>
      </w:r>
    </w:p>
    <w:p>
      <w:pPr>
        <w:pStyle w:val="TextBody"/>
        <w:bidi w:val="0"/>
        <w:spacing w:before="120" w:after="0"/>
        <w:jc w:val="left"/>
        <w:rPr>
          <w:rFonts w:ascii="Times New Roman" w:hAnsi="Times New Roman"/>
          <w:sz w:val="20"/>
        </w:rPr>
      </w:pPr>
      <w:r>
        <w:rPr>
          <w:rFonts w:ascii="Times New Roman" w:hAnsi="Times New Roman"/>
          <w:sz w:val="20"/>
        </w:rPr>
        <w:t xml:space="preserve">Any funds we transfer to our PRC subsidiaries, either as a shareholder loan or as an increase in registered capital, are subject to approval by or registration or filing with the government authorities in China. According to the PRC regulations on foreign-invested enterprises, capital contributions to our PRC subsidiaries are subject to the requirement of making necessary filings in the Foreign Investment Comprehensive Management Information System and registration with a local bank authorized by SAFE. Any foreign loan procured by our PRC subsidiaries is required to be registered or filed with SAFE or its local branches or satisfy the requirements as provided in the Circular on Further Promoting the Facilitation of Cross-border Trade and Investment, or SAFE Circular 28. Any medium- or long-term loan that we may provide to the consolidated variable interest entities must be approved by the NDRC and SAFE or its local branches. We may not obtain these government approvals or complete such registrations on a timely basis, if at all, with respect to future capital contributions or foreign loans that we may provide to our PRC subsidiaries. If we fail to receive such approvals or complete such registration, our ability to use the proceeds of our debt and equity offerings and to capitalize our PRC operations may be negatively affected, which could adversely affect our liquidity and our ability to fund and expand our business. There is no statutory limit in effect on the amount of capital contribution that we can make to our PRC subsidiaries, provided that the PRC subsidiaries complete the filing and registration procedures. With respect to loans that we may provide to the PRC subsidiaries, (i) if the PRC subsidiaries adopt the traditional foreign exchange administration mechanism, the outstanding amount of the loans should not exceed the difference between the total investment and the registered capital of the PRC subsidiaries; and (ii) if the PRC subsidiaries adopt the mechanism as provided in the Notice of the People’s Bank of China on Matters concerning the Macro-prudential Management of Full-covered Cross-border Financing issued by the People’s Bank of China on January 12, 2017, or PBOC Notice No. 9, and apply the latest macro-prudential adjustment parameter adopted by the People’s Bank of China and SAFE on January 13, 2025, the outstanding amount of the loans should not exceed 350% of the net asset of the relevant PRC subsidiary. </w:t>
      </w:r>
    </w:p>
    <w:p>
      <w:pPr>
        <w:pStyle w:val="TextBody"/>
        <w:bidi w:val="0"/>
        <w:spacing w:before="240" w:after="0"/>
        <w:jc w:val="left"/>
        <w:rPr>
          <w:rFonts w:ascii="Times New Roman" w:hAnsi="Times New Roman"/>
          <w:sz w:val="20"/>
        </w:rPr>
      </w:pPr>
      <w:r>
        <w:rPr>
          <w:rFonts w:ascii="Times New Roman" w:hAnsi="Times New Roman"/>
          <w:sz w:val="20"/>
        </w:rPr>
        <w:t xml:space="preserve">Furthermore, pursuant to PBOC Notice No. 9, after an one-year transition period following its promulgation, SAFE and the People’s Bank of China will determine the cross-border financing regulatory regime for foreign-invested enterprises after evaluating the overall implementation of PBOC Notice No. 9. As of the date of this annual report, neither SAFE nor the People’s Bank of China had promulgated and made public any legislations in this regard. There are uncertainties relating to the future regime to be adopted and any limitation to be imposed on us when providing loans to our PRC subsidiaries. If a more stringent foreign debt regulatory regime would be imposed, our ability to provide loans to our PRC subsidiaries or the consolidated variable interest entities may be significantly limited, and our business, financial condition, and results of operations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current rules of SAFE, as of the date of this annual report, we are required to apply Renminbi funds converted from the net proceeds we received from our public offerings of equity securities within the business scopes of our PRC subsidiaries. Although SAFE launched a nationwide reform of the administration of the settlement of the foreign exchange capitals of foreign-invested enterprises in 2015 to allow foreign-invested enterprises to settle their foreign exchange capital at their discretion and further relaxed its rules in 2016 to allow foreign-invested enterprises (excluding financial institutions) to go through foreign exchange settlement formalities for their foreign debts at their discretion, the current rules of SAFE continue to prohibit foreign-invested enterprises from using Renminbi converted from their foreign exchange capitals for expenditure beyond their business scopes as approved by the PRC government authorities. Moreover, the current rules of SAFE continue to prohibit foreign-invested enterprises from using Renminbi converted from their registered capitals to provide loans to persons other than affiliates unless otherwise permitted under its business scope. Any violations of such rules of SAFE may result in severe monetary or other penalties. There can be no assurance that SAFE would further relax its rules on the settlement of foreign exchange capitals of foreign-invested enterprises, and our ability to transfer to and use in China the net proceeds from our public offerings of equity securities may continue to be significantly limited, which may adversely affect our business, financial condition, and results of operations. On October 23, 2019, SAFE promulgated SAFE Circular 28. SAFE Circular 28 allows all foreign-invested enterprises (including those without an investment business scope) to utilize and convert their foreign exchange capital for making equity investment in China if certain requirements prescribed therein are satisfied. However, uncertainties exist in relation to the interpretation and implementation of SAFE Circular 28. See “Item 4. Information on the Company—B. Business Overview—Regulation—Regulations Relating to Foreign Currency Exchange and Dividend Distribution.”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PRC regulations may make it more difficult for us to pursue growth through acquisitions. </w:t>
      </w:r>
    </w:p>
    <w:p>
      <w:pPr>
        <w:pStyle w:val="TextBody"/>
        <w:bidi w:val="0"/>
        <w:spacing w:before="120" w:after="0"/>
        <w:jc w:val="left"/>
        <w:rPr>
          <w:rFonts w:ascii="Times New Roman" w:hAnsi="Times New Roman"/>
          <w:sz w:val="20"/>
        </w:rPr>
      </w:pPr>
      <w:r>
        <w:rPr>
          <w:rFonts w:ascii="Times New Roman" w:hAnsi="Times New Roman"/>
          <w:sz w:val="20"/>
        </w:rPr>
        <w:t xml:space="preserve">Among other things, the Regulations on Mergers and Acquisitions of Domestic Enterprises by Foreign Investors and certain other regulations and rules concerning mergers and acquisitions established additional procedures and requirements that could make merger and acquisition activities by foreign investors more time-consuming and complex, including requirements in some instances that the anti-monopoly law enforcement agency be notified in advance of any change-of-control transaction in which a foreign investor takes control of a PRC domestic enterprise. Moreover, the Anti-monopoly Law, which was promulgated by the Standing Committee of the National People’s Congress on August 30, 2007 and last amended on June 24, 2022 and effective on August 1, 2022, and its relevant regulations, such as the Rules of the State Council on Declaration Threshold for Concentration of Undertakings issued by the State Council in 2008 and last amended on January 22, 2024, require that transactions which are deemed concentrations and involve parties with specified turnover thresholds must be cleared by the anti-monopoly enforcement agency of the State Council before they can be completed. We believe that the turnover of acquired business of Lefeng in 2013 is less than the applicable threshold and have not sought clearance from the anti-monopoly enforcement agency, but we cannot assure you that the anti-monopoly enforcement agency will not take a view contrary to ours.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2020, the NDRC and the Ministry of Commerce promulgated the Measures for the Security Review of Foreign Investment, which came into effect on January 18, 2021. Pursuant to these measures, the NDRC establishes a working mechanism office in charge of the security review of foreign investment, which is led by the NDRC and the Ministry of Commerce. The measures also define foreign investments as direct or indirect investments by foreign investors in China, including (i) investments in new onshore projects or establishment of wholly foreign owned onshore enterprises or joint ventures with other investors; (ii) acquiring equity or assets of onshore companies by merger and acquisition; and (iii) onshore investments by and through any other means. Foreign investments in certain key areas with national security concerns, such as important transport services, important cultural products and services, important information technology and internet products and services, important financial services, and key technologies, which results in the acquisition of de facto control of the invested companies, have to be filed with the working mechanism office prior to the implementation of such investments. Failure to make such filing may subject the foreign investor to rectification within a prescribed period, and the foreign investor will be negatively recorded in the national credit information system, which would then subject such investor to joint punishment as provided by the rules. If such investor fails to or refuses to undertake such rectification, it would be ordered to dispose of the equity or assets and to take any other necessary measures so as to restore to the status before the implementation of the investment and to erase the impact to national security. In addition, the Circular of the General Office of the State Council on the Establishment of Security Review System for the Merger and Acquisition of Domestic Enterprises by Foreign Investors that came into effect on March 3, 2011, and the Rules on Implementation of Security Review System for the Merger and Acquisition of Domestic Enterprises by Foreign Investors issued by the Ministry of Commerce that came into effect on September 1, 2011, require acquisitions by foreign investors of PRC companies engaged in military-related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Ministry of Commerce, may delay or inhibit our ability to complete such transactions, which could affect our ability to expand our business or maintain our market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PRC regulations relating to the establishment of offshore holding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 </w:t>
      </w:r>
    </w:p>
    <w:p>
      <w:pPr>
        <w:pStyle w:val="TextBody"/>
        <w:bidi w:val="0"/>
        <w:spacing w:before="120" w:after="0"/>
        <w:jc w:val="left"/>
        <w:rPr>
          <w:rFonts w:ascii="Times New Roman" w:hAnsi="Times New Roman"/>
          <w:sz w:val="20"/>
        </w:rPr>
      </w:pPr>
      <w:r>
        <w:rPr>
          <w:rFonts w:ascii="Times New Roman" w:hAnsi="Times New Roman"/>
          <w:sz w:val="20"/>
        </w:rPr>
        <w:t xml:space="preserve">On July 4, 2014,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to register with local branches of SAFE in connection with their direct or indirect offshore investment activities. SAFE Circular 37 is applicable to our shareholders who are PRC residents and may be applicable to any offshore acquisitions that we make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Under SAFE Circular 37, PRC residents who make, or have made prior to the implementation of SAFE Circular 37, direct or indirect investments in offshore special purpose vehicles will be required to register such investments with SAFE or its local branches. In addition, any PRC resident who is a direct or indirect shareholder of a special purpose vehicle, is required to update its filed registration with the local branch of SAFE with respect to that special purpose vehicle, to reflect any material change. Moreover, any subsidiary of such special purpose vehicle in China is required to urge the PRC resident shareholders to update their registration with the local branch of SAFE. If any PRC shareholder of such special purpose vehicle fails to make the required registration or to update the previously filed registration, the subsidiary of such special purpose vehicle in China may be prohibited from distributing its profits or the proceeds from any capital reduction, share transfer or liquidation to the special purpose vehicle, and the special purpose vehicle may also be prohibited from making additional capital contribution into its subsidiary in China. On February 28, 2015, SAFE promulgated a Notice on Further Simplifying and Improving Foreign Exchange Administration Policy on Direct Investment, which came into effect on June 1, 2015. Under such notice, applications for foreign exchange registration of inbound foreign direct investment and outbound overseas direct investment, including those required under SAFE Circular 37, should be filed with qualified banks instead of SAFE. The qualified banks should directly examine the applications and accept registrations under the supervision of SAFE. </w:t>
      </w:r>
    </w:p>
    <w:p>
      <w:pPr>
        <w:pStyle w:val="TextBody"/>
        <w:bidi w:val="0"/>
        <w:spacing w:before="240" w:after="0"/>
        <w:jc w:val="left"/>
        <w:rPr>
          <w:rFonts w:ascii="Times New Roman" w:hAnsi="Times New Roman"/>
          <w:sz w:val="20"/>
        </w:rPr>
      </w:pPr>
      <w:r>
        <w:rPr>
          <w:rFonts w:ascii="Times New Roman" w:hAnsi="Times New Roman"/>
          <w:sz w:val="20"/>
        </w:rPr>
        <w:t xml:space="preserve">All of our shareholders that we are aware of being subject to the regulations of SAFE have completed all necessary registrations with the local branch of SAFE or qualified banks as required by SAFE Circular 37. We cannot assure you, however, that all of these individuals may continue to make required filings or updates on a timely manner, or at all. We can provide no assurance that we are or will in the future continue to be informed of identities of all PRC residents holding direct or indirect interest in our company. Any failure or inability by such individuals to comply with the regulations of SAFE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 </w:t>
      </w:r>
    </w:p>
    <w:p>
      <w:pPr>
        <w:pStyle w:val="TextBody"/>
        <w:bidi w:val="0"/>
        <w:spacing w:before="240" w:after="0"/>
        <w:jc w:val="left"/>
        <w:rPr>
          <w:rFonts w:ascii="Times New Roman" w:hAnsi="Times New Roman"/>
          <w:sz w:val="20"/>
        </w:rPr>
      </w:pPr>
      <w:r>
        <w:rPr>
          <w:rFonts w:ascii="Times New Roman" w:hAnsi="Times New Roman"/>
          <w:sz w:val="20"/>
        </w:rPr>
        <w:t xml:space="preserve">Furthermore, as these foreign exchange regulations are still relatively new and their interpretation and implementation has been constantly evolving, it is unclear how these regulations, and any future regulation concerning offshore or cross-border transactions, will be interpreted, amended, and implemented by the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Failure to comply with PRC regulations regarding the registration requirements for employee stock incentive plans may subject the PRC plan participants or us to fines and other legal or administrative sanctions.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2006, the People’s Bank of China promulgated the Administrative Measures for Individuals Foreign Exchange, which set forth the respective requirements for foreign exchange transactions by individuals (both PRC or non-PRC citizens) under either the current account or the capital account. In January 2007, SAFE issued the Detailed Rules on the Implementation of the Administrative Measures for Individuals Foreign Exchange, which, among other things, specified approval requirements for certain capital account transactions such as a PRC citizen’s participation in the employee stock ownership plans or stock option plans of an overseas publicly-listed company. In February 2012, SAFE promulgated the Notices on Issues Concerning the Foreign Exchange Administration for Domestic Individuals Participating in Stock Incentive Plans of Overseas Publicly-listed Companies. Under these rules, PRC residents who participate in stock incentive plan in an overseas publicly-listed company are required to register with SAFE or its local branches and complete certain other procedures. Participants of a stock incentive plan who are PRC residents must retain a qualified PRC agent, which could be a PRC subsidiary of such overseas publicly-listed company or another qualified institution selected by such PRC subsidiary, to conduct registration with SAFE and other procedures with respect to the stock incentive plan on behalf of its participants. Such participants must also retain an overseas entrusted institution to handle matters in connection with their exercise of stock options, the purchase and sale of corresponding stocks or interests, and fund transfer. In addition, the PRC agent is required to amend registration with SAFE with respect to the stock incentive plan if there is any material change to the stock incentive plan, the PRC agent or the overseas entrusted institution or other material changes. </w:t>
      </w:r>
    </w:p>
    <w:p>
      <w:pPr>
        <w:pStyle w:val="TextBody"/>
        <w:bidi w:val="0"/>
        <w:spacing w:before="240" w:after="0"/>
        <w:jc w:val="left"/>
        <w:rPr>
          <w:rFonts w:ascii="Times New Roman" w:hAnsi="Times New Roman"/>
          <w:sz w:val="20"/>
        </w:rPr>
      </w:pPr>
      <w:r>
        <w:rPr>
          <w:rFonts w:ascii="Times New Roman" w:hAnsi="Times New Roman"/>
          <w:sz w:val="20"/>
        </w:rPr>
        <w:t xml:space="preserve">We and our PRC resident employees who participate in the employee stock incentive plans, which we adopted in March 2011, March 2012, July 2014 and August 2024, respectively, have been subject to these regulations since our company became a publicly-listed company in the United States in March 2012. We have been assisting our PRC option grantees to complete the required registrations and procedures on a quarterly basis. If we or our PRC option grantees fail to comply with these regulations, we or our PRC option grantees may be subject to fines and other legal or administrative sanctions. See “Item 4. Information on the Company—B. Business Overview—Regulation—Regulations Relating to Foreign Currency Exchange and Dividend Distribution—Stock Incentive Plans.”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face uncertainty with respect to indirect transfers of equity interests in PRC resident enterprises by their non-PRC holding companies. </w:t>
      </w:r>
    </w:p>
    <w:p>
      <w:pPr>
        <w:pStyle w:val="TextBody"/>
        <w:bidi w:val="0"/>
        <w:spacing w:before="120" w:after="0"/>
        <w:jc w:val="left"/>
        <w:rPr>
          <w:rFonts w:ascii="Times New Roman" w:hAnsi="Times New Roman"/>
          <w:sz w:val="20"/>
        </w:rPr>
      </w:pPr>
      <w:r>
        <w:rPr>
          <w:rFonts w:ascii="Times New Roman" w:hAnsi="Times New Roman"/>
          <w:sz w:val="20"/>
        </w:rPr>
        <w:t xml:space="preserve">On February 3, 2015, the State Taxation Administration issued a Public Notice Regarding Certain Enterprise Income Tax Matters on Indirect Transfer of Properties by Non-resident Enterprises, or STA Public Notice 7. In December 2017, Article 13 and Paragraph 2 of Article 8 of STA Public Notice 7 were abolished. Pursuant to STA Public Notice 7, as amended, in the event that a non-PRC resident enterprise indirectly transfers equities and other properties of a PRC resident enterprise to evade its obligation of paying enterprise income tax by implementing arrangements that are not for reasonable commercial purpose, such indirect transfer must be re-identified and recognized as a direct transfer of equities and other properties of the PRC resident enterprise. Although STA Public Notice 7 introduced safe harbors for internal group restructurings and the purchase and sale of equity through a public securities market, it brought challenges to both offshore transferor and transferee (or other person who is obligated to pay for the transfer) of taxable assets. Where a non-PRC resident enterprise transfers taxable assets indirectly by disposing of the equity interests of an offshore holding company, which is an indirect transfer, the non-PRC resident enterprise as either transferor or transferee, or the PRC entity that directly owns the taxable assets, may report such indirect transfer to the tax authority. Using a “substance over form” principle, the PRC tax authority may disregard the existence of the offshore holding company if it lacks a reasonable commercial purpose and was established for the purpose of reducing, avoiding or deferring PRC tax. As a result, gains derived from such indirect transfer may be subject to enterprise income tax in China, and the transferee or other person who is obligated to pay for the transfer is obligated to withhold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face uncertainties as to the reporting and other implications of past and future private equity financing transactions, share exchange or other transactions involving transfer of shares in our company by investors that are non-PRC resident enterprises, or our sale or purchase of shares in other non-PRC resident companies or other taxable assets. Our company may be subject to filing obligations or taxed if our company is transferor in such transactions, and may be subject to withholding obligations if our company is transferee in such transactions, under STA Public Notice 7. For transfer of shares in our company by investors that are non-PRC resident enterprises, our PRC subsidiaries may be requested to assist in the filing under STA Public Notice 7. As a result, we may be required to expend valuable resources to comply with STA Public Notice 7 or to request the transferors from whom we purchase taxable assets to comply with these circulars, or to establish that our company should not be taxed under these circulars, which may have a material adverse effect on our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It may be difficult for overseas regulators to conduct investigation or collect evidence within China. </w:t>
      </w:r>
    </w:p>
    <w:p>
      <w:pPr>
        <w:pStyle w:val="TextBody"/>
        <w:bidi w:val="0"/>
        <w:spacing w:before="120" w:after="0"/>
        <w:jc w:val="left"/>
        <w:rPr>
          <w:rFonts w:ascii="Times New Roman" w:hAnsi="Times New Roman"/>
          <w:sz w:val="20"/>
        </w:rPr>
      </w:pPr>
      <w:r>
        <w:rPr>
          <w:rFonts w:ascii="Times New Roman" w:hAnsi="Times New Roman"/>
          <w:sz w:val="20"/>
        </w:rPr>
        <w:t xml:space="preserve">Shareholder claims or regulatory investigation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came into effect in March 2020, no overseas securities regulator is allowed to directly conduct investigation or evidence collection activities within the territory of China. While detailed interpretation of or implementation rules under Article 177 of the PRC Securities Law have yet to be promulgated, the inability for an overseas securities regulator to directly conduct investigation or evidence collection activities within China may further increase difficulties faced by you in protecting your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It is unclear whether we will be considered a PRC “resident enterprise” under the PRC Enterprise Income Tax Law and, depending on the determination of our PRC “resident enterprise” status, our global income may be subject to the 25% PRC enterprise income tax, which could materially and adversely affect our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PRC Enterprise Income Tax Law, which came into effect in January 2008 and was amended on February 24, 2017 and December 29, 2018, and its implementation rules, an enterprise established outside of China with a “de facto management body” within China is considered a PRC resident enterprise and will be subject to enterprise income tax at the rate of 25% on its global income. The implementation rules of the PRC Enterprise Income Tax Law define the term “de facto management bodies” as “establishments that carry out substantial and overall management and control over the manufacturing and business operations, personnel, accounting, and properties, among others, of an enterprise.” </w:t>
      </w:r>
    </w:p>
    <w:p>
      <w:pPr>
        <w:pStyle w:val="TextBody"/>
        <w:bidi w:val="0"/>
        <w:spacing w:before="240" w:after="0"/>
        <w:jc w:val="left"/>
        <w:rPr>
          <w:rFonts w:ascii="Times New Roman" w:hAnsi="Times New Roman"/>
          <w:sz w:val="20"/>
        </w:rPr>
      </w:pPr>
      <w:r>
        <w:rPr>
          <w:rFonts w:ascii="Times New Roman" w:hAnsi="Times New Roman"/>
          <w:sz w:val="20"/>
        </w:rPr>
        <w:t xml:space="preserve">On April 22, 2009, the State Taxation Administration issued the Notice Regarding the Determination of Chinese-controlled Offshore Incorporated Enterprises as PRC Tax Resident Enterprises on the Basis of De Facto Management Bodies, or STA Circular 82, which was partially amended by Announcement on Issues concerning the Determination of Resident Enterprises Based on the Standards of Actual Management Institutions issued by the State Taxation Administration on January 29, 2014, and further partially amended by Decision on Issuing the Lists of Invalid and Abolished Tax Departmental Rules and Taxation Normative Documents issued by the State Taxation Administration on December 29, 2017. STA Circular 82, as amended, provides certain specific criteria for determining whether the “de facto management body” of a Chinese-controlled offshore-incorporated enterprise is located in China. Further, STA Circular 82 states that certain Chinese-controlled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State Taxation Administration issued the Bulletin on Promulgation of the Administrative Measures for Income Tax of Chinese-controlled Offshore-incorporated Resident Enterprises (Trial Implementation) on July 27, 2011, effective from September 1, 2011 and partially amended on April 17, 2015, June 28, 2016, and June 15, 2018, or STA Bulletin 45, providing more guidance on the implementation of STA Circular 82. STA Bulletin 45 clarifies matters including resident status determination, post-determination administration and competent tax authorities. See “Item 4. Information on the Company—B. Business Overview—Regulations—Regulations Relating to Tax-Enterprise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both STA Circular 82 and STA Bulletin 45 only apply to offshore enterprises controlled by PRC enterprises or PRC enterprise groups, not those controlled by PRC individuals or foreigners, the determining criteria set forth in STA Circular 82 and STA Bulletin 45 may reflect the State Taxation Administration’s general position on how the “de facto management body” test should be applied in determining the tax resident status of all offshore enterprises, regardless of whether they are controlled by PRC enterprises or individuals.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uncertainty regarding how the new resident enterprise classification may apply, it is also possible that the rules may change in the future, possibly with retroactive effect. Although we do not believe that our legal entities organized outside of China constitute PRC resident enterprises, it is possible that the PRC tax authorities could reach a different conclusion. In such case, we may be considered a PRC resident enterprise and may therefore be subject to enterprise income tax at 25% on our global income as well as PRC enterprise income tax reporting obligations. If we are considered a PRC resident enterprise and earn income other than dividends from our PRC subsidiaries, a 25% enterprise income tax on our global income could significantly increase our tax burden and materially and adversely affect our cash flow and profitability.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Dividends or interest payable to our foreign investors and gains on the sale of our ADSs or ordinary shares or notes by our foreign investors may become subject to taxes under PRC tax laws. </w:t>
      </w:r>
    </w:p>
    <w:p>
      <w:pPr>
        <w:pStyle w:val="TextBody"/>
        <w:bidi w:val="0"/>
        <w:spacing w:before="120" w:after="0"/>
        <w:jc w:val="left"/>
        <w:rPr>
          <w:rFonts w:ascii="Times New Roman" w:hAnsi="Times New Roman"/>
          <w:sz w:val="20"/>
        </w:rPr>
      </w:pPr>
      <w:r>
        <w:rPr>
          <w:rFonts w:ascii="Times New Roman" w:hAnsi="Times New Roman"/>
          <w:sz w:val="20"/>
        </w:rPr>
        <w:t xml:space="preserve">Under the PRC Enterprise Income Tax Law, as amended, and its implementation regulations issued by the State Council, a 10% PRC withholding tax is applicable to dividends or interest payable to investors that are non-PRC resident enterprises, which do not have an establishment or place of business in China or which have such establishment or place of business but the dividends or interest are not effectively connected with such establishment or place of business, to the extent such dividends or interest are derived from sources within China. Similarly, any gain realized on the transfer of ADSs or ordinary shares or notes by such investors is also subject to PRC tax at a rate of 10%, subject to any reduction or exemption set forth in the tax treaties, if such gain is regarded as PRC-sourced income. If we are deemed a PRC resident enterprise, dividends or interest paid on our ordinary shares or ADSs or notes, and any gain realized from the transfer of our ordinary shares or ADSs or notes, would be treated as PRC-sourced income and would as a result be subject to PRC taxation. See “Item 4. Information on the Company—B. Business Overview—Regulation—Regulations Relating to Tax—Enterprise Income Tax.” Furthermore, if we are deemed a PRC resident enterprise, dividends or interest payable to investors that are non-PRC individual investors and any gain realized on the transfer of ADSs or ordinary shares or notes by investors may be subject to PRC tax at a rate of 20%, subject to any reduction or exemption set forth in applicable tax treaties. It is unclear whether, if we are considered a PRC resident enterprise, holders of our ADSs or ordinary shares or notes would be able to claim the benefit of income tax treaties or agreements entered into between China and other countries or areas (although we do not expect to withhold at treaty rates if any withholding is required). If dividends or interest payable to our non-PRC investors, or gains from the transfer of our ordinary shares or ADSs or notes by such investors are subject to PRC tax, the value of your investment in our ordinary shares or ADSs or notes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failure to make adequate contributions to various employee benefit plans as required by PRC regulations may subject us to penalties. </w:t>
      </w:r>
    </w:p>
    <w:p>
      <w:pPr>
        <w:pStyle w:val="TextBody"/>
        <w:bidi w:val="0"/>
        <w:spacing w:before="120" w:after="0"/>
        <w:jc w:val="left"/>
        <w:rPr>
          <w:rFonts w:ascii="Times New Roman" w:hAnsi="Times New Roman"/>
          <w:sz w:val="20"/>
        </w:rPr>
      </w:pPr>
      <w:r>
        <w:rPr>
          <w:rFonts w:ascii="Times New Roman" w:hAnsi="Times New Roman"/>
          <w:sz w:val="20"/>
        </w:rPr>
        <w:t xml:space="preserve">Companies operating in China are required to participate in various government sponsored employee benefit plans, including certain social insurance, housing funds and other welfare-oriented payment obligations. We have not made adequate employee benefit payments as required under applicable PRC labor laws for some of our employees. In addition, we engage third-party human resources agencies to make social insurance and/or housing fund contributions for some of our employees, and there is no assurance that such third-party agencies will make such contributions in full in a timely manner, or at all. Our failure in making contributions to various employee benefit plans and in complying with applicable PRC labor-related laws may subject us to late payment penalties. If we are subject to such penalties in relation to the underpaid employee benefits, our financial condition and results of operations may be adversely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Risks Relating to Our Ordinary Shares and ADSs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price for our ADSs has fluctuated and may be volatile. </w:t>
      </w:r>
    </w:p>
    <w:p>
      <w:pPr>
        <w:pStyle w:val="TextBody"/>
        <w:bidi w:val="0"/>
        <w:spacing w:before="120" w:after="0"/>
        <w:jc w:val="left"/>
        <w:rPr>
          <w:rFonts w:ascii="Times New Roman" w:hAnsi="Times New Roman"/>
          <w:sz w:val="20"/>
        </w:rPr>
      </w:pPr>
      <w:r>
        <w:rPr>
          <w:rFonts w:ascii="Times New Roman" w:hAnsi="Times New Roman"/>
          <w:sz w:val="20"/>
        </w:rPr>
        <w:t xml:space="preserve">Since we first listed our ADSs on the New York Stock Exchange, or the NYSE, on March 23, 2012, the trading prices of our ADSs have been and may continue to be subject to wide fluctuations. In 2024, the trading prices of our ADSs on the NYSE have ranged from US$11.50 to US$20.19 per ADS. </w:t>
      </w:r>
    </w:p>
    <w:p>
      <w:pPr>
        <w:pStyle w:val="TextBody"/>
        <w:bidi w:val="0"/>
        <w:spacing w:before="240" w:after="0"/>
        <w:jc w:val="left"/>
        <w:rPr>
          <w:rFonts w:ascii="Times New Roman" w:hAnsi="Times New Roman"/>
          <w:sz w:val="20"/>
        </w:rPr>
      </w:pPr>
      <w:r>
        <w:rPr>
          <w:rFonts w:ascii="Times New Roman" w:hAnsi="Times New Roman"/>
          <w:sz w:val="20"/>
        </w:rPr>
        <w:t xml:space="preserve">The market price for our ADSs is likely to be highly volatile and subject to wide fluctuations in response to factors including the following: </w:t>
      </w:r>
    </w:p>
    <w:p>
      <w:pPr>
        <w:pStyle w:val="TextBody"/>
        <w:bidi w:val="0"/>
        <w:spacing w:before="0" w:after="0"/>
        <w:jc w:val="left"/>
        <w:rPr/>
      </w:pPr>
      <w:r>
        <w:rPr/>
        <w:t> </w:t>
      </w:r>
    </w:p>
    <w:tbl>
      <w:tblPr>
        <w:tblW w:w="8980" w:type="dxa"/>
        <w:jc w:val="left"/>
        <w:tblInd w:w="0" w:type="dxa"/>
        <w:tblLayout w:type="fixed"/>
        <w:tblCellMar>
          <w:top w:w="0" w:type="dxa"/>
          <w:left w:w="0" w:type="dxa"/>
          <w:bottom w:w="0" w:type="dxa"/>
          <w:right w:w="0" w:type="dxa"/>
        </w:tblCellMar>
      </w:tblPr>
      <w:tblGrid>
        <w:gridCol w:w="75"/>
        <w:gridCol w:w="110"/>
        <w:gridCol w:w="60"/>
        <w:gridCol w:w="8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or anticipated fluctuations in our quarterly results of operations and changes of our expected results;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announcements by us or our competitors of new services, acquisitions, strategic relationships, joint ventures, or capital investments; </w:t>
            </w:r>
          </w:p>
        </w:tc>
      </w:tr>
    </w:tbl>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75"/>
        <w:gridCol w:w="110"/>
        <w:gridCol w:w="60"/>
        <w:gridCol w:w="51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departures of our senior management personnel; </w:t>
            </w:r>
          </w:p>
        </w:tc>
      </w:tr>
    </w:tbl>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detrimental negative publicity about us, our competitors, or our industry;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75"/>
        <w:gridCol w:w="110"/>
        <w:gridCol w:w="60"/>
        <w:gridCol w:w="5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financial estimates by securities research analysts; </w:t>
            </w:r>
          </w:p>
        </w:tc>
      </w:tr>
    </w:tbl>
    <w:p>
      <w:pPr>
        <w:pStyle w:val="TextBody"/>
        <w:bidi w:val="0"/>
        <w:spacing w:before="0" w:after="0"/>
        <w:jc w:val="left"/>
        <w:rPr/>
      </w:pPr>
      <w:r>
        <w:rPr/>
        <w:t> </w:t>
      </w:r>
    </w:p>
    <w:tbl>
      <w:tblPr>
        <w:tblW w:w="6250" w:type="dxa"/>
        <w:jc w:val="left"/>
        <w:tblInd w:w="0" w:type="dxa"/>
        <w:tblLayout w:type="fixed"/>
        <w:tblCellMar>
          <w:top w:w="0" w:type="dxa"/>
          <w:left w:w="0" w:type="dxa"/>
          <w:bottom w:w="0" w:type="dxa"/>
          <w:right w:w="0" w:type="dxa"/>
        </w:tblCellMar>
      </w:tblPr>
      <w:tblGrid>
        <w:gridCol w:w="75"/>
        <w:gridCol w:w="110"/>
        <w:gridCol w:w="60"/>
        <w:gridCol w:w="6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regulatory developments affecting us, our brand partners, or our industry;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economic performance or market valuations of other internet, e-commerce, or online retail companies in China;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in major business terms between our brand suppliers and us; </w:t>
            </w:r>
          </w:p>
        </w:tc>
      </w:tr>
    </w:tbl>
    <w:p>
      <w:pPr>
        <w:pStyle w:val="TextBody"/>
        <w:bidi w:val="0"/>
        <w:spacing w:before="0" w:after="0"/>
        <w:jc w:val="left"/>
        <w:rPr/>
      </w:pPr>
      <w:r>
        <w:rPr/>
        <w:t> </w:t>
      </w:r>
    </w:p>
    <w:tbl>
      <w:tblPr>
        <w:tblW w:w="6235" w:type="dxa"/>
        <w:jc w:val="left"/>
        <w:tblInd w:w="0" w:type="dxa"/>
        <w:tblLayout w:type="fixed"/>
        <w:tblCellMar>
          <w:top w:w="0" w:type="dxa"/>
          <w:left w:w="0" w:type="dxa"/>
          <w:bottom w:w="0" w:type="dxa"/>
          <w:right w:w="0" w:type="dxa"/>
        </w:tblCellMar>
      </w:tblPr>
      <w:tblGrid>
        <w:gridCol w:w="75"/>
        <w:gridCol w:w="110"/>
        <w:gridCol w:w="60"/>
        <w:gridCol w:w="5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fluctuations of exchange rates between the Renminbi and the U.S. dollar; </w:t>
            </w:r>
          </w:p>
        </w:tc>
      </w:tr>
    </w:tbl>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75"/>
        <w:gridCol w:w="110"/>
        <w:gridCol w:w="60"/>
        <w:gridCol w:w="7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release or expiry of lock-up or other transfer restrictions on our outstanding shares or ADSs; and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sales or perceived potential sales of additional equity securities or ADSs.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securities market has from time to time experienced significant price and volume fluctuations that are not relating to the operating performance of any particular company. The securities of some China-based, U.S.-listed companies have experienced significant volatility since their initial public offerings, including, in some cases, substantial price declines in the trading prices of their securities. The trading performances of the securities of these companies after their offerings may affect the attitudes of investors toward China-based, U.S.-listed companies, which consequently may impact the trading performance of our ADSs, regardless of our actual operating performance. Furthermore, some negative news and perceptions about inadequate corporate governance practices or fraudulent accounting, corporate structure including the use of variable interest entities or other matters of other China-based, U.S.-listed companies have negatively affected the attitudes of investors towards China-based, U.S.-listed companies, including us, in general in the past, regardless of whether we have engaged in any inappropriate activities, and any news or perceptions with a similar nature may continue to negatively affect us in the future. These market fluctuations may also materially and adversely affect the market price of our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dual-class voting structure will limit your ability to influence corporate matters and could discourage others from pursuing any change of control transactions that holders of our Class A ordinary shares and ADSs may view as beneficial. </w:t>
      </w:r>
    </w:p>
    <w:p>
      <w:pPr>
        <w:pStyle w:val="TextBody"/>
        <w:bidi w:val="0"/>
        <w:spacing w:before="120" w:after="0"/>
        <w:jc w:val="left"/>
        <w:rPr>
          <w:rFonts w:ascii="Times New Roman" w:hAnsi="Times New Roman"/>
          <w:sz w:val="20"/>
        </w:rPr>
      </w:pPr>
      <w:r>
        <w:rPr>
          <w:rFonts w:ascii="Times New Roman" w:hAnsi="Times New Roman"/>
          <w:sz w:val="20"/>
        </w:rPr>
        <w:t xml:space="preserve">Our co-founder, chairman, and chief executive officer, Mr. Eric Ya Shen, has considerable influence over important corporate matters. Our ordinary shares are divided into Class A ordinary shares and Class B ordinary shares. Each Class A ordinary share is entitled to one vote and each Class B ordinary share is entitled to ten votes on all matters that are subject to shareholder vote. Each Class B ordinary share is convertible into one Class A ordinary share at any time by the holder thereof, while Class A ordinary shares are not convertible into Class B ordinary shares under any circumstances. Due to the disparate voting powers associated with our two classes of ordinary shares, as of March 31, 2025, Mr. Eric Ya Shen beneficially owned approximately 64.5% of the aggregate voting power of our company. As a result, Mr. Eric Ya Shen has considerable influence over matters such as electing directors and approving material mergers, acquisitions, or other business combination transactions, and he may take actions that are not in the best interest of us or our other shareholders. This concentrated control will limit your ability to influence corporate matters and could also discourage others from pursuing any potential merger, takeover, or other change of control transactions, which could have the effect of depriving the holders of our Class A ordinary shares and our ADSs of the opportunity to sell their shares at a premium over the prevailing market price. Any possible enforcement against such collateral could materially affect the influence of Mr. Eric Ya Shen over important corporate matters or the trading price of our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Substantial future sales or perceived potential sales of our ADSs, ordinary shares, or other equity securities in the public market could cause the price of our ADSs to decline. </w:t>
      </w:r>
    </w:p>
    <w:p>
      <w:pPr>
        <w:pStyle w:val="TextBody"/>
        <w:bidi w:val="0"/>
        <w:spacing w:before="120" w:after="0"/>
        <w:jc w:val="left"/>
        <w:rPr>
          <w:rFonts w:ascii="Times New Roman" w:hAnsi="Times New Roman"/>
          <w:sz w:val="20"/>
        </w:rPr>
      </w:pPr>
      <w:r>
        <w:rPr>
          <w:rFonts w:ascii="Times New Roman" w:hAnsi="Times New Roman"/>
          <w:sz w:val="20"/>
        </w:rPr>
        <w:t xml:space="preserve">Sales of our ADSs, ordinary shares, or other equity securities in the public market, or the perception that these sales could occur, could cause the market price of our ADSs to decline. All ADSs representing our Class A ordinary shares are freely transferable by persons other than our “affiliates” without restriction or additional registration under the Securities Act of 1933, as amended, or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sell additional ordinary shares, ADSs, or other equity securities to raise capital, and our existing shareholders could sell substantial amounts of the ordinary shares or ADSs, including those issued upon the exercise of outstanding options, in the public market. We cannot predict the size of such future issuance or the effect, if any, that they may have on the market price for our ADSs. The issuance and sale of a substantial amounts of ordinary shares, ADSs, or other equity securities, or the perception that such issuances and sales may occur, could adversely affect the market price of our ADSs and impair our ability to raise capital through the sale of additional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Certain holders of our Class A ordinary shares have the right to cause us to register under the Securities Act the sale of their shares.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securities or industry analysts do not publish research or reports about our business, or if they adversely change their recommendations regarding our ADSs, the market price for our ADSs and trading volume could decline. </w:t>
      </w:r>
    </w:p>
    <w:p>
      <w:pPr>
        <w:pStyle w:val="TextBody"/>
        <w:bidi w:val="0"/>
        <w:spacing w:before="120" w:after="0"/>
        <w:jc w:val="left"/>
        <w:rPr>
          <w:rFonts w:ascii="Times New Roman" w:hAnsi="Times New Roman"/>
          <w:sz w:val="20"/>
        </w:rPr>
      </w:pPr>
      <w:r>
        <w:rPr>
          <w:rFonts w:ascii="Times New Roman" w:hAnsi="Times New Roman"/>
          <w:sz w:val="20"/>
        </w:rPr>
        <w:t xml:space="preserve">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of or trading volume for our ADSs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Techniques employed by short sellers may drive down the trading price of our ADSs. </w:t>
      </w:r>
    </w:p>
    <w:p>
      <w:pPr>
        <w:pStyle w:val="TextBody"/>
        <w:bidi w:val="0"/>
        <w:spacing w:before="120" w:after="0"/>
        <w:jc w:val="left"/>
        <w:rPr>
          <w:rFonts w:ascii="Times New Roman" w:hAnsi="Times New Roman"/>
          <w:sz w:val="20"/>
        </w:rPr>
      </w:pPr>
      <w:r>
        <w:rPr>
          <w:rFonts w:ascii="Times New Roman" w:hAnsi="Times New Roman"/>
          <w:sz w:val="20"/>
        </w:rPr>
        <w:t xml:space="preserve">Short selling is the practice of selling securities that a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target issuer and its business prospects in order to create negative market momentum and generate profits for themselves after selling a security short. These short attacks have, in the past, led to selling of shares in the market. </w:t>
      </w:r>
    </w:p>
    <w:p>
      <w:pPr>
        <w:pStyle w:val="TextBody"/>
        <w:bidi w:val="0"/>
        <w:spacing w:before="240" w:after="0"/>
        <w:jc w:val="left"/>
        <w:rPr>
          <w:rFonts w:ascii="Times New Roman" w:hAnsi="Times New Roman"/>
          <w:sz w:val="20"/>
        </w:rPr>
      </w:pPr>
      <w:r>
        <w:rPr>
          <w:rFonts w:ascii="Times New Roman" w:hAnsi="Times New Roman"/>
          <w:sz w:val="20"/>
        </w:rPr>
        <w:t xml:space="preserve">Public companies listed in the United States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be the subject of unfavorable allegations made by short sellers in the future. Any such allegations may be followed by periods of instability in the market price of our ADSs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any investment in our ADSs could be greatly reduced or rendered worthless.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must not rely on our dividend policy for return on your investment in our ADSs because the amount, timing, and whether or not we distribute dividends at all is entirely at the discretion of our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We adopted an annual cash dividend policy in February 2024, under which we may choose to declare and distribute a cash dividend each year in accordance with our memorandum and articles of association and the applicable laws and regulations. Accordingly, we declared a cash dividend of US$2.15 per ordinary share, or US$0.43 per ADS, to holders of ordinary shares and holders of ADSs of record as of the close of business on March 15, 2024. The cash dividends were paid in April 2024. In February 2025, we declared an annual cash dividend for fiscal year 2024 in the amount of US$2.40 per ordinary share, or US$0.48 per ADS, to holders of ordinary shares and holders of ADSs of record as of the close of business on April 11, 2025. The cash dividends are expected to be paid on April 25, 2025.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complete discretion as to whether to distribute dividends. Our board of directors may also revise our dividend policy or it may choose to cancel our dividend policy entirely. Even if our board of directors decides to declare and pay dividends, the timing, amount, and form of future dividends, if any, will depend on, among other things, our future results of operations and cash flow, our capital requirements and surplus, the amount of distributions, if any, that we receive from our subsidiaries, our financial condition, contractual restrictions, and other factors deemed relevant by our board of directors. Accordingly, the return on your investment in our ADSs will likely depend entirely upon any future price appreciation of our ADSs. There is no assurance that our ADSs will appreciate in value or even maintain the price at which you purchased the ADSs. You may not realize a return on your investment in our ADSs and you may even lose your entire investment in our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voting rights of ADS holders are limited by the terms of the deposit agreement, and ADS holders may not be able to exercise their right to direct how the Class A ordinary shares represented by the ADSs are voted.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in this annual report and in the deposit agreement, holders of the ADSs will not be able to exercise voting rights attached to the Class A ordinary shares represented by our ADSs on an individual basis. Under the deposit agreement, ADS holders may vote only by giving voting instructions to the depositary, as the registered holder of the underlying Class A ordinary shares which are represented by the ADSs. Upon receipt of voting instructions from ADS holders, the depositary will endeavor to vote the underlying Class A ordinary shares in accordance with such instructions. Holder of the ADSs will not be able to directly exercise any right to vote with respect to the underlying shares unless ADS holders withdraw the shares and becomes the registered holder of such shares prior to the record date for the general meeting. See “Item 10. Additional Information—B. Memorandum and Articles of Association—Ordinary Shares—Voting Rights.”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the ADS holders will receive the voting materials in time to instruct the depositary to vote the Class A ordinary shares underlying their ADSs, and it is possible that the ADS holders who hold their ADSs through brokers, dealers, or other third parties, will as a result not have the opportunity to exercise a right to vote. In addition, the depositary and its agents are not responsible for failing to carry out voting instructions or for the manner of carrying out voting instructions. Although the ADS holders may directly exercise their right to vote by withdrawing the ordinary shares underlying their ADSs, the ADS holders may not be able to do so, on a timely basis or at all, to allow themselves to vote with respect to any specific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Your right to participate in any future rights offerings may be limited, which may cause dilution to your holdings, and you may not receive cash dividends if it is impractical to make them available to you.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a registration statement, if filed, to be declared effective. There might not be an exemption from registration under the Securities Act available to us for our rights offering. Accordingly, you may be unable to participate in our rights offerings and may experience dilution in your holdings.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of our ADSs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be subject to limitations on transfer of your ADSs. </w:t>
      </w:r>
    </w:p>
    <w:p>
      <w:pPr>
        <w:pStyle w:val="TextBody"/>
        <w:bidi w:val="0"/>
        <w:spacing w:before="120" w:after="0"/>
        <w:jc w:val="left"/>
        <w:rPr>
          <w:rFonts w:ascii="Times New Roman" w:hAnsi="Times New Roman"/>
          <w:sz w:val="20"/>
        </w:rPr>
      </w:pPr>
      <w:r>
        <w:rPr>
          <w:rFonts w:ascii="Times New Roman" w:hAnsi="Times New Roman"/>
          <w:sz w:val="20"/>
        </w:rPr>
        <w:t xml:space="preserve">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 body, or under any provision of the deposit agreement, or for any other reason.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difficulties in effecting service of legal process, enforcing foreign judgments or bringing actions against us or our directors and officers named in the annual report based on foreign laws.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in the Cayman Islands and conduct substantially all of our operations in China through our PRC subsidiaries and the consolidated variable interest entities. Among our directors and executive officers, Arthur Xiaobo Hong, Martin Chi Ping Lau, Jacky Yu Xu, Xing Liu, and Nanyan Zheng habitually reside in Hong Kong while the other directors and executive officers all habitually reside in mainland China. As a result, it may be difficult for a shareholder to effect service of process within the United States upon these individuals,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A judgment obtained in any federal or state court in the United States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and conclusive, (iv) is not in respect of taxes, a fine, or a penalty, and (v) was not obtained in a manner and is not of a kind the enforcement of which is contrary to natural justice or the public policy of the Cayman Islands. 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Because the courts of the Cayman Islands have yet to rule on whether such judgments are penal or punitive in nature, it is uncertain whether such civil liability judgments from U.S. courts would be enforceable in the Cayman Islands. In addition, with respect to Cayman Islands companies, plaintiffs may face special obstacles, including but not limited to those relating to jurisdiction and standing, in attempting to assert derivative claims in United States federal or state courts.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also experience difficulties in enforcing judgments of the United States courts obtained against us or our directors or executive officers in mainland China or Hong Kong. In terms of enforceability of civil liabilities in mainland China, the courts in mainland China may recognize and enforce foreign judgments in accordance with the requirements of the PRC Civil Procedures Law based either on treaties between mainland China and the country where the judgment is made or on principles of reciprocity between jurisdictions. Mainland China does not have any treaties or other forms of reciprocity with the United States that provide for the reciprocal recognition and enforcement of foreign judgments. In addition, according to the PRC Civil Procedures Law, the mainland China courts will not enforce a foreign judgment against us or our director and officers if they decide that the judgment violates the basic principles of laws of mainland China or national sovereignty, security or public interest. As a result, it is uncertain whether and on what basis a court in mainland China would enforce a judgment rendered by a court in the United States. In terms of enforceability of civil liabilities in Hong Kong, the United States and Hong Kong do not have a bilateral treaty or multilateral convention in force on reciprocal recognition and enforcement of judgments either. As a result, any United States judgment is enforceable in Hong Kong pursuant to the common law regime in Hong Kong for recognizing and enforcing foreign judgments, which provides that a foreign judgment is enforceable if (i) it is final and conclusive on the merits, (ii) the judgment has been rendered by a court of competent jurisdiction, (iii) the judgment must be for a fixed sum of money, (iv) the judgment must be between the same parties as those before the Hong Kong court, and (v) enforcement of the judgment is not a breach of natural justice or against public policy. Therefore, any United States judgment may only be enforceable in mainland China or Hong Kong provided that the conditions set forth in the laws of these jurisdictions are determined by the courts of mainland China or Hong Kong, as applicable, to have been fulfilled. </w:t>
      </w:r>
    </w:p>
    <w:p>
      <w:pPr>
        <w:pStyle w:val="TextBody"/>
        <w:bidi w:val="0"/>
        <w:spacing w:before="240" w:after="0"/>
        <w:jc w:val="left"/>
        <w:rPr>
          <w:rFonts w:ascii="Times New Roman" w:hAnsi="Times New Roman"/>
          <w:sz w:val="20"/>
        </w:rPr>
      </w:pPr>
      <w:r>
        <w:rPr>
          <w:rFonts w:ascii="Times New Roman" w:hAnsi="Times New Roman"/>
          <w:sz w:val="20"/>
        </w:rPr>
        <w:t xml:space="preserve">As a result of all of the above, our public shareholders may have more difficulty in protecting their interests through actions against our management, directors, or major shareholders than would shareholders of a corporation incorporated in a jurisdiction in the United States.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Since we are a Cayman Islands exempted company, the rights of our shareholders may be more limited than those of shareholders of a company organized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Under the laws of some jurisdictions in the United States, majority and controlling shareholders generally have certain fiduciary responsibilities to the minority shareholders. Shareholder action must be taken in good faith, and actions by controlling shareholders which are obviously unreasonable may be declared null and void. Cayman Islands law protecting the interests of minority shareholders may not be as protective in all circumstances as the law protecting minority shareholders in some U.S. jurisdictions. In addition, the circumstances in which a shareholder of a Cayman Islands company may sue the company derivatively, and the procedures and defenses that may be available to the company, may result in the rights of shareholders of a Cayman Islands company being more limited than those of shareholders of a company organized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Furthermore, our directors have the power to take certain actions without shareholder approval which would require shareholder approval under the laws of most U.S. jurisdictions. The directors of a Cayman Islands company, without shareholder approval, may implement a sale of any assets, property, part of the business, or securities of the company. Our ability to create and issue new classes or series of shares without shareholders’ approval could have the effect of delaying, deterring, or preventing a change in control without any further action by our shareholders, including a tender offer to purchase our ordinary shares at a premium over then current market prices.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memorandum and articles of association contain anti-takeover provisions that could adversely affect the rights of holders of our ordinary shares and ADSs. </w:t>
      </w:r>
    </w:p>
    <w:p>
      <w:pPr>
        <w:pStyle w:val="TextBody"/>
        <w:bidi w:val="0"/>
        <w:spacing w:before="120" w:after="0"/>
        <w:jc w:val="left"/>
        <w:rPr>
          <w:rFonts w:ascii="Times New Roman" w:hAnsi="Times New Roman"/>
          <w:sz w:val="20"/>
        </w:rPr>
      </w:pPr>
      <w:r>
        <w:rPr>
          <w:rFonts w:ascii="Times New Roman" w:hAnsi="Times New Roman"/>
          <w:sz w:val="20"/>
        </w:rPr>
        <w:t xml:space="preserve">Our currently effective amended and restated memorandum and articles of association contain certain provisions that could limit the ability of third parties to acquire control of our company, including a provision that grants authority to our board directors to establish from time to time one or more series of preferred shares without action by our shareholders and to determine, with respect to any series of preferred shares, the terms and rights of that series. The provisions could have the effect of depriving our shareholders of the opportunity to sell their shares at a premium over the prevailing market price by discouraging third parties from seeking to obtain control of our company in a tender offer or similar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may be classified as a passive foreign investment company for United States federal income tax purposes, which could subject United States investors in our ADSs or Class A ordinary shares to significant adverse United States income tax consequences. </w:t>
      </w:r>
    </w:p>
    <w:p>
      <w:pPr>
        <w:pStyle w:val="TextBody"/>
        <w:bidi w:val="0"/>
        <w:spacing w:before="120" w:after="0"/>
        <w:jc w:val="left"/>
        <w:rPr>
          <w:rFonts w:ascii="Times New Roman" w:hAnsi="Times New Roman"/>
          <w:sz w:val="20"/>
        </w:rPr>
      </w:pPr>
      <w:r>
        <w:rPr>
          <w:rFonts w:ascii="Times New Roman" w:hAnsi="Times New Roman"/>
          <w:sz w:val="20"/>
        </w:rPr>
        <w:t xml:space="preserve">A non-United States corporation, such as our company, will be a passive foreign investment company, or PFIC, for United States federal income tax purposes for any taxable year if either (a) 75% or more of its gross income for such year consists of certain types of “passive” income or (b)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associated with active business activities may generally be classified as active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 </w:t>
      </w:r>
    </w:p>
    <w:p>
      <w:pPr>
        <w:pStyle w:val="TextBody"/>
        <w:bidi w:val="0"/>
        <w:spacing w:before="240" w:after="0"/>
        <w:jc w:val="left"/>
        <w:rPr>
          <w:rFonts w:ascii="Times New Roman" w:hAnsi="Times New Roman"/>
          <w:sz w:val="20"/>
        </w:rPr>
      </w:pPr>
      <w:r>
        <w:rPr>
          <w:rFonts w:ascii="Times New Roman" w:hAnsi="Times New Roman"/>
          <w:sz w:val="20"/>
        </w:rPr>
        <w:t xml:space="preserve">Although the law in this regard is unclear, we treat the consolidated variable interest entities as being owned by us for U.S. federal income tax purposes, not only because their management decisions are made by our WFOE in accordance with the contractual arrangements but also because we are entitled to substantially all of their economic benefits in accordance with the contractual arrangements, and, as a result, we have a “controlling financial interest” in the consolidated variable interest entities as defined in FASB ASC 810 so that we are considered the primary beneficiary of these consolidated variable interest entities for accounting purposes and thus consolidate their results of operations in our consolidated financial statements under U.S. GAAP. If it were determined, however, that we are not the owner of any of the consolidated variable interest entities for United States federal income tax purposes, we would likely be treated as a PFIC for the current taxable year or any future taxable year. </w:t>
      </w:r>
    </w:p>
    <w:p>
      <w:pPr>
        <w:pStyle w:val="TextBody"/>
        <w:bidi w:val="0"/>
        <w:spacing w:before="240" w:after="0"/>
        <w:jc w:val="left"/>
        <w:rPr>
          <w:rFonts w:ascii="Times New Roman" w:hAnsi="Times New Roman"/>
          <w:sz w:val="20"/>
        </w:rPr>
      </w:pPr>
      <w:r>
        <w:rPr>
          <w:rFonts w:ascii="Times New Roman" w:hAnsi="Times New Roman"/>
          <w:sz w:val="20"/>
        </w:rPr>
        <w:t xml:space="preserve">Assuming that we are the owner of the consolidated variable interest entities for United States federal income tax purposes, and based upon our income and assets and the market price of our ADSs, we do not believe that we were a PFIC for the taxable year ended December 31, 2024 and do not anticipate becoming a PFIC in the foreseeable future. While we do not expect to become a PFIC, the determination of whether we will be or become a PFIC will depend in part upon the market price of our ADSs, which we cannot control. Among other matters, if our market capitalization declines, we may be a PFIC for the current or future taxable years. Recent fluctuations in the market price of our ADSs increased our risk of becoming a PFIC. The market price of our ADSs may continue to fluctuate considerably; consequently, we cannot assure you of our PFIC status for any taxable year. The determination of whether we are or will be a PFIC will also depend, in part, on the composition of our income and assets, which will be affected by how, and how quickly, we use our liquid assets. Because PFIC status is a factual determination made annually after the close of each taxable year, including ascertaining the fair market value of our assets and the character of each item of income we earn, we can provide no assurance that we will not be a PFIC for the current taxable year or any future taxable year. </w:t>
      </w:r>
    </w:p>
    <w:p>
      <w:pPr>
        <w:pStyle w:val="TextBody"/>
        <w:bidi w:val="0"/>
        <w:spacing w:before="240" w:after="0"/>
        <w:jc w:val="left"/>
        <w:rPr>
          <w:rFonts w:ascii="Times New Roman" w:hAnsi="Times New Roman"/>
          <w:sz w:val="20"/>
        </w:rPr>
      </w:pPr>
      <w:r>
        <w:rPr>
          <w:rFonts w:ascii="Times New Roman" w:hAnsi="Times New Roman"/>
          <w:sz w:val="20"/>
        </w:rPr>
        <w:t xml:space="preserve">If we were to be classified as a PFIC in any taxable year, a U.S. Holder (as defined in “Item 10. Additional Information—E. Taxation—United States Federal Income Tax Considerations”) would be subject to special rules generally intended to reduce or eliminate any benefits from the deferral of United States federal income tax that a U.S. Holder could derive from investing in a non-United States corporation that does not distribute all of its earnings on a current basis. Further, if we are classified as a PFIC for any year during which a U.S. Holder holds our ADSs or Class A ordinary shares, we generally will continue to be treated as a PFIC for all succeeding years during which such U.S. Holder holds our ADSs or Class A ordinary shares. For more information, see “Item 10. Additional Information—E. Taxation—United States Federal Income Tax Considerations—Passive Foreign Investment Company Considerations.”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We are a foreign private issuer within the meaning of the rules under the U.S. Exchange Act, and as such we are exempt from certain provisions applicable to United States domestic public companies. </w:t>
      </w:r>
    </w:p>
    <w:p>
      <w:pPr>
        <w:pStyle w:val="TextBody"/>
        <w:bidi w:val="0"/>
        <w:spacing w:before="120" w:after="0"/>
        <w:jc w:val="left"/>
        <w:rPr>
          <w:rFonts w:ascii="Times New Roman" w:hAnsi="Times New Roman"/>
          <w:sz w:val="20"/>
        </w:rPr>
      </w:pPr>
      <w:r>
        <w:rPr>
          <w:rFonts w:ascii="Times New Roman" w:hAnsi="Times New Roman"/>
          <w:sz w:val="20"/>
        </w:rPr>
        <w:t xml:space="preserve">Because we qualify as a foreign private issuer under the U.S. Exchange Act, we are exempt from certain provisions of the securities rules and regulations in the United States that are applicable to U.S. domestic issuers,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rules under the U.S. Exchange Act requiring the filing with the SEC of quarterly reports on Form 10-Q or current reports on Form 8-K;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sections of the U.S. Exchange Act regulating the solicitation of proxies, consents, or authorizations in respect of a security registered under the U.S. Exchange Act;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sections of the U.S. Exchange Act requiring insiders to file public reports of their stock ownership and trading activities and liability for insiders who profit from trades made in a short period of time; and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selective disclosure rules by issuers of material nonpublic information under Regulation FD.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an annual report on Form 20-F within four months of the end of each fiscal year. In addition, we intend to publish our results on a quarterly basis through press releases, distributed pursuant to the rules and regulations of the NYSE.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 </w:t>
      </w:r>
    </w:p>
    <w:p>
      <w:pPr>
        <w:pStyle w:val="TextBody"/>
        <w:bidi w:val="0"/>
        <w:spacing w:before="360" w:after="0"/>
        <w:jc w:val="left"/>
        <w:rPr>
          <w:rFonts w:ascii="Times New Roman" w:hAnsi="Times New Roman"/>
          <w:b/>
          <w:i/>
          <w:sz w:val="20"/>
        </w:rPr>
      </w:pPr>
      <w:r>
        <w:rPr>
          <w:rFonts w:ascii="Times New Roman" w:hAnsi="Times New Roman"/>
          <w:b/>
          <w:i/>
          <w:sz w:val="20"/>
        </w:rPr>
        <w:t xml:space="preserve">As a company incorporated in the Cayman Islands, we are permitted to adopt certain home country practices in relation to corporate governance matters. These practices may afford less protection to shareholders than they would enjoy if we complied fully with the NYSE corporate governance listing standards. </w:t>
      </w:r>
    </w:p>
    <w:p>
      <w:pPr>
        <w:pStyle w:val="TextBody"/>
        <w:bidi w:val="0"/>
        <w:spacing w:before="120" w:after="0"/>
        <w:jc w:val="left"/>
        <w:rPr>
          <w:rFonts w:ascii="Times New Roman" w:hAnsi="Times New Roman"/>
          <w:sz w:val="20"/>
        </w:rPr>
      </w:pPr>
      <w:r>
        <w:rPr>
          <w:rFonts w:ascii="Times New Roman" w:hAnsi="Times New Roman"/>
          <w:sz w:val="20"/>
        </w:rPr>
        <w:t xml:space="preserve">As a non-U.S. company with ADSs listed on the NYSE, we are subject to the NYSE corporate governance listing standards. However, Section 303A.00 of the NYSE Listed Company Manual permits a foreign private issuer like us to follow the corporate governance practices of its home country. Certain corporate governance practices in the Cayman Islands, which is our home country, may differ significantly from the NYSE rules. As we have chosen, and may from time to time to choose, to follow home country practice exemptions with respect to certain corporate matters, such as the requirements to have a majority of independent directors on the board and to obtain shareholders’ approval for adoption of an equity incentive plan, our shareholders may be afforded less protection under Cayman Islands law than they would under the NYSE rules applicable to U.S. domestic issuers. See “Item 16G. Corporate Governance.” </w:t>
      </w:r>
    </w:p>
    <w:p>
      <w:pPr>
        <w:pStyle w:val="TextBody"/>
        <w:bidi w:val="0"/>
        <w:spacing w:before="0" w:after="0"/>
        <w:jc w:val="left"/>
        <w:rPr/>
      </w:pPr>
      <w:r>
        <w:rPr/>
        <w:t> </w:t>
      </w:r>
    </w:p>
    <w:tbl>
      <w:tblPr>
        <w:tblW w:w="4240" w:type="dxa"/>
        <w:jc w:val="left"/>
        <w:tblInd w:w="0" w:type="dxa"/>
        <w:tblLayout w:type="fixed"/>
        <w:tblCellMar>
          <w:top w:w="0" w:type="dxa"/>
          <w:left w:w="0" w:type="dxa"/>
          <w:bottom w:w="0" w:type="dxa"/>
          <w:right w:w="0" w:type="dxa"/>
        </w:tblCellMar>
      </w:tblPr>
      <w:tblGrid>
        <w:gridCol w:w="905"/>
        <w:gridCol w:w="3335"/>
      </w:tblGrid>
      <w:tr>
        <w:trPr/>
        <w:tc>
          <w:tcPr>
            <w:tcW w:w="905" w:type="dxa"/>
            <w:tcBorders/>
            <w:vAlign w:val="center"/>
          </w:tcPr>
          <w:p>
            <w:pPr>
              <w:pStyle w:val="TableContents"/>
              <w:bidi w:val="0"/>
              <w:spacing w:before="0" w:after="283"/>
              <w:jc w:val="left"/>
              <w:rPr>
                <w:b/>
              </w:rPr>
            </w:pPr>
            <w:bookmarkStart w:id="9" w:name="toc907177_7a"/>
            <w:bookmarkEnd w:id="9"/>
            <w:r>
              <w:rPr>
                <w:b/>
              </w:rPr>
              <w:t>ITEM 4.</w:t>
            </w:r>
          </w:p>
        </w:tc>
        <w:tc>
          <w:tcPr>
            <w:tcW w:w="33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INFORMATION ON THE COMPANY </w:t>
            </w:r>
          </w:p>
        </w:tc>
      </w:tr>
    </w:tbl>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275"/>
        <w:gridCol w:w="3620"/>
      </w:tblGrid>
      <w:tr>
        <w:trPr/>
        <w:tc>
          <w:tcPr>
            <w:tcW w:w="275" w:type="dxa"/>
            <w:tcBorders/>
            <w:vAlign w:val="center"/>
          </w:tcPr>
          <w:p>
            <w:pPr>
              <w:pStyle w:val="TableContents"/>
              <w:bidi w:val="0"/>
              <w:spacing w:before="0" w:after="283"/>
              <w:jc w:val="left"/>
              <w:rPr>
                <w:b/>
              </w:rPr>
            </w:pPr>
            <w:r>
              <w:rPr>
                <w:b/>
              </w:rPr>
              <w:t>A.</w:t>
            </w:r>
          </w:p>
        </w:tc>
        <w:tc>
          <w:tcPr>
            <w:tcW w:w="3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History and Development of the Company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Our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incorporated in the Cayman Islands and conduct our business through our subsidiaries and the consolidated variable interest entities in China. We started our operations in August 2008 when our founders established Vipshop Information in China. In order to facilitate foreign investment in our company, our founders incorporated Vipshop Holdings Limited, an offshore holding company in Cayman Islands, in August 2010. In October 2010, Vipshop Holdings Limited established Vipshop International Holdings Limited, a wholly-owned subsidiary, in Hong Kong. Subsequently, Vipshop International Holdings Limited established a wholly-owned PRC subsidiary, Vipshop China, in January 2011 and a wholly-owned PRC subsidiary, Chongqing Pinwei, in March 2024. Along with the growth of our mobile active customers and mobile service offerings, Vipshop China formed Guangzhou Pinwei Software Co., Ltd. in 2012 as a research and development center to focus on our mobile product and solutions.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support our regional business expansion, Vipshop China established a number of wholly-owned PRC subsidiaries that focus on warehousing services, retail business, product procurement, as well as software development and information technology support over the years since 2011. As of December 31, 2024, we mainly rely on Chongqing Pinwei. and the following five principal subsidiaries of Vipshop China for our business operations: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75"/>
        <w:gridCol w:w="110"/>
        <w:gridCol w:w="60"/>
        <w:gridCol w:w="3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Vipshop (Jianyang) E-Commerce Co., Ltd.; </w:t>
            </w:r>
          </w:p>
        </w:tc>
      </w:tr>
    </w:tbl>
    <w:p>
      <w:pPr>
        <w:pStyle w:val="TextBody"/>
        <w:bidi w:val="0"/>
        <w:spacing w:before="0" w:after="0"/>
        <w:jc w:val="left"/>
        <w:rPr/>
      </w:pPr>
      <w:r>
        <w:rPr/>
        <w:t> </w:t>
      </w:r>
    </w:p>
    <w:tbl>
      <w:tblPr>
        <w:tblW w:w="3880" w:type="dxa"/>
        <w:jc w:val="left"/>
        <w:tblInd w:w="0" w:type="dxa"/>
        <w:tblLayout w:type="fixed"/>
        <w:tblCellMar>
          <w:top w:w="0" w:type="dxa"/>
          <w:left w:w="0" w:type="dxa"/>
          <w:bottom w:w="0" w:type="dxa"/>
          <w:right w:w="0" w:type="dxa"/>
        </w:tblCellMar>
      </w:tblPr>
      <w:tblGrid>
        <w:gridCol w:w="75"/>
        <w:gridCol w:w="110"/>
        <w:gridCol w:w="60"/>
        <w:gridCol w:w="36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Vipshop (Zhaoqing) E-Commerce Co., Ltd.;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75"/>
        <w:gridCol w:w="110"/>
        <w:gridCol w:w="60"/>
        <w:gridCol w:w="34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Vipshop (Tianjin) E-Commerce Co., Ltd.; </w:t>
            </w:r>
          </w:p>
        </w:tc>
      </w:tr>
    </w:tbl>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75"/>
        <w:gridCol w:w="110"/>
        <w:gridCol w:w="60"/>
        <w:gridCol w:w="3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Guangzhou Pinwei Software Co., Ltd.; and </w:t>
            </w:r>
          </w:p>
        </w:tc>
      </w:tr>
    </w:tbl>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Vipshop (Guangzhou) Software Co., Ltd.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Foreign ownership of internet-based businesses is subject to significant restrictions under current PRC laws and regulations. The PRC government regulates internet access, the distribution of online information, and the operation of online commerce through strict business licensing requirements and other government regulations. We, as a Cayman Islands company, and our PRC subsidiary Vipshop China, as a WFOE, are both restricted from holding the licenses that are necessary for our online operation in China. To comply with these restrictions, our Vipshop Online Platform is operated by the consolidated variable interest entities in China. As a result of our efforts to streamline our contractual arrangements among the consolidated variable interest entities in the past, Vipshop E-Commerce currently holds the primary licenses necessary to conduct our internet-related operations of Vipshop Online Platform in China. We face risks associated with our corporate structure, see “Item 3. Key Information—D. Risk Factors—Risks Relating to Our Corporate Structure” for details. </w:t>
      </w:r>
    </w:p>
    <w:p>
      <w:pPr>
        <w:pStyle w:val="TextBody"/>
        <w:bidi w:val="0"/>
        <w:spacing w:before="240" w:after="0"/>
        <w:jc w:val="left"/>
        <w:rPr>
          <w:rFonts w:ascii="Times New Roman" w:hAnsi="Times New Roman"/>
          <w:sz w:val="20"/>
        </w:rPr>
      </w:pPr>
      <w:r>
        <w:rPr>
          <w:rFonts w:ascii="Times New Roman" w:hAnsi="Times New Roman"/>
          <w:sz w:val="20"/>
        </w:rPr>
        <w:t xml:space="preserve">From time to time, we have selectively acquired or invested in businesses that complement our existing business, and may continue to do so in the future to expand and develop our business. See “Item 4. Information on the Company—B. Business Overview—Strategic Investments and Acquisitions” for material strategic investments and acquisitions over the past few years.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128 Dingxin Road, Haizhu District, Guangzhou, Guangdong 510220, People’s Republic of China. Our telephone number at this address is +86 (20) 2233-0025. Our registered office in the Cayman Islands is located at the office of International Corporation Services Ltd, P.O. Box 472, 2nd Floor, Harbour Place, 103 South Church Street, George Town, Grand Cayman KY1-1106, Cayman Islands. Our website is </w:t>
      </w:r>
      <w:r>
        <w:rPr>
          <w:rFonts w:ascii="Times New Roman" w:hAnsi="Times New Roman"/>
          <w:i/>
          <w:sz w:val="20"/>
        </w:rPr>
        <w:t>https://www.vip.com</w:t>
      </w:r>
      <w:r>
        <w:rPr>
          <w:rFonts w:ascii="Times New Roman" w:hAnsi="Times New Roman"/>
          <w:sz w:val="20"/>
        </w:rPr>
        <w:t xml:space="preserve">. The information on our websites should not be deemed to be part of this annual report. All information filed with the SEC can be obtained over the internet at SEC’s website at </w:t>
      </w:r>
      <w:r>
        <w:rPr>
          <w:rFonts w:ascii="Times New Roman" w:hAnsi="Times New Roman"/>
          <w:i/>
          <w:sz w:val="20"/>
        </w:rPr>
        <w:t>https://www.sec.gov</w:t>
      </w:r>
      <w:r>
        <w:rPr>
          <w:rFonts w:ascii="Times New Roman" w:hAnsi="Times New Roman"/>
          <w:sz w:val="20"/>
        </w:rPr>
        <w:t xml:space="preserve">. </w:t>
      </w:r>
    </w:p>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260"/>
        <w:gridCol w:w="1670"/>
      </w:tblGrid>
      <w:tr>
        <w:trPr/>
        <w:tc>
          <w:tcPr>
            <w:tcW w:w="260" w:type="dxa"/>
            <w:tcBorders/>
            <w:vAlign w:val="center"/>
          </w:tcPr>
          <w:p>
            <w:pPr>
              <w:pStyle w:val="TableContents"/>
              <w:bidi w:val="0"/>
              <w:spacing w:before="0" w:after="283"/>
              <w:jc w:val="left"/>
              <w:rPr>
                <w:b/>
              </w:rPr>
            </w:pPr>
            <w:r>
              <w:rPr>
                <w:b/>
              </w:rPr>
              <w:t>B.</w:t>
            </w:r>
          </w:p>
        </w:tc>
        <w:tc>
          <w:tcPr>
            <w:tcW w:w="16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Business Overview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pioneered an innovative “flash sales” model to reinvent how brands sell, and shoppers buy, off-price products. Through our sixteen years of dedicated operations in discount retail, we have grown to be an expert in the industry and established a large and growing base of loyal customers and brand partners. As of December 31, 2024, we had approximately 615.8 million registered members and approximately 293.5 million cumulative customers, collaborated with approximately 30,000 brand partners, and promoted and sold products for over approximately 47,000 popular domestic and international brands. Our GMV increased by 0.6% from RMB208.0 billion in 2023 to RMB209.3 billion in 2024. </w:t>
      </w:r>
    </w:p>
    <w:p>
      <w:pPr>
        <w:pStyle w:val="TextBody"/>
        <w:bidi w:val="0"/>
        <w:spacing w:before="240" w:after="0"/>
        <w:jc w:val="left"/>
        <w:rPr>
          <w:rFonts w:ascii="Times New Roman" w:hAnsi="Times New Roman"/>
          <w:sz w:val="20"/>
        </w:rPr>
      </w:pPr>
      <w:r>
        <w:rPr>
          <w:rFonts w:ascii="Times New Roman" w:hAnsi="Times New Roman"/>
          <w:sz w:val="20"/>
        </w:rPr>
        <w:t xml:space="preserve">With our dedicated operations in the discount retail industry and through our continuous innovations to stimulate customers’ excitement in their shopping experience, we have accumulated a large number of active customers and repeat customers. The total number of our active customers was 84.1 million, 87.4 million and 84.7 million in 2022, 2023 and 2024, respectively. The total number of our repeat customers was 71.8 million, 74.9 million and 72.8 million in 2022, 2023 and 2024, respectively, representing 85.4%, 85.8% and 86.0%, respectively, of the total number of active customers during the same periods. We also had 7.6 million and 8.8 million active Super VIP customers in 2023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built our highly scalable and customized e-commerce infrastructure to serve the needs of flash sales and business innovations and to become more intelligent and efficient with every order. Our core competencies in merchandising, technology, fulfillment and customer service differentiate us from our competitors and serve as the pillars of our success.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Flash Sales Model </w:t>
      </w:r>
    </w:p>
    <w:p>
      <w:pPr>
        <w:pStyle w:val="TextBody"/>
        <w:bidi w:val="0"/>
        <w:spacing w:before="120" w:after="0"/>
        <w:jc w:val="left"/>
        <w:rPr>
          <w:rFonts w:ascii="Times New Roman" w:hAnsi="Times New Roman"/>
          <w:sz w:val="20"/>
        </w:rPr>
      </w:pPr>
      <w:r>
        <w:rPr>
          <w:rFonts w:ascii="Times New Roman" w:hAnsi="Times New Roman"/>
          <w:sz w:val="20"/>
        </w:rPr>
        <w:t xml:space="preserve">Flash sales embody characteristics of value, quality, and convenience that are well suited to brand-conscious consumers in China seeking quality goods at substantial discounts. We offer sales events daily with an ever-changing and curated selection of popular branded products at deeply discounted prices in limited quantities during limited time periods, creating a “thrilling and exciting” shopping experience for our customers. We optimize the brand portfolio and product mix of our daily sales events based on our strong merchandising expertise. As of December 31, 2024, we had diverse product offerings from a cumulative of approximately 47,000 domestic and international brands, including apparel, accessories, and standardized products. Leveraging our discount retail merchandising expertise and industry insights, we are able to select a range of desirable brands and products from mass market to premium that appeal to a broad base of consumers with different purchasing powers throughout China. To foster customer confidence of purchasing high-quality products from our Vipshop Online Platform, we provide limited product quality insurance. </w:t>
      </w:r>
    </w:p>
    <w:p>
      <w:pPr>
        <w:pStyle w:val="TextBody"/>
        <w:bidi w:val="0"/>
        <w:spacing w:before="240" w:after="0"/>
        <w:jc w:val="left"/>
        <w:rPr>
          <w:rFonts w:ascii="Times New Roman" w:hAnsi="Times New Roman"/>
          <w:sz w:val="20"/>
        </w:rPr>
      </w:pPr>
      <w:r>
        <w:rPr>
          <w:rFonts w:ascii="Times New Roman" w:hAnsi="Times New Roman"/>
          <w:sz w:val="20"/>
        </w:rPr>
        <w:t xml:space="preserve">We offer new sales events twice a day starting at 10 a.m. and 8 p.m. Beijing time, respectively. To provide our customers with a greater opportunity to purchase featured discounted products, each customer is only allowed to purchase limited quantity of the same item, depending on the categories. </w:t>
      </w:r>
    </w:p>
    <w:p>
      <w:pPr>
        <w:pStyle w:val="TextBody"/>
        <w:bidi w:val="0"/>
        <w:spacing w:before="240" w:after="0"/>
        <w:jc w:val="left"/>
        <w:rPr>
          <w:rFonts w:ascii="Times New Roman" w:hAnsi="Times New Roman"/>
          <w:sz w:val="20"/>
        </w:rPr>
      </w:pPr>
      <w:r>
        <w:rPr>
          <w:rFonts w:ascii="Times New Roman" w:hAnsi="Times New Roman"/>
          <w:sz w:val="20"/>
        </w:rPr>
        <w:t xml:space="preserve">We primarily offer flash sales events through two prime traffic channels, Fengqiang and Kuaiqiang. Each item is available in limited quantity and remains on sale only while supplies last. The products we offer on Fengqiang are generally apparel-related products with a discount level of 70% or more off the market retail price. Kuaiqiang, on the other hand, generally distributes standardized products with a discount level ranging from 10% to 90% off the market retail price.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Integrated Platform </w:t>
      </w:r>
    </w:p>
    <w:p>
      <w:pPr>
        <w:pStyle w:val="TextBody"/>
        <w:bidi w:val="0"/>
        <w:spacing w:before="120" w:after="0"/>
        <w:jc w:val="left"/>
        <w:rPr>
          <w:rFonts w:ascii="Times New Roman" w:hAnsi="Times New Roman"/>
          <w:i/>
          <w:sz w:val="20"/>
        </w:rPr>
      </w:pPr>
      <w:r>
        <w:rPr>
          <w:rFonts w:ascii="Times New Roman" w:hAnsi="Times New Roman"/>
          <w:i/>
          <w:sz w:val="20"/>
        </w:rPr>
        <w:t xml:space="preserve">Our Vipshop Online Platform </w:t>
      </w:r>
    </w:p>
    <w:p>
      <w:pPr>
        <w:pStyle w:val="TextBody"/>
        <w:bidi w:val="0"/>
        <w:spacing w:before="120" w:after="0"/>
        <w:jc w:val="left"/>
        <w:rPr>
          <w:rFonts w:ascii="Times New Roman" w:hAnsi="Times New Roman"/>
          <w:sz w:val="20"/>
        </w:rPr>
      </w:pPr>
      <w:r>
        <w:rPr>
          <w:rFonts w:ascii="Times New Roman" w:hAnsi="Times New Roman"/>
          <w:sz w:val="20"/>
        </w:rPr>
        <w:t xml:space="preserve">Our Vipshop Online Platform includes the Vipshop App, the </w:t>
      </w:r>
      <w:r>
        <w:rPr>
          <w:rFonts w:ascii="Times New Roman" w:hAnsi="Times New Roman"/>
          <w:i/>
          <w:sz w:val="20"/>
        </w:rPr>
        <w:t>vip.com</w:t>
      </w:r>
      <w:r>
        <w:rPr>
          <w:rFonts w:ascii="Times New Roman" w:hAnsi="Times New Roman"/>
          <w:sz w:val="20"/>
        </w:rPr>
        <w:t xml:space="preserve"> website, and the Vipshop WeChat Mini-Program. Through our user-friendly Vipshop Online Platform, we offer a curated selection of products and services for shoppers of varying age groups and income levels throughout China, so that they may shop branded products online easily. </w:t>
      </w:r>
    </w:p>
    <w:p>
      <w:pPr>
        <w:pStyle w:val="TextBody"/>
        <w:bidi w:val="0"/>
        <w:spacing w:before="240" w:after="0"/>
        <w:jc w:val="left"/>
        <w:rPr>
          <w:rFonts w:ascii="Times New Roman" w:hAnsi="Times New Roman"/>
          <w:sz w:val="20"/>
        </w:rPr>
      </w:pPr>
      <w:r>
        <w:rPr>
          <w:rFonts w:ascii="Times New Roman" w:hAnsi="Times New Roman"/>
          <w:sz w:val="20"/>
        </w:rPr>
        <w:t xml:space="preserve">The Vipshop App, available on mainstream mobile operating systems including iOS and Android since 2011, is our top portal of the Vipshop Online Platform in terms of GMV generated and the numbers of registered members and unique visitors. We have been upgrading the Vipshop App, adding new features from time to time to increase our customer stickiness and engagement. For the year ended December 31, 2024, GMV generated by our Vipshop App users accounted for approximately 90% of our total online GMV. </w:t>
      </w:r>
    </w:p>
    <w:p>
      <w:pPr>
        <w:pStyle w:val="TextBody"/>
        <w:bidi w:val="0"/>
        <w:spacing w:before="240" w:after="0"/>
        <w:jc w:val="left"/>
        <w:rPr>
          <w:rFonts w:ascii="Times New Roman" w:hAnsi="Times New Roman"/>
          <w:sz w:val="20"/>
        </w:rPr>
      </w:pPr>
      <w:r>
        <w:rPr>
          <w:rFonts w:ascii="Times New Roman" w:hAnsi="Times New Roman"/>
          <w:sz w:val="20"/>
        </w:rPr>
        <w:t xml:space="preserve">Our Vipshop WeChat Mini-Program, which we launched in 2017, offers key features of our Vipshop App and allows users to access our platform directly through the WeChat App, one of the most widely used social networks in China. </w:t>
      </w:r>
    </w:p>
    <w:p>
      <w:pPr>
        <w:pStyle w:val="TextBody"/>
        <w:bidi w:val="0"/>
        <w:spacing w:before="240" w:after="0"/>
        <w:jc w:val="left"/>
        <w:rPr>
          <w:rFonts w:ascii="Times New Roman" w:hAnsi="Times New Roman"/>
          <w:sz w:val="20"/>
        </w:rPr>
      </w:pPr>
      <w:r>
        <w:rPr>
          <w:rFonts w:ascii="Times New Roman" w:hAnsi="Times New Roman"/>
          <w:sz w:val="20"/>
        </w:rPr>
        <w:t xml:space="preserve">We offer new sales events on our Vipshop Online Platform twice a day starting at 10 a.m. and 8 p.m. Beijing time, respectively. Each item is available in limited quantity and remains on sale only while supplies last. We plan our daily sales events in advance to offer a balanced and diverse mix of brands and products. To further enrich the shopping experience of our customers and to better address their needs, we have been optimizing and upgrading various sales events on our platform, which also serve as effective touchpoints for us to attract, acquire, and retain customers. Some of our signature sales events include Super Product Category Day, Super Brand Day, and Today’s Top Brands.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leverage a variety of channels to better organize our branded products and help customers discover their desired items. Specifically, we operate different channels by product categories, such as womenswear, menswear, sportswear and sporting goods, shoes and bags, accessories, baby and children products, skincare and cosmetics, home goods and other lifestyle products, and supermarket products. We also constantly adapt various channels to better address the evolving customer needs and reach the prospective customers. For instance, we launched Everyday Low Prices and Time-limit Promotions to provide best deals for more value-conscious customers. We also have dedicated Trendy, Luxury and Outlet channels primarily targeting customers who desire new, trendy, premium designer and luxury brands at affordable prices. </w:t>
      </w:r>
    </w:p>
    <w:p>
      <w:pPr>
        <w:pStyle w:val="TextBody"/>
        <w:bidi w:val="0"/>
        <w:spacing w:before="240" w:after="0"/>
        <w:jc w:val="left"/>
        <w:rPr>
          <w:rFonts w:ascii="Times New Roman" w:hAnsi="Times New Roman"/>
          <w:sz w:val="20"/>
        </w:rPr>
      </w:pPr>
      <w:r>
        <w:rPr>
          <w:rFonts w:ascii="Times New Roman" w:hAnsi="Times New Roman"/>
          <w:sz w:val="20"/>
        </w:rPr>
        <w:t xml:space="preserve">Our Vipshop Online Platform offers many user-friendly features that enhance customer experience, including AI-powered searches, personalized recommendations, live streaming, and other innovative functions that simulate “in-store” shopping experience. For our Super VIP members, we operate a dedicated membership store that allows our paid members to enjoy their exclusive membership privileges, such as extra 5% discount, special offers, private sales, and personalized customer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Our Offline Operations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Vipshop Online Platform, we operate a nationwide offline network consisting of 20 Shan Shan Outlets and a number of other offline retail stores as of December 31, 2024 that complements our online business. Leveraging the extensive experience that we have amassed from our online platform operations, the offline stores offer popular branded products at discounts to cater to the preferences of consumers from different geographic locations. The offline stores enhance consumer experience through personalized recommendations and interactive services provided by sales staff, and generate customer traffic that in turn feed back to our online platform. For details of our strategic acquisitions of Shan Shan Outlets, see “—Strategic Investments and Acquisitions.” </w:t>
      </w:r>
    </w:p>
    <w:p>
      <w:pPr>
        <w:pStyle w:val="TextBody"/>
        <w:bidi w:val="0"/>
        <w:spacing w:before="240" w:after="0"/>
        <w:jc w:val="left"/>
        <w:rPr>
          <w:rFonts w:ascii="Times New Roman" w:hAnsi="Times New Roman"/>
          <w:sz w:val="20"/>
        </w:rPr>
      </w:pPr>
      <w:r>
        <w:rPr>
          <w:rFonts w:ascii="Times New Roman" w:hAnsi="Times New Roman"/>
          <w:sz w:val="20"/>
        </w:rPr>
        <w:t xml:space="preserve">In 2024, most of our sales were generated through our Vipshop Online Platform and the sales through these offline outlets and stores were immaterial to our business. In 2022, 2023 and 2024, we sourced 97%, 97% and 96% of our net revenues from our Vipshop Online Platform,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Brand Partners </w:t>
      </w:r>
    </w:p>
    <w:p>
      <w:pPr>
        <w:pStyle w:val="TextBody"/>
        <w:bidi w:val="0"/>
        <w:spacing w:before="120" w:after="0"/>
        <w:jc w:val="left"/>
        <w:rPr>
          <w:rFonts w:ascii="Times New Roman" w:hAnsi="Times New Roman"/>
          <w:sz w:val="20"/>
        </w:rPr>
      </w:pPr>
      <w:r>
        <w:rPr>
          <w:rFonts w:ascii="Times New Roman" w:hAnsi="Times New Roman"/>
          <w:sz w:val="20"/>
        </w:rPr>
        <w:t xml:space="preserve">Since our inception in August 2008, we have attracted a broad and diverse group of brand partners. Our brand partners primarily include brand owners, and, to a lesser extent, brand distributors and resellers. As of December 31, 2022, 2023 and 2024, we worked with over 27,000, 29,000 and 30,000 brand partners, respectively. None of the brands accounted for more than 3% of our total revenues in 2022, 2023 or 2024. </w:t>
      </w:r>
    </w:p>
    <w:p>
      <w:pPr>
        <w:pStyle w:val="TextBody"/>
        <w:bidi w:val="0"/>
        <w:spacing w:before="240" w:after="0"/>
        <w:jc w:val="left"/>
        <w:rPr>
          <w:rFonts w:ascii="Times New Roman" w:hAnsi="Times New Roman"/>
          <w:sz w:val="20"/>
        </w:rPr>
      </w:pPr>
      <w:r>
        <w:rPr>
          <w:rFonts w:ascii="Times New Roman" w:hAnsi="Times New Roman"/>
          <w:sz w:val="20"/>
        </w:rPr>
        <w:t xml:space="preserve">To strengthen the synergies between our brand partners and us, we constantly leverage our mid-end merchant platform to equip our brand partners with data analyses and operational insights, including, among other things, industry landscape, market demand and trends, pricing recommendations, and customer behavior- and transaction-related analyses, so that brands can dynamically monitor, formulate, and adjust their sales, marketing, and operating strategies. To further strengthen ties with brands and enable them to achieve success on our platform, we proactively identify and select premium brands with good performance on our platform for in-depth collaborations, such as product innovation and customization to roll out merchandise specifically for Vipshop Online Platform. For example, we collaborate with some brand partners to develop merchandise specifically for our Vipshop Online Platform, known as “Made for Vipshop,” to further differentiate our offerings.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our ability to empower brands on multiple fronts, including selling their products via various channels within our ecosystem, meeting their demand for marketing, customer data analysis, and inventory management, will attract more new brand partners and build stronger ties with existing brand partners.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Brand Selection and Procurement </w:t>
      </w:r>
    </w:p>
    <w:p>
      <w:pPr>
        <w:pStyle w:val="TextBody"/>
        <w:bidi w:val="0"/>
        <w:spacing w:before="120" w:after="0"/>
        <w:jc w:val="left"/>
        <w:rPr>
          <w:rFonts w:ascii="Times New Roman" w:hAnsi="Times New Roman"/>
          <w:i/>
          <w:sz w:val="20"/>
        </w:rPr>
      </w:pPr>
      <w:r>
        <w:rPr>
          <w:rFonts w:ascii="Times New Roman" w:hAnsi="Times New Roman"/>
          <w:i/>
          <w:sz w:val="20"/>
        </w:rPr>
        <w:t xml:space="preserve">Brand Selection </w:t>
      </w:r>
    </w:p>
    <w:p>
      <w:pPr>
        <w:pStyle w:val="TextBody"/>
        <w:bidi w:val="0"/>
        <w:spacing w:before="120" w:after="0"/>
        <w:jc w:val="left"/>
        <w:rPr>
          <w:rFonts w:ascii="Times New Roman" w:hAnsi="Times New Roman"/>
          <w:sz w:val="20"/>
        </w:rPr>
      </w:pPr>
      <w:r>
        <w:rPr>
          <w:rFonts w:ascii="Times New Roman" w:hAnsi="Times New Roman"/>
          <w:sz w:val="20"/>
        </w:rPr>
        <w:t xml:space="preserve">We have implemented a strict and methodical brand selection process. Our merchandising team, which consisted of over 1,000 members as of December 31, 2024, is responsible for identifying potential qualified brands based on our selection guidelines. We also unveiled our Global Buyer Manifesto, highlighting the merchandising teams’ commitment to core principles like focusing on sourcing top-quality products, meticulously selecting brands, maintaining strict quality standards, and offering competitive pricing to ensure a worry-free shopping experience to users; collaborating with brands to provide great deals; encouraging eco-friendly consumer behavior by advocating environmental protection and sustainable practices.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Leveraging the industry expertise of our merchandising team and our proprietary consumer insights, we carefully select prospective brand partners and work with those that offer high-quality or premium products that are desirable among consumers in China, and that are willing to provide competitive prices and favorable payment and product return terms. In addition to the more mature brands that have an established network of offline stores in China, we also proactively introduce new and up-and-coming brands that appeal to younger generations and middle-class consumers, such as trendy and boutique brands, and the prestigious brands that have not been introduced to our platform. </w:t>
      </w:r>
    </w:p>
    <w:p>
      <w:pPr>
        <w:pStyle w:val="TextBody"/>
        <w:bidi w:val="0"/>
        <w:spacing w:before="240" w:after="0"/>
        <w:jc w:val="left"/>
        <w:rPr>
          <w:rFonts w:ascii="Times New Roman" w:hAnsi="Times New Roman"/>
          <w:sz w:val="20"/>
        </w:rPr>
      </w:pPr>
      <w:r>
        <w:rPr>
          <w:rFonts w:ascii="Times New Roman" w:hAnsi="Times New Roman"/>
          <w:sz w:val="20"/>
        </w:rPr>
        <w:t xml:space="preserve">Once a potential brand partner is identified, we conduct due diligence reviews on its qualifications, including whether it holds the proper business operation licenses, safety, sanitary and quality certifications, trademark registration certificates, and license agreements in relation to the branded products. This review process helps ensure that we maintain a portfolio of brands with high standards and good reputation that can meet our customers’ expectations. </w:t>
      </w:r>
    </w:p>
    <w:p>
      <w:pPr>
        <w:pStyle w:val="TextBody"/>
        <w:bidi w:val="0"/>
        <w:spacing w:before="240" w:after="0"/>
        <w:jc w:val="left"/>
        <w:rPr>
          <w:rFonts w:ascii="Times New Roman" w:hAnsi="Times New Roman"/>
          <w:sz w:val="20"/>
        </w:rPr>
      </w:pPr>
      <w:r>
        <w:rPr>
          <w:rFonts w:ascii="Times New Roman" w:hAnsi="Times New Roman"/>
          <w:sz w:val="20"/>
        </w:rPr>
        <w:t xml:space="preserve">We seek to build long-term relationships with qualified brand partners. We generally enter into agreements with brand partners based on our standard form, in which brand partners grant us authorization to market and sell products certain brands on our Vipshop Online Platform. In most cases, we enter into annual framework agreements with our brand partners, with separate agreements for supplemental supply orders for each flash sales event. We regularly communicate with our brand partners to discuss the schedules and product offerings for specific sales events, striving to achieve results that are beneficial to all parties involved.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require our brand partners that contract with us to comply with the anti-bribery and anti-corruption provisions specifically included in such agreement. </w:t>
      </w:r>
    </w:p>
    <w:p>
      <w:pPr>
        <w:pStyle w:val="TextBody"/>
        <w:bidi w:val="0"/>
        <w:spacing w:before="360" w:after="0"/>
        <w:jc w:val="left"/>
        <w:rPr>
          <w:rFonts w:ascii="Times New Roman" w:hAnsi="Times New Roman"/>
          <w:i/>
          <w:sz w:val="20"/>
        </w:rPr>
      </w:pPr>
      <w:r>
        <w:rPr>
          <w:rFonts w:ascii="Times New Roman" w:hAnsi="Times New Roman"/>
          <w:i/>
          <w:sz w:val="20"/>
        </w:rPr>
        <w:t xml:space="preserve">Product Selection </w:t>
      </w:r>
    </w:p>
    <w:p>
      <w:pPr>
        <w:pStyle w:val="TextBody"/>
        <w:bidi w:val="0"/>
        <w:spacing w:before="120" w:after="0"/>
        <w:jc w:val="left"/>
        <w:rPr>
          <w:rFonts w:ascii="Times New Roman" w:hAnsi="Times New Roman"/>
          <w:sz w:val="20"/>
        </w:rPr>
      </w:pPr>
      <w:r>
        <w:rPr>
          <w:rFonts w:ascii="Times New Roman" w:hAnsi="Times New Roman"/>
          <w:sz w:val="20"/>
        </w:rPr>
        <w:t xml:space="preserve">Our key management team members have extensive experience and expertise in the retail industry with insightful knowledge and deep understanding of consumers’ needs and preferences. In addition, we have a professional merchandising team that continually optimizes our brand portfolio and product mix. Before each flash sales event, we consider and analyze historical pattern, fashion trends, seasonality, and customer feedback to project the volume of each particular product that we should offer for the event. To maximize sales, we carefully plan our product mix to achieve a balanced and diverse product offering across different categories. We are able to select appealing products from a broad brand base, negotiate favorable terms with our brand partners, and occasionally secure unique products from certain brand partners that are, for a certain period of time, specifically offered on our platform. </w:t>
      </w:r>
    </w:p>
    <w:p>
      <w:pPr>
        <w:pStyle w:val="TextBody"/>
        <w:bidi w:val="0"/>
        <w:spacing w:before="240" w:after="0"/>
        <w:jc w:val="left"/>
        <w:rPr>
          <w:rFonts w:ascii="Times New Roman" w:hAnsi="Times New Roman"/>
          <w:sz w:val="20"/>
        </w:rPr>
      </w:pPr>
      <w:r>
        <w:rPr>
          <w:rFonts w:ascii="Times New Roman" w:hAnsi="Times New Roman"/>
          <w:sz w:val="20"/>
        </w:rPr>
        <w:t xml:space="preserve">We utilize consumer insights through our customer relationship management and business intelligence systems to strategize our upcoming flash sales events to enhance the timeliness and relevance of our product offerings. In addition, we provide data analytics and insights to our brand partners through our merchant platform to help them improve their product development as well as sales and marketing strategies to further optimize their sales efficiency and promote additional sales opportunities with us. Since 2020, we have been collaborating with some of our brand partners to design “Made for Vipshop” products to further differentiate our offerings. </w:t>
      </w:r>
    </w:p>
    <w:p>
      <w:pPr>
        <w:pStyle w:val="TextBody"/>
        <w:bidi w:val="0"/>
        <w:spacing w:before="360" w:after="0"/>
        <w:jc w:val="left"/>
        <w:rPr>
          <w:rFonts w:ascii="Times New Roman" w:hAnsi="Times New Roman"/>
          <w:i/>
          <w:sz w:val="20"/>
        </w:rPr>
      </w:pPr>
      <w:r>
        <w:rPr>
          <w:rFonts w:ascii="Times New Roman" w:hAnsi="Times New Roman"/>
          <w:i/>
          <w:sz w:val="20"/>
        </w:rPr>
        <w:t xml:space="preserve">Inventory Management </w:t>
      </w:r>
    </w:p>
    <w:p>
      <w:pPr>
        <w:pStyle w:val="TextBody"/>
        <w:bidi w:val="0"/>
        <w:spacing w:before="120" w:after="0"/>
        <w:jc w:val="left"/>
        <w:rPr>
          <w:rFonts w:ascii="Times New Roman" w:hAnsi="Times New Roman"/>
          <w:sz w:val="20"/>
        </w:rPr>
      </w:pPr>
      <w:r>
        <w:rPr>
          <w:rFonts w:ascii="Times New Roman" w:hAnsi="Times New Roman"/>
          <w:sz w:val="20"/>
        </w:rPr>
        <w:t xml:space="preserve">We typically do not pay any deposit on the products we purchase. We generally settle with our brand partners every 10 or 30 days for purchases made within a certain period of time net of customer returns. </w:t>
      </w:r>
    </w:p>
    <w:p>
      <w:pPr>
        <w:pStyle w:val="TextBody"/>
        <w:bidi w:val="0"/>
        <w:spacing w:before="240" w:after="0"/>
        <w:jc w:val="left"/>
        <w:rPr>
          <w:rFonts w:ascii="Times New Roman" w:hAnsi="Times New Roman"/>
          <w:sz w:val="20"/>
        </w:rPr>
      </w:pPr>
      <w:r>
        <w:rPr>
          <w:rFonts w:ascii="Times New Roman" w:hAnsi="Times New Roman"/>
          <w:sz w:val="20"/>
        </w:rPr>
        <w:t xml:space="preserve">We generally have the right to return unsold items within a period of time after the end of a sales event. For certain types of products such as certain sporting goods, beauty products, and cross-border products, we typically do not have the right to return unsold items to brand partners. For these unreturnable products, we have been able to leverage our strong marketing expertise regarding customer preferences to achieve quick inventory turnover. Additionally, we can continue to sell any excess inventory through our offline stores.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implemented an inventory management system to manage the information relating to our procurement plan, quality control upon receipt, stock maintenance, stock deliveries, sales invoicing, and sales recording. We use an enterprise resource planning (ERP) system to monitor and actively track sales data. This system helps us make timely adjustments to our procurement plan and minimize excess inventory. </w:t>
      </w:r>
    </w:p>
    <w:p>
      <w:pPr>
        <w:pStyle w:val="TextBody"/>
        <w:bidi w:val="0"/>
        <w:spacing w:before="360" w:after="0"/>
        <w:jc w:val="left"/>
        <w:rPr>
          <w:rFonts w:ascii="Times New Roman" w:hAnsi="Times New Roman"/>
          <w:i/>
          <w:sz w:val="20"/>
        </w:rPr>
      </w:pPr>
      <w:r>
        <w:rPr>
          <w:rFonts w:ascii="Times New Roman" w:hAnsi="Times New Roman"/>
          <w:i/>
          <w:sz w:val="20"/>
        </w:rPr>
        <w:t xml:space="preserve">Quality Control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our brand selection process, we have adopted stringent quality assurance and control procedures for products delivered through our logistics network. We inspect all products delivered to our logistics centers, rejecting or returning products that do not meet our quality standards or the purchase order specifications. We also inspect all products before shipment from our logistics centers to our customers. In addition, we take sampling quality inspection from time to time of the products that are allowed to be shipped from the suppliers’ warehouses directly to our customers. We believe that our strict brand selection process and quality control procedures enable us to continually offer high-quality products and achieve greater customer satisfaction. </w:t>
      </w:r>
    </w:p>
    <w:p>
      <w:pPr>
        <w:pStyle w:val="TextBody"/>
        <w:bidi w:val="0"/>
        <w:spacing w:before="240" w:after="0"/>
        <w:jc w:val="left"/>
        <w:rPr>
          <w:rFonts w:ascii="Times New Roman" w:hAnsi="Times New Roman"/>
          <w:sz w:val="20"/>
        </w:rPr>
      </w:pPr>
      <w:r>
        <w:rPr>
          <w:rFonts w:ascii="Times New Roman" w:hAnsi="Times New Roman"/>
          <w:sz w:val="20"/>
        </w:rPr>
        <w:t xml:space="preserve">In October 2023, we and the China Certification and Inspection Group jointly announced a strategic partnership, establishing close collaborations focusing on consumer product quality inspection and certification and corporate social responsibility, among other things. This strategic partnership works on exploring the digitization and standardization of consumer product quality assurance system to promote product quality in consumption.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Product and Service Offerings </w:t>
      </w:r>
    </w:p>
    <w:p>
      <w:pPr>
        <w:pStyle w:val="TextBody"/>
        <w:bidi w:val="0"/>
        <w:spacing w:before="120" w:after="0"/>
        <w:jc w:val="left"/>
        <w:rPr>
          <w:rFonts w:ascii="Times New Roman" w:hAnsi="Times New Roman"/>
          <w:i/>
          <w:sz w:val="20"/>
        </w:rPr>
      </w:pPr>
      <w:r>
        <w:rPr>
          <w:rFonts w:ascii="Times New Roman" w:hAnsi="Times New Roman"/>
          <w:i/>
          <w:sz w:val="20"/>
        </w:rPr>
        <w:t xml:space="preserve">Product Categories </w:t>
      </w:r>
    </w:p>
    <w:p>
      <w:pPr>
        <w:pStyle w:val="TextBody"/>
        <w:bidi w:val="0"/>
        <w:spacing w:before="120" w:after="0"/>
        <w:jc w:val="left"/>
        <w:rPr>
          <w:rFonts w:ascii="Times New Roman" w:hAnsi="Times New Roman"/>
          <w:sz w:val="20"/>
        </w:rPr>
      </w:pPr>
      <w:r>
        <w:rPr>
          <w:rFonts w:ascii="Times New Roman" w:hAnsi="Times New Roman"/>
          <w:sz w:val="20"/>
        </w:rPr>
        <w:t xml:space="preserve">We offer a broad spectrum of products ranging from womenswear, menswear, sportswear and sporting goods, shoes and bags, accessories, baby and children products, skincare and cosmetics, home goods and other lifestyle products, and supermarket products from desirable domestic and international brands. We pay close attention to every aspect of our services to enhance customer experience from packaging to shipping and to after-sales customer service. </w:t>
      </w:r>
    </w:p>
    <w:p>
      <w:pPr>
        <w:pStyle w:val="TextBody"/>
        <w:bidi w:val="0"/>
        <w:spacing w:before="360" w:after="0"/>
        <w:jc w:val="left"/>
        <w:rPr>
          <w:rFonts w:ascii="Times New Roman" w:hAnsi="Times New Roman"/>
          <w:i/>
          <w:sz w:val="20"/>
        </w:rPr>
      </w:pPr>
      <w:r>
        <w:rPr>
          <w:rFonts w:ascii="Times New Roman" w:hAnsi="Times New Roman"/>
          <w:i/>
          <w:sz w:val="20"/>
        </w:rPr>
        <w:t xml:space="preserve">Pricing </w:t>
      </w:r>
    </w:p>
    <w:p>
      <w:pPr>
        <w:pStyle w:val="TextBody"/>
        <w:bidi w:val="0"/>
        <w:spacing w:before="120" w:after="0"/>
        <w:jc w:val="left"/>
        <w:rPr>
          <w:rFonts w:ascii="Times New Roman" w:hAnsi="Times New Roman"/>
          <w:sz w:val="20"/>
        </w:rPr>
      </w:pPr>
      <w:r>
        <w:rPr>
          <w:rFonts w:ascii="Times New Roman" w:hAnsi="Times New Roman"/>
          <w:sz w:val="20"/>
        </w:rPr>
        <w:t xml:space="preserve">We price products on our Vipshop Online Platform at significant discounts, typically ranging from 30% to 90% off the market retail price, which is one of the key elements of the “thrill and excitement” shopping experience that we create for our customers. Our attractive pricing is made possible by cost savings achieved primarily through volume discounts that we receive from our suppliers, particularly for off-season or slower-moving inventories, and less physical retail space and related overhead costs compared to traditional offline retail business. Leveraging our focused discount retail model, we typically enjoy a meaningful pricing advantage when procuring branded merchandise. We also launch special promotional campaigns such as Brand Sales around April 19, Mid-year Sales promotion around June 16, Singles’ Day promotion around November 11, and Anniversary Sales campaign around December 8 each year. </w:t>
      </w:r>
    </w:p>
    <w:p>
      <w:pPr>
        <w:pStyle w:val="TextBody"/>
        <w:bidi w:val="0"/>
        <w:spacing w:before="360" w:after="0"/>
        <w:jc w:val="left"/>
        <w:rPr>
          <w:rFonts w:ascii="Times New Roman" w:hAnsi="Times New Roman"/>
          <w:i/>
          <w:sz w:val="20"/>
        </w:rPr>
      </w:pPr>
      <w:r>
        <w:rPr>
          <w:rFonts w:ascii="Times New Roman" w:hAnsi="Times New Roman"/>
          <w:i/>
          <w:sz w:val="20"/>
        </w:rPr>
        <w:t xml:space="preserve">Other Services </w:t>
      </w:r>
    </w:p>
    <w:p>
      <w:pPr>
        <w:pStyle w:val="TextBody"/>
        <w:bidi w:val="0"/>
        <w:spacing w:before="120" w:after="0"/>
        <w:jc w:val="left"/>
        <w:rPr>
          <w:rFonts w:ascii="Times New Roman" w:hAnsi="Times New Roman"/>
          <w:sz w:val="20"/>
        </w:rPr>
      </w:pPr>
      <w:r>
        <w:rPr>
          <w:rFonts w:ascii="Times New Roman" w:hAnsi="Times New Roman"/>
          <w:sz w:val="20"/>
        </w:rPr>
        <w:t xml:space="preserve">The significant scale of our business allows us to provide a variety of services to create additional value for our business partners and ultimately benefit our customers, including platform access service, promotion and advertising service, inventory and warehouse management service, logistics service, outlet management service, and membership service. Our internet finance offerings primarily consist of consumer financing and supplier financing services, which currently serve as a supporting function for our core online retail business.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Fulfillment, and Return </w:t>
      </w:r>
    </w:p>
    <w:p>
      <w:pPr>
        <w:pStyle w:val="TextBody"/>
        <w:bidi w:val="0"/>
        <w:spacing w:before="120" w:after="0"/>
        <w:jc w:val="left"/>
        <w:rPr>
          <w:rFonts w:ascii="Times New Roman" w:hAnsi="Times New Roman"/>
          <w:i/>
          <w:sz w:val="20"/>
        </w:rPr>
      </w:pPr>
      <w:r>
        <w:rPr>
          <w:rFonts w:ascii="Times New Roman" w:hAnsi="Times New Roman"/>
          <w:i/>
          <w:sz w:val="20"/>
        </w:rPr>
        <w:t xml:space="preserve">Payment </w:t>
      </w:r>
    </w:p>
    <w:p>
      <w:pPr>
        <w:pStyle w:val="TextBody"/>
        <w:bidi w:val="0"/>
        <w:spacing w:before="120" w:after="0"/>
        <w:jc w:val="left"/>
        <w:rPr>
          <w:rFonts w:ascii="Times New Roman" w:hAnsi="Times New Roman"/>
          <w:sz w:val="20"/>
        </w:rPr>
      </w:pPr>
      <w:r>
        <w:rPr>
          <w:rFonts w:ascii="Times New Roman" w:hAnsi="Times New Roman"/>
          <w:sz w:val="20"/>
        </w:rPr>
        <w:t xml:space="preserve">We provide our customers with the flexibility to choose from a number of payment options. Our payment options include our Vipshop Payment service and payment through third-party online payment services, such as WeChat Pay, Alipay, and the emerging e-RMB online payment offered by the domestic banks. All of our total online orders are collected through online payment services, of which WeChat Pay was used to process a significant portion of our total orders, and our Vipshop Payment service was used to process a meaningful portion of our total orders.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Fulfillment </w:t>
      </w:r>
    </w:p>
    <w:p>
      <w:pPr>
        <w:pStyle w:val="TextBody"/>
        <w:bidi w:val="0"/>
        <w:spacing w:before="120" w:after="0"/>
        <w:jc w:val="left"/>
        <w:rPr>
          <w:rFonts w:ascii="Times New Roman" w:hAnsi="Times New Roman"/>
          <w:sz w:val="20"/>
        </w:rPr>
      </w:pPr>
      <w:r>
        <w:rPr>
          <w:rFonts w:ascii="Times New Roman" w:hAnsi="Times New Roman"/>
          <w:sz w:val="20"/>
        </w:rPr>
        <w:t xml:space="preserve">We have established a logistics network and warehousing capacity with nationwide coverage. We have adopted a flexible logistics model supported by our robust and advanced warehouse management system. We work with top delivery companies with nationwide coverage, such as SF Express and Tongda Operators, to ensure reliable and timely delivery of our orders. </w:t>
      </w:r>
    </w:p>
    <w:p>
      <w:pPr>
        <w:pStyle w:val="TextBody"/>
        <w:bidi w:val="0"/>
        <w:spacing w:before="240" w:after="0"/>
        <w:jc w:val="left"/>
        <w:rPr>
          <w:rFonts w:ascii="Times New Roman" w:hAnsi="Times New Roman"/>
          <w:sz w:val="20"/>
        </w:rPr>
      </w:pPr>
      <w:r>
        <w:rPr>
          <w:rFonts w:ascii="Times New Roman" w:hAnsi="Times New Roman"/>
          <w:sz w:val="20"/>
          <w:u w:val="single"/>
        </w:rPr>
        <w:t>Logistics Network and Warehouse Management System</w:t>
      </w:r>
      <w:r>
        <w:rPr>
          <w:rFonts w:ascii="Times New Roman" w:hAnsi="Times New Roman"/>
          <w:sz w:val="20"/>
        </w:rPr>
        <w:t xml:space="preserve">. Our logistics network consists of regional logistics hubs and local distribution centers. We have regional logistics hubs strategically deployed across China. We maintain local distribution centers to facilitate the distribution of standardized and frequently purchased products, and we have established several bonded warehouses in China to support our cross-border business. </w:t>
      </w:r>
    </w:p>
    <w:p>
      <w:pPr>
        <w:pStyle w:val="TextBody"/>
        <w:bidi w:val="0"/>
        <w:spacing w:before="240" w:after="0"/>
        <w:jc w:val="left"/>
        <w:rPr>
          <w:rFonts w:ascii="Times New Roman" w:hAnsi="Times New Roman"/>
          <w:sz w:val="20"/>
        </w:rPr>
      </w:pPr>
      <w:r>
        <w:rPr>
          <w:rFonts w:ascii="Times New Roman" w:hAnsi="Times New Roman"/>
          <w:sz w:val="20"/>
        </w:rPr>
        <w:t xml:space="preserve">Our automated warehouse management system enables us to closely monitor each step of the fulfillment process, from when a purchase order is confirmed with a brand partner, to when the products are stocked in our logistics centers, and eventually when the product is packaged and picked up for shipment to the customer. We have continually focused on implementing new initiatives to refine our automated warehouse management system throughout our operations. For example, we have implemented the honeycomb system, an automated goods-to-person warehousing system well-suited for handling large quantities with high access speeds, in our South China, Southwest China, and East China logistics hubs to improve picking efficiency and accuracy of consumers’ orders. As we offer a curated selection of brands and products for each daily sale, our logistics centers and inventory management systems are also specifically designed to support the frequent sales events on our flash sales platform and a large volume of inventory turnover. In 2022, 2023 and 2024, we processed approximately 739.5 million, 812.3 million and 757.5 million customer orders, respectively. </w:t>
      </w:r>
    </w:p>
    <w:p>
      <w:pPr>
        <w:pStyle w:val="TextBody"/>
        <w:bidi w:val="0"/>
        <w:spacing w:before="240" w:after="0"/>
        <w:jc w:val="left"/>
        <w:rPr>
          <w:rFonts w:ascii="Times New Roman" w:hAnsi="Times New Roman"/>
          <w:sz w:val="20"/>
        </w:rPr>
      </w:pPr>
      <w:r>
        <w:rPr>
          <w:rFonts w:ascii="Times New Roman" w:hAnsi="Times New Roman"/>
          <w:sz w:val="20"/>
        </w:rPr>
        <w:t xml:space="preserve">Since 2013, we have been implementing innovative solutions to further enhance our logistics efficiency. The “just-in-time” method allows some of our suppliers to not load inventories to our warehouses before the products are put up for sale. Instead, the suppliers will load inventories to our warehouses only within a period of time after being notified when orders have been generated. Compared to the traditional bulk load-in and bulk load-out method, the “just-in-time” method enables us and our suppliers to increase the number of products offered on our platform and further diversify our product offerings. We process orders containing products from multiple suppliers in our mega-warehouses across China. Moreover, the “third-party logistics” method launched in 2013 allows some of our suppliers to lease vacant space of our warehouses to manage their supplies. The “third-party logistics” model increases utilization of our warehouses while enabling certain suppliers to manage their supplies more efficiently. In 2019, we launched the “just-in-time X” model that allows single-supplier orders from certain reliable brand partners to be shipped directly from the suppliers’ warehouses to the end customers. Since then, we have been gradually shifting towards the “just-in-time X” model, which further improved our logistic efficiency. </w:t>
      </w:r>
    </w:p>
    <w:p>
      <w:pPr>
        <w:pStyle w:val="TextBody"/>
        <w:bidi w:val="0"/>
        <w:spacing w:before="240" w:after="0"/>
        <w:jc w:val="left"/>
        <w:rPr>
          <w:rFonts w:ascii="Times New Roman" w:hAnsi="Times New Roman"/>
          <w:sz w:val="20"/>
        </w:rPr>
      </w:pPr>
      <w:r>
        <w:rPr>
          <w:rFonts w:ascii="Times New Roman" w:hAnsi="Times New Roman"/>
          <w:sz w:val="20"/>
          <w:u w:val="single"/>
        </w:rPr>
        <w:t>Delivery Services</w:t>
      </w:r>
      <w:r>
        <w:rPr>
          <w:rFonts w:ascii="Times New Roman" w:hAnsi="Times New Roman"/>
          <w:sz w:val="20"/>
        </w:rPr>
        <w:t xml:space="preserve">. We deliver orders placed on our Vipshop Online Platform to all areas in China through leading reputable third-party delivery companies with nationwide coverage, such as SF Express and Tongda Operators. In particular, in November 2019, we terminated our delivery service unit operated by a subsidiary of Pin Jun Tong, namely Pinjun. Upon termination of Pinjun’s delivery service unit, in November 2019, we entered into a cooperation agreement (which was subsequently supplemented in November 2021 and October 2023) with SF Holding (which operates the SF Express business) to enhance our cooperation with SF Holding, and utilize its delivery services to optimize the efficiency of our logistics operations, improve operating leverage in our fulfillment expenses, and provide our customers with superior delivery services. We expect SF Holding to deliver substantially all of our orders in the foreseeable future. </w:t>
      </w:r>
    </w:p>
    <w:p>
      <w:pPr>
        <w:pStyle w:val="TextBody"/>
        <w:bidi w:val="0"/>
        <w:spacing w:before="240" w:after="0"/>
        <w:jc w:val="left"/>
        <w:rPr>
          <w:rFonts w:ascii="Times New Roman" w:hAnsi="Times New Roman"/>
          <w:sz w:val="20"/>
        </w:rPr>
      </w:pPr>
      <w:r>
        <w:rPr>
          <w:rFonts w:ascii="Times New Roman" w:hAnsi="Times New Roman"/>
          <w:sz w:val="20"/>
        </w:rPr>
        <w:t xml:space="preserve">For luxury goods orders, we deliver the products with an “anti-tampering lock” device to further enhance customer trust. </w:t>
      </w:r>
    </w:p>
    <w:p>
      <w:pPr>
        <w:pStyle w:val="TextBody"/>
        <w:bidi w:val="0"/>
        <w:spacing w:before="240" w:after="0"/>
        <w:jc w:val="left"/>
        <w:rPr>
          <w:rFonts w:ascii="Times New Roman" w:hAnsi="Times New Roman"/>
          <w:sz w:val="20"/>
        </w:rPr>
      </w:pPr>
      <w:r>
        <w:rPr>
          <w:rFonts w:ascii="Times New Roman" w:hAnsi="Times New Roman"/>
          <w:sz w:val="20"/>
        </w:rPr>
        <w:t xml:space="preserve">We leverage our large-scale operations and reputation to obtain favorable contractual terms from third-party delivery companies. To reduce the risk of reliance on any single delivery company, we work with most of the major delivery companies in China. We regularly monitor and review the delivery companies’ service quality and their compliance with our contractual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Return and Exchange Policy </w:t>
      </w:r>
    </w:p>
    <w:p>
      <w:pPr>
        <w:pStyle w:val="TextBody"/>
        <w:bidi w:val="0"/>
        <w:spacing w:before="120" w:after="0"/>
        <w:jc w:val="left"/>
        <w:rPr>
          <w:rFonts w:ascii="Times New Roman" w:hAnsi="Times New Roman"/>
          <w:sz w:val="20"/>
        </w:rPr>
      </w:pPr>
      <w:r>
        <w:rPr>
          <w:rFonts w:ascii="Times New Roman" w:hAnsi="Times New Roman"/>
          <w:sz w:val="20"/>
        </w:rPr>
        <w:t xml:space="preserve">We currently offer our customers the right to return or exchange products purchased from our Vipshop Online Platform within seven days of receipt. Our customers can generally return products purchased on our platform within seven days of receipt of the products as long as the products are unused, unwashed, unworn, undamaged, and in their original packaging and original condition. To facilitate the return or exchange, and to enhance customer experience, we provide door-to-door collection and free return or exchange services without charging any service or warehousing fee. For the return of luxury products, the anti-tampering lock on the product must remain intact. For certain products that are available in other sizes, we also offer exchange services via SF Express. We believe that our hassle-free return and exchange policies help increase customer spending and enhance customer loyalty. </w:t>
      </w:r>
    </w:p>
    <w:p>
      <w:pPr>
        <w:pStyle w:val="TextBody"/>
        <w:bidi w:val="0"/>
        <w:spacing w:before="360" w:after="0"/>
        <w:jc w:val="left"/>
        <w:rPr>
          <w:rFonts w:ascii="Times New Roman" w:hAnsi="Times New Roman"/>
          <w:i/>
          <w:sz w:val="20"/>
        </w:rPr>
      </w:pPr>
      <w:r>
        <w:rPr>
          <w:rFonts w:ascii="Times New Roman" w:hAnsi="Times New Roman"/>
          <w:i/>
          <w:sz w:val="20"/>
        </w:rPr>
        <w:t xml:space="preserve">Price Assurance </w:t>
      </w:r>
    </w:p>
    <w:p>
      <w:pPr>
        <w:pStyle w:val="TextBody"/>
        <w:bidi w:val="0"/>
        <w:spacing w:before="120" w:after="0"/>
        <w:jc w:val="left"/>
        <w:rPr>
          <w:rFonts w:ascii="Times New Roman" w:hAnsi="Times New Roman"/>
          <w:sz w:val="20"/>
        </w:rPr>
      </w:pPr>
      <w:r>
        <w:rPr>
          <w:rFonts w:ascii="Times New Roman" w:hAnsi="Times New Roman"/>
          <w:sz w:val="20"/>
        </w:rPr>
        <w:t xml:space="preserve">To enhance the shopping experience of our customers, we have established a price assurance policy to allow qualified customers to receive compensation for price differences in the event that the price of the product at our platform experiences a decrease within a certain period of time after the purchase. We post our price assurance policy, including its applicable exceptions, on our platform and label the qualified products accordingly to make sure our customers are well informed of our price assurance arrangements.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Customer Service </w:t>
      </w:r>
    </w:p>
    <w:p>
      <w:pPr>
        <w:pStyle w:val="TextBody"/>
        <w:bidi w:val="0"/>
        <w:spacing w:before="120" w:after="0"/>
        <w:jc w:val="left"/>
        <w:rPr>
          <w:rFonts w:ascii="Times New Roman" w:hAnsi="Times New Roman"/>
          <w:sz w:val="20"/>
        </w:rPr>
      </w:pPr>
      <w:r>
        <w:rPr>
          <w:rFonts w:ascii="Times New Roman" w:hAnsi="Times New Roman"/>
          <w:sz w:val="20"/>
        </w:rPr>
        <w:t xml:space="preserve">We believe that our emphasis on customer service enhances our ability to maintain a large and loyal customer base and create a superior customer experience, encouraging repeat visits and purchases. We have a dedicated customer service team responsible for handling general customer inquiries and requests, assisting customers with their ordering process, investigating the status of orders, shipments, and payments, resolving customer complaints, and providing other after-sales services. Our customers can contact customer service representatives through our customer service e-mail, real-time online chat, or our customer service hotline 15 hours a day, seven days a week. Our Super VIP members enjoy 24/7 customer service support. We also engage certain high-quality third-party service centers to undertake certain customer services for us. As of December 31, 2024, we had over 1,500 customer service personnel, including independent contractors. </w:t>
      </w:r>
    </w:p>
    <w:p>
      <w:pPr>
        <w:pStyle w:val="TextBody"/>
        <w:bidi w:val="0"/>
        <w:spacing w:before="240" w:after="0"/>
        <w:jc w:val="left"/>
        <w:rPr>
          <w:rFonts w:ascii="Times New Roman" w:hAnsi="Times New Roman"/>
          <w:sz w:val="20"/>
        </w:rPr>
      </w:pPr>
      <w:r>
        <w:rPr>
          <w:rFonts w:ascii="Times New Roman" w:hAnsi="Times New Roman"/>
          <w:sz w:val="20"/>
        </w:rPr>
        <w:t xml:space="preserve">With a specialized team dedicated to effectively tackling customer concerns, we strive to align closely with customer expectations and sentiments. We maintain service quality by carefully selecting personnel, providing our customer service representatives with extensive training, and regularly monitoring and evaluating the performance of each representative. Each new customer service representative is required to complete a mandatory training program in Guangzhou, conducted by experienced managers, covering product knowledge, complaint handling, service attitude, and communication skills. To facilitate timely resolution of customer complaints, we also train and delegate our customer service representatives to resolve complaints and remedy situations within a specified authorized amount without having to get approval from their supervisors.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Marketing </w:t>
      </w:r>
    </w:p>
    <w:p>
      <w:pPr>
        <w:pStyle w:val="TextBody"/>
        <w:bidi w:val="0"/>
        <w:spacing w:before="120" w:after="0"/>
        <w:jc w:val="left"/>
        <w:rPr>
          <w:rFonts w:ascii="Times New Roman" w:hAnsi="Times New Roman"/>
          <w:sz w:val="20"/>
        </w:rPr>
      </w:pPr>
      <w:r>
        <w:rPr>
          <w:rFonts w:ascii="Times New Roman" w:hAnsi="Times New Roman"/>
          <w:sz w:val="20"/>
        </w:rPr>
        <w:t xml:space="preserve">Our business model and associated value propositions help us build a large base of active customers. We continue to enhance the element of “thrill and excitement” associated with the customer shopping experience to promote word-of-mouth referrals and repeat customer purchases on our Vipshop Online Platform. </w:t>
      </w:r>
    </w:p>
    <w:p>
      <w:pPr>
        <w:pStyle w:val="TextBody"/>
        <w:bidi w:val="0"/>
        <w:spacing w:before="240" w:after="0"/>
        <w:jc w:val="left"/>
        <w:rPr>
          <w:rFonts w:ascii="Times New Roman" w:hAnsi="Times New Roman"/>
          <w:sz w:val="20"/>
        </w:rPr>
      </w:pPr>
      <w:r>
        <w:rPr>
          <w:rFonts w:ascii="Times New Roman" w:hAnsi="Times New Roman"/>
          <w:sz w:val="20"/>
        </w:rPr>
        <w:t xml:space="preserve">We leverage various marketing channels, especially digital marketing channels, to strengthen our brand awareness, acquire new customers, and retain existing customers. We utilize our big data analytics and insights from our large customer base and business intelligence system to refine our targeted marketing initiatives. For example, we launched social campaigns, such as live streaming by celebrities and Super VIP special sessions to give customers more benefits and increase customer interaction. In addition, we proactively expanded targeted marketing, and adopted various marketing campaigns such as advertising in TV series and reality shows and marketing on new media channels to keep customers informed of our latest promotional offerings and our Vipshop brand. Furthermore, we encourage our customers to share their shopping experiences through an “easy-to-share” function on social media platforms in China, such as WeChat, which can increase their customer stickiness while also serving as a means to attract new customers. Moreover, some of our offline stores are making efforts to utilize private domain traffic by operating their own WeChat groups and provide direct marketing to consumers.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Technology </w:t>
      </w:r>
    </w:p>
    <w:p>
      <w:pPr>
        <w:pStyle w:val="TextBody"/>
        <w:bidi w:val="0"/>
        <w:spacing w:before="120" w:after="0"/>
        <w:jc w:val="left"/>
        <w:rPr>
          <w:rFonts w:ascii="Times New Roman" w:hAnsi="Times New Roman"/>
          <w:i/>
          <w:sz w:val="20"/>
        </w:rPr>
      </w:pPr>
      <w:r>
        <w:rPr>
          <w:rFonts w:ascii="Times New Roman" w:hAnsi="Times New Roman"/>
          <w:i/>
          <w:sz w:val="20"/>
        </w:rPr>
        <w:t xml:space="preserve">Technology Infrastructure </w:t>
      </w:r>
    </w:p>
    <w:p>
      <w:pPr>
        <w:pStyle w:val="TextBody"/>
        <w:bidi w:val="0"/>
        <w:spacing w:before="120" w:after="0"/>
        <w:jc w:val="left"/>
        <w:rPr>
          <w:rFonts w:ascii="Times New Roman" w:hAnsi="Times New Roman"/>
          <w:sz w:val="20"/>
        </w:rPr>
      </w:pPr>
      <w:r>
        <w:rPr>
          <w:rFonts w:ascii="Times New Roman" w:hAnsi="Times New Roman"/>
          <w:sz w:val="20"/>
        </w:rPr>
        <w:t xml:space="preserve">Our technological capabilities play an important role in the success of our business, and enable us to enhance operating efficiency and site scalability. We rely on a combination of our internally developed proprietary technologies, open source solutions, and licensed technologies to optimize every aspect of our operations for the benefit of our customers and brand partners. We have invested in Artificial Intelligence (AI) and our in-house developed AI model enables our team to serve customers and brand partners with greater efficiency. For example, AI capabilities are increasingly applied to improve the relevancy and accuracy of search and recommendation so that customers of different intents are more likely to browse and shop across categories. AI-generated content such as product highlights, photos and videos are applied across our platform to optimize the overall shopping experience for customers. In addition, we have made initial attempts at other application scenarios such as shopping guide, marketing content, customer service and analytics tools for brand partners. </w:t>
      </w:r>
    </w:p>
    <w:p>
      <w:pPr>
        <w:pStyle w:val="TextBody"/>
        <w:bidi w:val="0"/>
        <w:spacing w:before="240" w:after="0"/>
        <w:jc w:val="left"/>
        <w:rPr>
          <w:rFonts w:ascii="Times New Roman" w:hAnsi="Times New Roman"/>
          <w:sz w:val="20"/>
        </w:rPr>
      </w:pPr>
      <w:r>
        <w:rPr>
          <w:rFonts w:ascii="Times New Roman" w:hAnsi="Times New Roman"/>
          <w:sz w:val="20"/>
        </w:rPr>
        <w:t xml:space="preserve">Our systems can be divided into front-end, middle-end, and back-end modules, all built on top of advanced technologies. Together, they form a reliable technology platform that optimizes customer experiences and supports efficient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front-end modules, which refer to modules supporting the user-interfaces of our platform, mainly include product display, member account management, category browsing, product searches, online shopping cart, order processing functions, payment, chatbots, and customer support functions. The front-end modules are supported by our proprietary content distribution network, dynamic and distributed cluster, and a core database, providing our customers with quick access to the product display they are interested in and facilitating a smooth online shopping experience. Please see “—Payment, Fulfillment, and Return—Fulfillment” for details. </w:t>
      </w:r>
    </w:p>
    <w:p>
      <w:pPr>
        <w:pStyle w:val="TextBody"/>
        <w:bidi w:val="0"/>
        <w:spacing w:before="240" w:after="0"/>
        <w:jc w:val="left"/>
        <w:rPr>
          <w:rFonts w:ascii="Times New Roman" w:hAnsi="Times New Roman"/>
          <w:sz w:val="20"/>
        </w:rPr>
      </w:pPr>
      <w:r>
        <w:rPr>
          <w:rFonts w:ascii="Times New Roman" w:hAnsi="Times New Roman"/>
          <w:sz w:val="20"/>
        </w:rPr>
        <w:t xml:space="preserve">The mid-end modules, which refer to modules supporting the merchant platform that we have launched to equip our brand partners with refined analysis and insights as well as all-round operating capacities, deepen the synergies between our brand partners and us, and further improve operating performance. The merchant platform is an output of our proprietary data analytics and business intelligence capacities. It enables our brand partners to establish their own data analytics infrastructure and diversify their operations monitoring metrics, through which they can fine tune the marketing and branding strategies tailored for target customer groups, optimize their operating strategies, establish additional touchpoints to effectively direct customer traffic, and set up membership programs to further enhance customer loyalty. The merchant platform allows our brand partners and ourselves to simultaneously focus on improving customer growth and experience while optimizing each other’s business operations, in turn serving as an additional compelling value proposition that we offer to our brand partners. With such simultaneous development, we strengthen our relationships with the brand partners and open up more opportunities to pursue further in-depth collaborations. </w:t>
      </w:r>
    </w:p>
    <w:p>
      <w:pPr>
        <w:pStyle w:val="TextBody"/>
        <w:bidi w:val="0"/>
        <w:spacing w:before="240" w:after="0"/>
        <w:jc w:val="left"/>
        <w:rPr>
          <w:rFonts w:ascii="Times New Roman" w:hAnsi="Times New Roman"/>
          <w:sz w:val="20"/>
        </w:rPr>
      </w:pPr>
      <w:r>
        <w:rPr>
          <w:rFonts w:ascii="Times New Roman" w:hAnsi="Times New Roman"/>
          <w:sz w:val="20"/>
        </w:rPr>
        <w:t xml:space="preserve">The back-end modules, which refer to modules supporting our business operations, mainly include customer service, ERP, warehouse and logistics management, product information management, business intelligence, and administration management systems. Our customer service system mainly consists of our customer relationship management system. Our ERP system is customized to integrate our business operations with brand partners on orders, accounting, and product distribution. Our operations system for warehouse and logistics management primarily consists of our warehouse management system, automating our warehouse and logistics operations and allowing us to efficiently manage our inventories, track our products, and deliver the orders to our customers in a timely fashion. We have designed our product information management system to perform a variety of functions. Other than basic product information management, it also offers category, pricing, and sales inventory management, and facilitates product lifecycle management for our online and offline businesses. These systems enhance the efficiency of our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Technology-driven Analytical Capabilities </w:t>
      </w:r>
    </w:p>
    <w:p>
      <w:pPr>
        <w:pStyle w:val="TextBody"/>
        <w:bidi w:val="0"/>
        <w:spacing w:before="120" w:after="0"/>
        <w:jc w:val="left"/>
        <w:rPr>
          <w:rFonts w:ascii="Times New Roman" w:hAnsi="Times New Roman"/>
          <w:sz w:val="20"/>
        </w:rPr>
      </w:pPr>
      <w:r>
        <w:rPr>
          <w:rFonts w:ascii="Times New Roman" w:hAnsi="Times New Roman"/>
          <w:sz w:val="20"/>
        </w:rPr>
        <w:t xml:space="preserve">We have accumulated a large customer base and observed customer behavior and performance throughout our operations. Our customer relationship management and business intelligence systems enable us to effectively use our proprietary transaction information to further analyze and study customer behavior and customer preferences. We regularly use this information in planning our marketing initiatives for upcoming events and making profile-based personalized recommendations to enhance our customers’ shopping experiences. For instance, the comprehensive customer profiles allow us to provide personalized product recommendations to customers that are within their price range, suit their brand preference, and are within their categories of interest. We also use customer profiles in various scenarios for our sales initiatives to effectively interact with its customers, such as notification via push method, text messages, e-mails, and sales events on our WeChat Mini-Program and other social media platforms. In addition, we have developed a real-time customer-intent identification system, which employs proprietary algorithm technologies with recent and real time customer behavioral data to provide recommendations to customers based on the different intentions of customers visiting our platform. Furthermore, our business intelligence system is built with our proprietary cloud computing infrastructure, providing insights for many aspects of our business operations and site functionalities.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Safety and Scalability </w:t>
      </w:r>
    </w:p>
    <w:p>
      <w:pPr>
        <w:pStyle w:val="TextBody"/>
        <w:bidi w:val="0"/>
        <w:spacing w:before="120" w:after="0"/>
        <w:jc w:val="left"/>
        <w:rPr>
          <w:rFonts w:ascii="Times New Roman" w:hAnsi="Times New Roman"/>
          <w:sz w:val="20"/>
        </w:rPr>
      </w:pPr>
      <w:r>
        <w:rPr>
          <w:rFonts w:ascii="Times New Roman" w:hAnsi="Times New Roman"/>
          <w:sz w:val="20"/>
        </w:rPr>
        <w:t xml:space="preserve">We have developed disaster tolerant systems for our key business modules, which include real-time data mirroring, daily data back-up, and system redundancy solutions. We also adopted a “DevOps” methodology, which enables us to respond quickly towards business requests, significantly decreasing our development cost and improving our time-to-market. Our site is built upon real event processing platforms, and it leverages service-oriented architecture supported by internally developed cloud solutions. This enables us to achieve internal efficiency. Cybersecurity is another key aspect of site operations. Leveraging the real-time event processing systems that keep our site running smoothly, we have improved our protection against online and offline fraud and potential cyber-attacks such as dDoS. </w:t>
      </w:r>
    </w:p>
    <w:p>
      <w:pPr>
        <w:pStyle w:val="TextBody"/>
        <w:bidi w:val="0"/>
        <w:spacing w:before="360" w:after="0"/>
        <w:jc w:val="left"/>
        <w:rPr>
          <w:rFonts w:ascii="Times New Roman" w:hAnsi="Times New Roman"/>
          <w:b/>
          <w:i/>
          <w:sz w:val="20"/>
        </w:rPr>
      </w:pPr>
      <w:r>
        <w:rPr>
          <w:rFonts w:ascii="Times New Roman" w:hAnsi="Times New Roman"/>
          <w:b/>
          <w:i/>
          <w:sz w:val="20"/>
        </w:rPr>
        <w:t xml:space="preserve">Data Privacy and Security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protecting our customers’ personal information and privacy. During our ordinary course of business, we may collect and use user data, which could include personal information (such as mobile phone number, gender, and age), transactional information (such as purchase records and orders on our platform), and device information. We collect the personal information and data necessary for the use of our platform in accordance with the applicable laws and regulations, and obtain customers’ consent if required. We have established and implemented comprehensive and rigorous internal policies on various aspects of data lifecycle management, including data collection, processing, and usage, to secure and protect data over its entire use to our business and services. </w:t>
      </w:r>
    </w:p>
    <w:p>
      <w:pPr>
        <w:pStyle w:val="TextBody"/>
        <w:bidi w:val="0"/>
        <w:spacing w:before="240" w:after="0"/>
        <w:jc w:val="left"/>
        <w:rPr>
          <w:rFonts w:ascii="Times New Roman" w:hAnsi="Times New Roman"/>
          <w:sz w:val="20"/>
        </w:rPr>
      </w:pPr>
      <w:r>
        <w:rPr>
          <w:rFonts w:ascii="Times New Roman" w:hAnsi="Times New Roman"/>
          <w:sz w:val="20"/>
        </w:rPr>
        <w:t xml:space="preserve">To ensure the confidentiality and integrity of our data, we maintain comprehensive and rigorous data security policies and measures. We de-identify and encrypt confidential personal information and take other technological measures to ensure the secure processing, transmission, and use of data. We have also established stringent internal protocols under which we grant classified access to confidential personal data only to limited number of employees with access authorization. </w:t>
      </w:r>
    </w:p>
    <w:p>
      <w:pPr>
        <w:pStyle w:val="TextBody"/>
        <w:bidi w:val="0"/>
        <w:spacing w:before="240" w:after="0"/>
        <w:jc w:val="left"/>
        <w:rPr>
          <w:rFonts w:ascii="Times New Roman" w:hAnsi="Times New Roman"/>
          <w:sz w:val="20"/>
        </w:rPr>
      </w:pPr>
      <w:r>
        <w:rPr>
          <w:rFonts w:ascii="Times New Roman" w:hAnsi="Times New Roman"/>
          <w:sz w:val="20"/>
        </w:rPr>
        <w:t xml:space="preserve">We have built a backup system that runs on different servers to minimize the risk of data loss. Our back-end security system handles malicious attacks to safeguard the security of our data. See “Item 3. Key Information—D. Risk Factors—Risks Relating to Our Business and Industry—Our business is subject to complex and evolving laws and regulations regarding cybersecurity and data privacy. Any failure to comply with these laws and regulations could result in claims, changes to our business practices, negative publicity, increased cost of operation, or declines in user growth or engagement, or otherwise harm our business.”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annual report, we had not been subject to any fines or other administrative punishment due to non-compliance with data privacy and security laws or regulations.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Environmental, Social, and Governance (ESG) </w:t>
      </w:r>
    </w:p>
    <w:p>
      <w:pPr>
        <w:pStyle w:val="TextBody"/>
        <w:bidi w:val="0"/>
        <w:spacing w:before="120" w:after="0"/>
        <w:jc w:val="left"/>
        <w:rPr>
          <w:rFonts w:ascii="Times New Roman" w:hAnsi="Times New Roman"/>
          <w:sz w:val="20"/>
        </w:rPr>
      </w:pPr>
      <w:r>
        <w:rPr>
          <w:rFonts w:ascii="Times New Roman" w:hAnsi="Times New Roman"/>
          <w:sz w:val="20"/>
        </w:rPr>
        <w:t xml:space="preserve">We are committed to promoting corporate social responsibility and sustainable development as well as integrating these principles into all major aspects of our business operations. As a testament to our sustainable business practices, our MSCI ESG Rating was elevated to “A” in July 2021, and further elevated to “AA” in October 2023, marking our company as a leader among over 300 companies in the consumer discretionary industry. Moreover, we bagged the titles of China’s Best Employer of the Year and China’s Most Sustainable Employer of the Year in 2022, and the Most Popular Employer Among Employees in 2024, in the selection by Forbes China and Russell Reynolds Associates, a global search and leadership advisory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2022, we established a three-tiered governance structure that includes our board of directors, an ESG committee under the board of directors, consisting of Mr. Eric Ya Shen, Mr. Authur Xiaobo Hong, and Mr. Frank Lin, and an ESG Task Force. The ESG committee is responsible for defining ESG related strategy, targets, and action plans, assessing and evaluating proposals from the ESG Task Force, and coordinating the resources required to progress with ESG topics. The ESG Task Force is headed by the main person responsible for each department or division, including our compliance and legal departments, the business and operations centers, and corporate social responsibility department. The ESG Task Force is responsible for making proposals to the ESG committee as well as the implementation and execution of ESG work. </w:t>
      </w:r>
    </w:p>
    <w:p>
      <w:pPr>
        <w:pStyle w:val="TextBody"/>
        <w:bidi w:val="0"/>
        <w:spacing w:before="160" w:after="0"/>
        <w:jc w:val="left"/>
        <w:rPr>
          <w:rFonts w:ascii="Times New Roman" w:hAnsi="Times New Roman"/>
          <w:sz w:val="20"/>
        </w:rPr>
      </w:pPr>
      <w:r>
        <w:rPr>
          <w:rFonts w:ascii="Times New Roman" w:hAnsi="Times New Roman"/>
          <w:sz w:val="20"/>
        </w:rPr>
        <w:t xml:space="preserve">We define our ESG strategy with the goal of “co-creation of a new sustainable life” to explore a path of sustainable development across five core areas: New Sustainable Choices, Happy Consumption, Proactive Inclusivity, Beautiful Society, and Dependable Compliance. In addition, we also pledge to achieve carbon neutrality in our own operations and a 50% reduction in Scope 3 carbon emission intensity no later than 2030. </w:t>
      </w:r>
    </w:p>
    <w:p>
      <w:pPr>
        <w:pStyle w:val="TextBody"/>
        <w:bidi w:val="0"/>
        <w:spacing w:before="160" w:after="0"/>
        <w:jc w:val="left"/>
        <w:rPr>
          <w:rFonts w:ascii="Times New Roman" w:hAnsi="Times New Roman"/>
          <w:sz w:val="20"/>
        </w:rPr>
      </w:pPr>
      <w:r>
        <w:rPr>
          <w:rFonts w:ascii="Times New Roman" w:hAnsi="Times New Roman"/>
          <w:sz w:val="20"/>
        </w:rPr>
        <w:t xml:space="preserve">In January 2024, we released our Carbon Reduction Goals and Action Report, which detailed our robust efforts in reducing carbon emissions. These initiatives include increasing the proportion of clean energy usage, improving energy efficiency, and advancing green logistics. The ultimate goal is to strive carbon neutrality in its own operations, promote the low-carbon development within the value chain, and contribute to societal green transformation. </w:t>
      </w:r>
    </w:p>
    <w:p>
      <w:pPr>
        <w:pStyle w:val="TextBody"/>
        <w:bidi w:val="0"/>
        <w:spacing w:before="240" w:after="0"/>
        <w:jc w:val="left"/>
        <w:rPr>
          <w:rFonts w:ascii="Times New Roman" w:hAnsi="Times New Roman"/>
          <w:b/>
          <w:i/>
          <w:sz w:val="20"/>
        </w:rPr>
      </w:pPr>
      <w:r>
        <w:rPr>
          <w:rFonts w:ascii="Times New Roman" w:hAnsi="Times New Roman"/>
          <w:b/>
          <w:i/>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regard our trademarks, service marks, domain names, trade secrets, proprietary technologies, and similar intellectual property as critical to our success, and we rely on trademark, copyright, and trade secret protection laws in China and other jurisdictions, as well as confidentiality procedures and contractual provisions with our employees, partners, service providers, suppliers, and other parties to protect our proprietary rights. As of December 31, 2024, we had been granted 370 patents and submitted 1,054 patent applications in China, owned 2,264 registered trademarks in China and 103 registered trademarks outside China, 266 copyrights (including copyrights to 235 software products in China that we develop relating to various aspects of our operations), and 30 registered domain names that are material to our business, including vip.com and vipshop.com. </w:t>
      </w:r>
    </w:p>
    <w:p>
      <w:pPr>
        <w:pStyle w:val="TextBody"/>
        <w:bidi w:val="0"/>
        <w:spacing w:before="240" w:after="0"/>
        <w:jc w:val="left"/>
        <w:rPr>
          <w:rFonts w:ascii="Times New Roman" w:hAnsi="Times New Roman"/>
          <w:b/>
          <w:i/>
          <w:sz w:val="20"/>
        </w:rPr>
      </w:pPr>
      <w:r>
        <w:rPr>
          <w:rFonts w:ascii="Times New Roman" w:hAnsi="Times New Roman"/>
          <w:b/>
          <w:i/>
          <w:sz w:val="20"/>
        </w:rPr>
        <w:t xml:space="preserve">Competition </w:t>
      </w:r>
    </w:p>
    <w:p>
      <w:pPr>
        <w:pStyle w:val="TextBody"/>
        <w:bidi w:val="0"/>
        <w:spacing w:before="120" w:after="0"/>
        <w:jc w:val="left"/>
        <w:rPr>
          <w:rFonts w:ascii="Times New Roman" w:hAnsi="Times New Roman"/>
          <w:sz w:val="20"/>
        </w:rPr>
      </w:pPr>
      <w:r>
        <w:rPr>
          <w:rFonts w:ascii="Times New Roman" w:hAnsi="Times New Roman"/>
          <w:sz w:val="20"/>
        </w:rPr>
        <w:t xml:space="preserve">Our competitors primarily include major pure-play online discount retailers, other online discount retailers, and new forms of e-commerce such as live streaming e-commerce platforms in China. </w:t>
      </w:r>
    </w:p>
    <w:p>
      <w:pPr>
        <w:pStyle w:val="TextBody"/>
        <w:bidi w:val="0"/>
        <w:spacing w:before="160" w:after="0"/>
        <w:jc w:val="left"/>
        <w:rPr>
          <w:rFonts w:ascii="Times New Roman" w:hAnsi="Times New Roman"/>
          <w:sz w:val="20"/>
        </w:rPr>
      </w:pPr>
      <w:r>
        <w:rPr>
          <w:rFonts w:ascii="Times New Roman" w:hAnsi="Times New Roman"/>
          <w:sz w:val="20"/>
        </w:rPr>
        <w:t xml:space="preserve">We believe that we compete primarily on the basis of: </w:t>
      </w:r>
    </w:p>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110"/>
        <w:gridCol w:w="60"/>
        <w:gridCol w:w="94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ability to identify products in demand among consumers and source these products on favorable terms from brands; </w:t>
            </w:r>
          </w:p>
        </w:tc>
      </w:tr>
    </w:tbl>
    <w:p>
      <w:pPr>
        <w:pStyle w:val="TextBody"/>
        <w:bidi w:val="0"/>
        <w:spacing w:before="0" w:after="0"/>
        <w:jc w:val="left"/>
        <w:rPr/>
      </w:pPr>
      <w:r>
        <w:rPr/>
        <w:t> </w:t>
      </w:r>
    </w:p>
    <w:tbl>
      <w:tblPr>
        <w:tblW w:w="4540" w:type="dxa"/>
        <w:jc w:val="left"/>
        <w:tblInd w:w="0" w:type="dxa"/>
        <w:tblLayout w:type="fixed"/>
        <w:tblCellMar>
          <w:top w:w="0" w:type="dxa"/>
          <w:left w:w="0" w:type="dxa"/>
          <w:bottom w:w="0" w:type="dxa"/>
          <w:right w:w="0" w:type="dxa"/>
        </w:tblCellMar>
      </w:tblPr>
      <w:tblGrid>
        <w:gridCol w:w="75"/>
        <w:gridCol w:w="110"/>
        <w:gridCol w:w="60"/>
        <w:gridCol w:w="42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focus on and expertise in apparel-related categories;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pricing advantage due to our discount retail model; </w:t>
            </w:r>
          </w:p>
        </w:tc>
      </w:tr>
    </w:tbl>
    <w:p>
      <w:pPr>
        <w:pStyle w:val="TextBody"/>
        <w:bidi w:val="0"/>
        <w:spacing w:before="0" w:after="0"/>
        <w:jc w:val="left"/>
        <w:rPr/>
      </w:pPr>
      <w:r>
        <w:rPr/>
        <w:t> </w:t>
      </w:r>
    </w:p>
    <w:tbl>
      <w:tblPr>
        <w:tblW w:w="4585" w:type="dxa"/>
        <w:jc w:val="left"/>
        <w:tblInd w:w="0" w:type="dxa"/>
        <w:tblLayout w:type="fixed"/>
        <w:tblCellMar>
          <w:top w:w="0" w:type="dxa"/>
          <w:left w:w="0" w:type="dxa"/>
          <w:bottom w:w="0" w:type="dxa"/>
          <w:right w:w="0" w:type="dxa"/>
        </w:tblCellMar>
      </w:tblPr>
      <w:tblGrid>
        <w:gridCol w:w="75"/>
        <w:gridCol w:w="110"/>
        <w:gridCol w:w="60"/>
        <w:gridCol w:w="43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breadth and quality of product and service offerings; </w:t>
            </w:r>
          </w:p>
        </w:tc>
      </w:tr>
    </w:tbl>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75"/>
        <w:gridCol w:w="110"/>
        <w:gridCol w:w="60"/>
        <w:gridCol w:w="40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comprehensive and innovative platform features; </w:t>
            </w:r>
          </w:p>
        </w:tc>
      </w:tr>
    </w:tbl>
    <w:p>
      <w:pPr>
        <w:pStyle w:val="TextBody"/>
        <w:bidi w:val="0"/>
        <w:spacing w:before="0" w:after="0"/>
        <w:jc w:val="left"/>
        <w:rPr/>
      </w:pPr>
      <w:r>
        <w:rPr/>
        <w:t> </w:t>
      </w:r>
    </w:p>
    <w:tbl>
      <w:tblPr>
        <w:tblW w:w="4330" w:type="dxa"/>
        <w:jc w:val="left"/>
        <w:tblInd w:w="0" w:type="dxa"/>
        <w:tblLayout w:type="fixed"/>
        <w:tblCellMar>
          <w:top w:w="0" w:type="dxa"/>
          <w:left w:w="0" w:type="dxa"/>
          <w:bottom w:w="0" w:type="dxa"/>
          <w:right w:w="0" w:type="dxa"/>
        </w:tblCellMar>
      </w:tblPr>
      <w:tblGrid>
        <w:gridCol w:w="75"/>
        <w:gridCol w:w="110"/>
        <w:gridCol w:w="60"/>
        <w:gridCol w:w="40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customer service and fulfillment capabilities; and </w:t>
            </w:r>
          </w:p>
        </w:tc>
      </w:tr>
    </w:tbl>
    <w:p>
      <w:pPr>
        <w:pStyle w:val="TextBody"/>
        <w:bidi w:val="0"/>
        <w:spacing w:before="0" w:after="0"/>
        <w:jc w:val="left"/>
        <w:rPr/>
      </w:pPr>
      <w:r>
        <w:rPr/>
        <w:t> </w:t>
      </w:r>
    </w:p>
    <w:tbl>
      <w:tblPr>
        <w:tblW w:w="4090" w:type="dxa"/>
        <w:jc w:val="left"/>
        <w:tblInd w:w="0" w:type="dxa"/>
        <w:tblLayout w:type="fixed"/>
        <w:tblCellMar>
          <w:top w:w="0" w:type="dxa"/>
          <w:left w:w="0" w:type="dxa"/>
          <w:bottom w:w="0" w:type="dxa"/>
          <w:right w:w="0" w:type="dxa"/>
        </w:tblCellMar>
      </w:tblPr>
      <w:tblGrid>
        <w:gridCol w:w="75"/>
        <w:gridCol w:w="110"/>
        <w:gridCol w:w="60"/>
        <w:gridCol w:w="3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solid reputation among consumers and brands.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that our early-mover advantage and leading market position help us compete effectively against our competitors. However, some of our current and potential competitors may have longer operating histories, larger customer bases, better brand recognition, stronger platform management and fulfillment capabilities, and greater financial, technical, and marketing resources than we do. See “Item 3. Key Information—D. Risk Factors—Risks Relating to Our Business and Industry—If we do not compete effectively against existing or new competitors, we may lose market share and customers.”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Strategic Investments and Acquisitions </w:t>
      </w:r>
    </w:p>
    <w:p>
      <w:pPr>
        <w:pStyle w:val="TextBody"/>
        <w:bidi w:val="0"/>
        <w:spacing w:before="120" w:after="0"/>
        <w:jc w:val="left"/>
        <w:rPr>
          <w:rFonts w:ascii="Times New Roman" w:hAnsi="Times New Roman"/>
          <w:sz w:val="20"/>
        </w:rPr>
      </w:pPr>
      <w:r>
        <w:rPr>
          <w:rFonts w:ascii="Times New Roman" w:hAnsi="Times New Roman"/>
          <w:sz w:val="20"/>
        </w:rPr>
        <w:t xml:space="preserve">To maintain and strengthen our market position in China and to supplement our existing business, we evaluate opportunities for strategic investments in, and acquisitions of, complementary businesses, assets, and technologies and have made such investments and acquisitions from time to time. We have made the following strategic investments and acquisitions over the past few years. </w:t>
      </w:r>
    </w:p>
    <w:p>
      <w:pPr>
        <w:pStyle w:val="TextBody"/>
        <w:bidi w:val="0"/>
        <w:spacing w:before="240" w:after="0"/>
        <w:jc w:val="left"/>
        <w:rPr>
          <w:rFonts w:ascii="Times New Roman" w:hAnsi="Times New Roman"/>
          <w:sz w:val="20"/>
        </w:rPr>
      </w:pPr>
      <w:r>
        <w:rPr>
          <w:rFonts w:ascii="Times New Roman" w:hAnsi="Times New Roman"/>
          <w:i/>
          <w:sz w:val="20"/>
          <w:u w:val="single"/>
        </w:rPr>
        <w:t>Acquisition of Shan Shan Outlets.</w:t>
      </w:r>
      <w:r>
        <w:rPr>
          <w:rFonts w:ascii="Times New Roman" w:hAnsi="Times New Roman"/>
          <w:sz w:val="20"/>
        </w:rPr>
        <w:t xml:space="preserve"> In July 2019, we entered into a share purchase agreement with Ningbo Xingtong Chuangfu Equity Investment Partnership and Shan Shan Group Co., Ltd., in connection with the acquisition of 100% equity interests in Shan Shan Outlets, a leading player in the offline outlet management industry in China. The total consideration for the acquisition of Shan Shan Outlets was RMB2.95 billion, of which RMB2.93 billion had been paid as of December 31, 2019, and the remaining consideration was paid in January 2020. In 2022, 2023 and 2024, we made further investment of RMB553.7 million, nil and RMB512.0 million to acquire additional shares from the existing shareholders of subsidiaries of Shan Shan Outlets. </w:t>
      </w:r>
    </w:p>
    <w:p>
      <w:pPr>
        <w:pStyle w:val="TextBody"/>
        <w:bidi w:val="0"/>
        <w:spacing w:before="240" w:after="0"/>
        <w:jc w:val="left"/>
        <w:rPr>
          <w:rFonts w:ascii="Times New Roman" w:hAnsi="Times New Roman"/>
          <w:sz w:val="20"/>
        </w:rPr>
      </w:pPr>
      <w:r>
        <w:rPr>
          <w:rFonts w:ascii="Times New Roman" w:hAnsi="Times New Roman"/>
          <w:i/>
          <w:sz w:val="20"/>
          <w:u w:val="single"/>
        </w:rPr>
        <w:t>Investment in Sichuan VipFubon Consumer Finance Co., Ltd.</w:t>
      </w:r>
      <w:r>
        <w:rPr>
          <w:rFonts w:ascii="Times New Roman" w:hAnsi="Times New Roman"/>
          <w:sz w:val="20"/>
        </w:rPr>
        <w:t xml:space="preserve"> In October 2021, Sichuan VipFubon Consumer Finance Co., Ltd., or VipFubon, a company engaging in consumer finance business, was established by Fubon Bank (China) Co., Ltd., Xtep (China) Co., Ltd. and us. As of the date of this annual report, Fubon Bank (China) Co., Ltd., Xtep (China) Co., Ltd. and we hold 25.0%, 25.1%, and 49.9% of the equity interests in Sichuan VipFubon Consumer Finance Co., Ltd., respectively. We have made capital contribution totaling RMB249.5 million in and have significant influence over the company. In 2024, we invested an additional RMB250.5 million in VipFubon, increasing our equity interest to 50.0%. As of December 31, 2024, this investment was pending approval from financial regulatory authorities and had not yet been consummated. Therefore, the RMB250.5 million investment amount was recorded as a deposit under other long-term assets in our consolidated financial statements for the year ended December 31, 2024, included in this annual report on Form 20-F.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annual report, this investment transaction has been consummated following the completion of relevant business registration procedure. However, despite our increased shareholding in VipFubon, we cannot consolidate VipFubon in our consolidated financial statements because we do not have control over its board of directors. </w:t>
      </w:r>
    </w:p>
    <w:p>
      <w:pPr>
        <w:pStyle w:val="TextBody"/>
        <w:bidi w:val="0"/>
        <w:spacing w:before="240" w:after="0"/>
        <w:jc w:val="left"/>
        <w:rPr>
          <w:rFonts w:ascii="Times New Roman" w:hAnsi="Times New Roman"/>
          <w:sz w:val="20"/>
        </w:rPr>
      </w:pPr>
      <w:r>
        <w:rPr>
          <w:rFonts w:ascii="Times New Roman" w:hAnsi="Times New Roman"/>
          <w:i/>
          <w:sz w:val="20"/>
          <w:u w:val="single"/>
        </w:rPr>
        <w:t>Investment in Guofu Life Insurance Co., Ltd.</w:t>
      </w:r>
      <w:r>
        <w:rPr>
          <w:rFonts w:ascii="Times New Roman" w:hAnsi="Times New Roman"/>
          <w:sz w:val="20"/>
        </w:rPr>
        <w:t xml:space="preserve"> Guofu Life Insurance Co., Ltd. is a national life insurance company established in June 2018 with the approval of the China Banking and Insurance Regulatory Commission. It provides a broad range of insurance products, including life insurance, annuity, health insurance, and accident insurance products, among other things. We held 16.0% of its equity interest from June 2018 to December 2021, and has been holding 20.4% of its equity interest since January 2022. The total capital contribution we made was RMB468.6 million as of December 31, 2024. We have significant influence on the investee since the year 2022. In 2024, we made an additional investment of RMB60.0 million to acquire additional shares from the existing shareholders of Guofu Life Insurance Co., Ltd., which would result in our equity interest increasing to 24.3%. However, as of the date of this annual report, this additional investment is still pending approval from financial regulatory authorities. Therefore, the transaction has not yet been consummated and the investment funds remain deposited in our bank-supervised account.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Regulation </w:t>
      </w:r>
    </w:p>
    <w:p>
      <w:pPr>
        <w:pStyle w:val="TextBody"/>
        <w:bidi w:val="0"/>
        <w:spacing w:before="120" w:after="0"/>
        <w:jc w:val="left"/>
        <w:rPr>
          <w:rFonts w:ascii="Times New Roman" w:hAnsi="Times New Roman"/>
          <w:sz w:val="20"/>
        </w:rPr>
      </w:pPr>
      <w:r>
        <w:rPr>
          <w:rFonts w:ascii="Times New Roman" w:hAnsi="Times New Roman"/>
          <w:sz w:val="20"/>
        </w:rPr>
        <w:t xml:space="preserve">This section sets forth a summary of the most significant laws and regulations that affect our business in China.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Relating to Foreign Investments </w:t>
      </w:r>
    </w:p>
    <w:p>
      <w:pPr>
        <w:pStyle w:val="TextBody"/>
        <w:bidi w:val="0"/>
        <w:spacing w:before="120" w:after="0"/>
        <w:jc w:val="left"/>
        <w:rPr>
          <w:rFonts w:ascii="Times New Roman" w:hAnsi="Times New Roman"/>
          <w:sz w:val="20"/>
        </w:rPr>
      </w:pPr>
      <w:r>
        <w:rPr>
          <w:rFonts w:ascii="Times New Roman" w:hAnsi="Times New Roman"/>
          <w:sz w:val="20"/>
        </w:rPr>
        <w:t xml:space="preserve">Investment activities in China by foreign investors are principally governed by the Industry Guidelines of Encouraged Foreign Investment and the Special Administrative Measures (Negative List) for Foreign Investment Access, which were promulgated and are amended from time to time by the Ministry of Commerce and the NDRC, and together with the PRC Foreign Investment Law and its respective implementation rules and ancillary regulations. The industry guidelines and the negative list lay out the basic framework for foreign investments in China, classifying businesses into three categories with regard to foreign investments: “encouraged,” “restricted,” and “prohibited.” Industries not listed in the industry guidelines or the negative list are generally deemed as falling into a fourth category “permitted” unless specifically restricted by other PRC laws. </w:t>
      </w:r>
    </w:p>
    <w:p>
      <w:pPr>
        <w:pStyle w:val="TextBody"/>
        <w:bidi w:val="0"/>
        <w:spacing w:before="240" w:after="0"/>
        <w:jc w:val="left"/>
        <w:rPr>
          <w:rFonts w:ascii="Times New Roman" w:hAnsi="Times New Roman"/>
          <w:sz w:val="20"/>
        </w:rPr>
      </w:pPr>
      <w:r>
        <w:rPr>
          <w:rFonts w:ascii="Times New Roman" w:hAnsi="Times New Roman"/>
          <w:sz w:val="20"/>
        </w:rPr>
        <w:t xml:space="preserve">On October 26, 2022, the Ministry of Commerce and the NDRC released the Industry Guidelines of Encouraged Foreign Investment (2022 Version), which came into effect on January 1, 2023 and replaced the previous version of the Industry Guidelines of Encouraged Foreign Investment. On September 6, 2024, the Ministry of Commerce and the NDRC promulgated the Special Administrative Measures (Negative List) for Foreign Investment Access (2024 Version), or the 2024 Negative List, which became effective on November 1, 2024 and replaced the previous version of the Special Administrative Measures (Negative List) for Foreign Investment Access.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March 15, 2019, the National People’s Congress approved the PRC Foreign Investment Law, which came into effect on January 1, 2020 and replaced three then existing laws on foreign investments in China, namely, the PRC Sino-foreign Equity Joint Venture Enterprise Law, the PRC Sino-foreign Cooperative Joint Venture Enterprise Law, and the PRC Wholly Foreign-invested Enterprise Law. The PRC Foreign Investment Law embodies an expected PRC regulatory trend to rationalize its foreign investment regulatory regime in line with prevailing international practice and the legislative efforts to unify the corporate legal requirements for both foreign- and domestic-invested enterprises in China. The PRC Foreign Investment Law establishes the basic framework for the access to and the promotion, protection, and administration of foreign investments in view of investment protection and fair competition. </w:t>
      </w:r>
    </w:p>
    <w:p>
      <w:pPr>
        <w:pStyle w:val="TextBody"/>
        <w:bidi w:val="0"/>
        <w:spacing w:before="240" w:after="0"/>
        <w:jc w:val="left"/>
        <w:rPr>
          <w:rFonts w:ascii="Times New Roman" w:hAnsi="Times New Roman"/>
          <w:sz w:val="20"/>
        </w:rPr>
      </w:pPr>
      <w:r>
        <w:rPr>
          <w:rFonts w:ascii="Times New Roman" w:hAnsi="Times New Roman"/>
          <w:sz w:val="20"/>
        </w:rPr>
        <w:t>According to the PRC Foreign Investment Law, foreign investments should enjoy pre-entry national treatment, except for those foreign-invested entities that operate in industries deemed to be either “restricted” or “prohibited” in the “negative list.” While foreign investors should refrain from investing in any of the foreign “prohibited” industries, foreign-invested entities operating in foreign “restricted” industries are required to obtain market entry clearance and other approvals from the PRC governmental authorities. The PRC Foreign Investment Law does not comment on the concept of “</w:t>
      </w:r>
      <w:r>
        <w:rPr>
          <w:rFonts w:ascii="Times New Roman" w:hAnsi="Times New Roman"/>
          <w:i/>
          <w:sz w:val="20"/>
        </w:rPr>
        <w:t>de facto control</w:t>
      </w:r>
      <w:r>
        <w:rPr>
          <w:rFonts w:ascii="Times New Roman" w:hAnsi="Times New Roman"/>
          <w:sz w:val="20"/>
        </w:rPr>
        <w:t xml:space="preserve">” or contractual arrangements with variable interest entities, however, it has a catch-all provision under the definition of “foreign investment” to include investments made by foreign investors in China through means stipulated by laws, administrative regulations, or other methods prescribed by the State Council. Therefore, it still leaves leeway for future laws, administrative regulations, or provisions to provide for contractual arrangements as a form of foreign investment. Furthermore, the PRC Foreign Investment Law provides that foreign-invested enterprises established according to the said three existing laws regulating foreign investments may maintain their structure and corporate governance within five years after the implementation of the PRC Foreign Investment Law. </w:t>
      </w:r>
    </w:p>
    <w:p>
      <w:pPr>
        <w:pStyle w:val="TextBody"/>
        <w:bidi w:val="0"/>
        <w:spacing w:before="240" w:after="0"/>
        <w:jc w:val="left"/>
        <w:rPr>
          <w:rFonts w:ascii="Times New Roman" w:hAnsi="Times New Roman"/>
          <w:sz w:val="20"/>
        </w:rPr>
      </w:pPr>
      <w:r>
        <w:rPr>
          <w:rFonts w:ascii="Times New Roman" w:hAnsi="Times New Roman"/>
          <w:sz w:val="20"/>
        </w:rPr>
        <w:t xml:space="preserve">On December 26, 2019, the State Council promulgated the Regulations for Implementing the PRC Foreign Investment Law, which came into effect on January 1, 2020. The implementation rules further clarified that the state encourages and promotes foreign investments, protects the lawful rights and interests of foreign investors, regulates foreign investment administration, continues to optimize foreign investment environment, and advances a higher-level opening. </w:t>
      </w:r>
    </w:p>
    <w:p>
      <w:pPr>
        <w:pStyle w:val="TextBody"/>
        <w:bidi w:val="0"/>
        <w:spacing w:before="240" w:after="0"/>
        <w:jc w:val="left"/>
        <w:rPr>
          <w:rFonts w:ascii="Times New Roman" w:hAnsi="Times New Roman"/>
          <w:sz w:val="20"/>
        </w:rPr>
      </w:pPr>
      <w:r>
        <w:rPr>
          <w:rFonts w:ascii="Times New Roman" w:hAnsi="Times New Roman"/>
          <w:sz w:val="20"/>
        </w:rPr>
        <w:t xml:space="preserve">On December 30, 2019, the Ministry of Commerce and the SAMR jointly promulgated the Measures for Information Reporting on Foreign Investment, which became effective on January 1, 2020. Pursuant to the Measures for Information Reporting on Foreign Investment, where a foreign investor carries out investment activities in China directly or indirectly, the foreign investor or the foreign-invested enterprise must submit the investment information to the competent commerce department. </w:t>
      </w:r>
    </w:p>
    <w:p>
      <w:pPr>
        <w:pStyle w:val="TextBody"/>
        <w:bidi w:val="0"/>
        <w:spacing w:before="240" w:after="0"/>
        <w:jc w:val="left"/>
        <w:rPr>
          <w:rFonts w:ascii="Times New Roman" w:hAnsi="Times New Roman"/>
          <w:sz w:val="20"/>
        </w:rPr>
      </w:pPr>
      <w:r>
        <w:rPr>
          <w:rFonts w:ascii="Times New Roman" w:hAnsi="Times New Roman"/>
          <w:sz w:val="20"/>
        </w:rPr>
        <w:t xml:space="preserve">In December 2020, the NDRC and the Ministry of Commerce promulgated the Measures for the Security Review of Foreign Investment, which came into effect on January 18, 2021. Pursuant to such measures, the NDRC establishes a working mechanism office in charge of the security review of foreign investment, which is led by the NDRC and the Ministry of Commerce. Such measures also define foreign investments as direct or indirect investments by foreign investors in China, including (i) investments in new onshore projects or establishment of wholly foreign owned onshore enterprises or joint ventures with other investors; (ii) acquiring equity or assets of onshore companies by merger and acquisition; and (iii) onshore investments by and through any other means. Foreign investments in certain key areas with national security concerns, such as important transport services, important cultural products and services, important information technology and internet products and services, important financial services, and key technologies, which results in the acquisition of de facto control of the invested companies, must be filed with the working mechanism office prior to the implementation of such investments. Failure to make such filing may subject the foreign investor to rectification within a prescribed period, and the foreign investor will be negatively recorded in the national credit information system, which would then subject such investor to joint punishment as provided by the rules. If such investor fails to or refuses to undertake such rectification, it would be ordered to dispose of the equity or assets and to take any other necessary measures so as to restore to the status before the implementation of the investment and to erase the impact to national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Regulations Relating to Foreign Investments in Value-added Telecommunications Businesses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Provisions on Administration of Foreign-invested Telecommunications Enterprises which were promulgated by the State Council on December 11, 2001, and amended on September 10, 2008, February 6, 2016, and March 29, 2022, the ultimate foreign equity ownership in a value-added telecommunications services provider may not exceed 50%. Before the most recent amendment to the Provisions on Administration of Foreign-invested Telecommunications Enterprises on March 29, 2022, a foreign investor who plans to acquire any equity interest in value-added telecommunication business in China must satisfy a number of stringent performance and operational experience requirements, including demonstrating good track records and experience in operating value-added telecommunication business overseas. However, according to the most recent amendment to the Provisions on Administration of Foreign-invested Telecommunications Enterprises made by the State Council on March 29, 2022, which came into effect on May 1, 2022, requirements of experience in providing value-added telecommunications services overseas and maintenance of good track record for the main foreign investor of a foreign funded telecommunications enterprise operating value-added telecommunications businesses have been removed. </w:t>
      </w:r>
    </w:p>
    <w:p>
      <w:pPr>
        <w:pStyle w:val="TextBody"/>
        <w:bidi w:val="0"/>
        <w:spacing w:before="240" w:after="0"/>
        <w:jc w:val="left"/>
        <w:rPr>
          <w:rFonts w:ascii="Times New Roman" w:hAnsi="Times New Roman"/>
          <w:sz w:val="20"/>
        </w:rPr>
      </w:pPr>
      <w:r>
        <w:rPr>
          <w:rFonts w:ascii="Times New Roman" w:hAnsi="Times New Roman"/>
          <w:sz w:val="20"/>
        </w:rPr>
        <w:t xml:space="preserve">On June 19, 2015, the Ministry of Industry and Information Technology issued the Circular on Removing the Restrictions on Equity Ratio Held by Foreign Investors in Online Data Processing and Transaction Processing (Operating E-commerce) Business, allowing foreign investors to own more than 50% of equity interest in an operator of “operating e-commerce” business. The 2024 Negative List further provides that foreign investors are allowed to hold more than 50% equity interests in a value-added telecommunications service provider engaging in e-commerce, domestic multiparty communication, storage-and-forward, and call center businesses, while foreign investors are still prohibited from holding more than 50% of equity interest in a provider of other subcategories of value-added telecommunications services. </w:t>
      </w:r>
    </w:p>
    <w:p>
      <w:pPr>
        <w:pStyle w:val="TextBody"/>
        <w:bidi w:val="0"/>
        <w:spacing w:before="240" w:after="0"/>
        <w:jc w:val="left"/>
        <w:rPr>
          <w:rFonts w:ascii="Times New Roman" w:hAnsi="Times New Roman"/>
          <w:sz w:val="20"/>
        </w:rPr>
      </w:pPr>
      <w:r>
        <w:rPr>
          <w:rFonts w:ascii="Times New Roman" w:hAnsi="Times New Roman"/>
          <w:sz w:val="20"/>
        </w:rPr>
        <w:t xml:space="preserve">On April 8, 2024, the Ministry of Industry and Information Technology of China promulgated the Notice of the Ministry of Industry and Information Technology on the Pilot Program for Expanding the Opening up of Value-added Telecommunications Services to the Outside World, providing that in regions approved to carry out the pilot program, the restrictions on the foreign equity ratios for internet data centers (IDC), content delivery networks (CDN), internet service providers (ISP), online data processing and transaction processing, information releasing platforms and delivery services included in information services (excluding the operation of internet news information, online publishing, online audio and video, and internet culture), as well as information protection and processing services, will be removed. </w:t>
      </w:r>
    </w:p>
    <w:p>
      <w:pPr>
        <w:pStyle w:val="TextBody"/>
        <w:bidi w:val="0"/>
        <w:spacing w:before="240" w:after="0"/>
        <w:jc w:val="left"/>
        <w:rPr>
          <w:rFonts w:ascii="Times New Roman" w:hAnsi="Times New Roman"/>
          <w:sz w:val="20"/>
        </w:rPr>
      </w:pPr>
      <w:r>
        <w:rPr>
          <w:rFonts w:ascii="Times New Roman" w:hAnsi="Times New Roman"/>
          <w:sz w:val="20"/>
        </w:rPr>
        <w:t xml:space="preserve">The Circular on Strengthening the Administration of Foreign Investment in and Operation of Value-added Telecommunications Business issued by the Ministry of Information Industry in July 2006 reiterates the regulations on foreign investments in telecommunications businesses, which require foreign investors to set up foreign-invested enterprises and obtain value-added telecommunication business operating licenses to operate any value-added telecommunications business in China. Under this circular, a PRC domestic company that holds a Value-added Telecommunication License, is prohibited from leasing, transferring, or selling the Value-added Telecommunication Licenses to foreign investors in any form, and from providing any assistance, including providing resources, sites, or facilities, to foreign investors that conduct value-added telecommunications business illegally in China. The circular further requires each Value-added Telecommunication License holder to have the necessary facilities for its approved business operations and to maintain such facilities in the regions covered by its license. In addition, all value-added telecommunications service providers are required to maintain network and information security in accordance with the standards set forth under the PRC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Regulations Relating to Licenses and Permits </w:t>
      </w:r>
    </w:p>
    <w:p>
      <w:pPr>
        <w:pStyle w:val="TextBody"/>
        <w:bidi w:val="0"/>
        <w:spacing w:before="120" w:after="0"/>
        <w:jc w:val="left"/>
        <w:rPr>
          <w:rFonts w:ascii="Times New Roman" w:hAnsi="Times New Roman"/>
          <w:sz w:val="20"/>
        </w:rPr>
      </w:pPr>
      <w:r>
        <w:rPr>
          <w:rFonts w:ascii="Times New Roman" w:hAnsi="Times New Roman"/>
          <w:sz w:val="20"/>
          <w:u w:val="single"/>
        </w:rPr>
        <w:t>Value-added Telecommunication Licenses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PRC Telecommunications Regulations promulgated by the State Council and its related implementation rules, including the Catalog of Classification of Telecommunications Business initially issued by the Ministry of Industry and Information and most recently amended by the Ministry of Industry and Information Technology on June 6, 2019, categorize various types of telecommunications and telecommunications-related activities into basic or value-added telecommunications services. Under the PRC Telecommunications Regulation, commercial operators of value-added telecommunications services must first obtain a Value-added Telecommunication License from the Ministry of Industry and Information or its provincial level counterparts. In 2017, the Ministry of Industry and Information Technology promulgated the latest Administrative Measures on Telecommunications Business Operating Permit, which set forth more specific provisions regarding the different types of Value-added Telecommunication Licenses required to operate different value-added telecommunications services, the qualifications and procedures for obtaining such different types of Value-added Telecommunication Licenses. Pursuant to the Administrative Measures on Internet Information Services, promulgated on September 25, 2000 and amended on December 6, 2024 by the State Council, commercial internet information services providers, which refer to providers of information or services to internet users with charge through internet, must obtain a Value-added Telecommunication License with the business scope of internet information services, namely the Internet Content Provider License, from competent regulatory authorities before providing any commercial internet content services within China. Pursuant to the Announcement on Launching the Pilot Program of Expanding the Opening-up in Value-added Telecommunications Services, promulgated on April 8, 2024 by the Ministry of Industry and Information Technology, the Pilot Program shall be initially launched in the Comprehensive Demonstration Zone for Expanding Opening-up in the Services Sector in Beijing, the Lingang Special Area of China (Shanghai) Free Trade Zone for Leading Socialist Modernization, the Hainan Free Trade Port, and the Pilot Demonstration Area of Socialism with Chinese Characteristics in Shenzhen. In the approved pilot areas, the restrictions on foreign shareholding percentages for the following value-added telecommunications services shall be lifted: Internet data centers (IDC), content distribution networks (CDN), Internet access services (ISP), online data processing and transaction processing, information release platforms and delivery services (excluding Internet news information, online publishing, online audio-visual services, and Internet-based cultural businesses) within information services, and information protection and processing services. </w:t>
      </w:r>
    </w:p>
    <w:p>
      <w:pPr>
        <w:pStyle w:val="TextBody"/>
        <w:bidi w:val="0"/>
        <w:spacing w:before="240" w:after="0"/>
        <w:jc w:val="left"/>
        <w:rPr>
          <w:rFonts w:ascii="Times New Roman" w:hAnsi="Times New Roman"/>
          <w:sz w:val="20"/>
        </w:rPr>
      </w:pPr>
      <w:r>
        <w:rPr>
          <w:rFonts w:ascii="Times New Roman" w:hAnsi="Times New Roman"/>
          <w:sz w:val="20"/>
          <w:u w:val="single"/>
        </w:rPr>
        <w:t>Record-filing for Provision of Online Trading Platform Services for Distribution of Publications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Under the latest Administrative Provisions for the Publication Market, which were jointly promulgated by the National Radio and Television Administration and the Ministry of Commerce on May 31, 2016, and became effective on June 1, 2016, an online trading platform that provides services for the distribution of publications must complete record-filing formalities with the competent publication administrative authority. </w:t>
      </w:r>
    </w:p>
    <w:p>
      <w:pPr>
        <w:pStyle w:val="TextBody"/>
        <w:bidi w:val="0"/>
        <w:spacing w:before="240" w:after="0"/>
        <w:jc w:val="left"/>
        <w:rPr>
          <w:rFonts w:ascii="Times New Roman" w:hAnsi="Times New Roman"/>
          <w:sz w:val="20"/>
        </w:rPr>
      </w:pPr>
      <w:r>
        <w:rPr>
          <w:rFonts w:ascii="Times New Roman" w:hAnsi="Times New Roman"/>
          <w:sz w:val="20"/>
          <w:u w:val="single"/>
        </w:rPr>
        <w:t>Food Operating Permit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China has adopted a licensing system for food supply operations under the Food Safety Law, which was adopted on February 28, 2009 and most recently amended on April 29, 2021, and its implementation rules. Entities or individuals that intend to engage in food production, food distribution, or food service businesses must obtain licenses or permits for such businesses. On June 15, 2023, the SAMR issued the Administrative Measures for Food Operation Licensing and Filing, which was effective as of December 1, 2023. The Administrative Measures for Food Operation Licensing and Filing requires an enterprise engaging in food operating business to obtain a Food Operating Permit. </w:t>
      </w:r>
    </w:p>
    <w:p>
      <w:pPr>
        <w:pStyle w:val="TextBody"/>
        <w:bidi w:val="0"/>
        <w:spacing w:before="240" w:after="0"/>
        <w:jc w:val="left"/>
        <w:rPr>
          <w:rFonts w:ascii="Times New Roman" w:hAnsi="Times New Roman"/>
          <w:sz w:val="20"/>
        </w:rPr>
      </w:pPr>
      <w:r>
        <w:rPr>
          <w:rFonts w:ascii="Times New Roman" w:hAnsi="Times New Roman"/>
          <w:sz w:val="20"/>
          <w:u w:val="single"/>
        </w:rPr>
        <w:t>Record-filing by Third-party Platform Providers for Online Food Trading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July 13, 2016, the China Food and Drug Administration promulgated the Measures for Investigation and Handling of Illegal Acts Involving Online Food Safety, which were further amended by the SAMR on April 2, 2021 and on March 18, 2025, pursuant to which a third-party platform provider for online food trading in China must file a record with the competent office of the SAMR at the provincial level and obtain a filing number. </w:t>
      </w:r>
    </w:p>
    <w:p>
      <w:pPr>
        <w:pStyle w:val="TextBody"/>
        <w:bidi w:val="0"/>
        <w:spacing w:before="240" w:after="0"/>
        <w:jc w:val="left"/>
        <w:rPr>
          <w:rFonts w:ascii="Times New Roman" w:hAnsi="Times New Roman"/>
          <w:sz w:val="20"/>
        </w:rPr>
      </w:pPr>
      <w:r>
        <w:rPr>
          <w:rFonts w:ascii="Times New Roman" w:hAnsi="Times New Roman"/>
          <w:sz w:val="20"/>
          <w:u w:val="single"/>
        </w:rPr>
        <w:t>Record-filing for Operation of Medical Devices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Regulations on Supervision and Administration of Medical Devices which were issued by the State Council in 2000 and further amended in March 2014, May 2017, February 2021, and December 2024, medical devices are divided into three types based on their risk levels. On July 30, 2014, the China Food and Drug Administration promulgated the Measures on the Supervision and Administration of the Business Operations of Medical Devices, which became effective on October 1, 2014 and were amended on November 17, 2017 and March 10, 2022. Pursuant to the Regulations on Supervision and Administration of Medical Devices and the Measures on the Supervision and Administration of the Business Operations of Medical Devices, any entities that engage in the business operation of Type II medical devices must file a record with the local department responsible for the drug supervision and administration.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Furthermore, according to the Measures for the Administration and Supervision of Online Sales of Medical Devices, which were promulgated by the China Food and Drug Administration on December 20, 2017 and became effective on March 1, 2018, enterprises engaged in online sales of medical devices must be medical device operation enterprises that have obtained medical device operation licenses or record-filings and must fill in the table of information of online sales of medical devices and file the information with the competent food and drug administration. </w:t>
      </w:r>
    </w:p>
    <w:p>
      <w:pPr>
        <w:pStyle w:val="TextBody"/>
        <w:bidi w:val="0"/>
        <w:spacing w:before="240" w:after="0"/>
        <w:jc w:val="left"/>
        <w:rPr>
          <w:rFonts w:ascii="Times New Roman" w:hAnsi="Times New Roman"/>
          <w:sz w:val="20"/>
        </w:rPr>
      </w:pPr>
      <w:r>
        <w:rPr>
          <w:rFonts w:ascii="Times New Roman" w:hAnsi="Times New Roman"/>
          <w:sz w:val="20"/>
          <w:u w:val="single"/>
        </w:rPr>
        <w:t>Record-filing by Third-party Platforms Providers for Medical Device Online Trading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Measures for the Administration and Supervision of Online Sales of Medical Devices, a provider of a third-party platform for online trading services for medical devices must obtain the Internet Drug Information Service Qualification Certificate and must complete filing procedures with the competent provincial food and drug administrative department. </w:t>
      </w:r>
    </w:p>
    <w:p>
      <w:pPr>
        <w:pStyle w:val="TextBody"/>
        <w:bidi w:val="0"/>
        <w:spacing w:before="240" w:after="0"/>
        <w:jc w:val="left"/>
        <w:rPr>
          <w:rFonts w:ascii="Times New Roman" w:hAnsi="Times New Roman"/>
          <w:sz w:val="20"/>
        </w:rPr>
      </w:pPr>
      <w:r>
        <w:rPr>
          <w:rFonts w:ascii="Times New Roman" w:hAnsi="Times New Roman"/>
          <w:sz w:val="20"/>
          <w:u w:val="single"/>
        </w:rPr>
        <w:t>Internet Drug Information Service Qualification Certificate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Administrative Measures on Internet Drug Information Service which were promulgated by the China Food and Drug Administration on July 8, 2004 and most recently amended on November 17, 2017, an internet information service operator that provides information regarding drugs (including medical equipment) must obtain an Internet Drug Information Service Qualification Certificate from the competent food and drug administration. </w:t>
      </w:r>
    </w:p>
    <w:p>
      <w:pPr>
        <w:pStyle w:val="TextBody"/>
        <w:bidi w:val="0"/>
        <w:spacing w:before="240" w:after="0"/>
        <w:jc w:val="left"/>
        <w:rPr>
          <w:rFonts w:ascii="Times New Roman" w:hAnsi="Times New Roman"/>
          <w:sz w:val="20"/>
        </w:rPr>
      </w:pPr>
      <w:r>
        <w:rPr>
          <w:rFonts w:ascii="Times New Roman" w:hAnsi="Times New Roman"/>
          <w:sz w:val="20"/>
          <w:u w:val="single"/>
        </w:rPr>
        <w:t>Payment Business License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July 9, 2024, the People’s Bank of China issued the Implementation Rules for the Regulations on the Supervision and Management of Non-Bank Payment Institutions. Under these rules, a non-financial institution must obtain a Payment Business License to provide payment services and qualifies as a paying institution. With the Payment Business License, a non-financial institution may serve as an intermediary between payees and payers and provide some or all of the following services: online payment, issuance and acceptance of prepaid card, bank card acceptance, and other payment services as specified by the People’s Bank of China. </w:t>
      </w:r>
    </w:p>
    <w:p>
      <w:pPr>
        <w:pStyle w:val="TextBody"/>
        <w:bidi w:val="0"/>
        <w:spacing w:before="240" w:after="0"/>
        <w:jc w:val="left"/>
        <w:rPr>
          <w:rFonts w:ascii="Times New Roman" w:hAnsi="Times New Roman"/>
          <w:sz w:val="20"/>
        </w:rPr>
      </w:pPr>
      <w:r>
        <w:rPr>
          <w:rFonts w:ascii="Times New Roman" w:hAnsi="Times New Roman"/>
          <w:sz w:val="20"/>
          <w:u w:val="single"/>
        </w:rPr>
        <w:t>Registration and Record-filing of E-commerce Livestream Platform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Notice of National Radio and Television Administration on Strengthening the Administration of Livestream Shows and E-commerce Livestream promulgated by the State Administration of Radio and Television on November 12, 2020, platforms providing live streaming services for online shows and e-commerce activities should effectively implement their responsibilities as subjects, strive to improve various management systems, responsibility systems, content security systems, and human resources and material allocation for webcast services, actively participate in the development of industry ethics and industry self-discipline, so as to jointly promote the standardized, orderly, and sound development of live streaming of online shows and e-commerce activities. The aforesaid platforms should register and file the information of business operators and business development information in the Information Management System for National Online Audio-visual Platforms by November 30, 2020. As of the date of this annual report, we have submitted an application for the record-filing in the Information Management System for National Online Audio-visual Platforms for the live streaming service we offered to brands and the application is currently under review by the competent authorities. </w:t>
      </w:r>
    </w:p>
    <w:p>
      <w:pPr>
        <w:pStyle w:val="TextBody"/>
        <w:bidi w:val="0"/>
        <w:spacing w:before="240" w:after="0"/>
        <w:jc w:val="left"/>
        <w:rPr>
          <w:rFonts w:ascii="Times New Roman" w:hAnsi="Times New Roman"/>
          <w:sz w:val="20"/>
        </w:rPr>
      </w:pPr>
      <w:r>
        <w:rPr>
          <w:rFonts w:ascii="Times New Roman" w:hAnsi="Times New Roman"/>
          <w:sz w:val="20"/>
          <w:u w:val="single"/>
        </w:rPr>
        <w:t>Permits for Spreading Audio-video Program via Information Network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December 20, 2007, the Ministry of Industry and Information Technology and the National Radio and Television Administration jointly issued the Administrative Provisions on the Internet Audio-video Program Service, which came into effect on January 31, 2008 and were amended on August 28, 2015. These administrative provisions define “internet audio-video program services” as activities of producing, editing, and integrating audio-video programs, supplying audio-video programs to the general public via the internet, and providing audio-video programs uploading and transmission services to other people. Entities providing internet audio-video programs services must obtain Permits for Spreading Audio-video Program via Information Network. Applicants for the Permits for Spreading Audio-video Program must be state-owned or state-controlled entities unless the Permits for Spreading Audio-video Program have been obtained prior to the effectiveness of the Administrative Provisions on the Internet Audio-video Program Service in accordance with the then-in-effect laws and regulations. In addition, according to the 2024 Negative List, foreign-invested enterprises are not allowed to engage in the internet audio-video program services. According to the Administrative Provisions on the Internet Audio-video Program Service and other laws and regulations, audio-video programs provided by the entities supplying internet audio-video program services should not contain any illegal content or other content prohibited by the laws and regulations, such as any content against the basic principles in the PRC Constitution, any content that jeopardizes the sovereignty of the country or national security, and any content that disturbs social order or undermines social stability. A full copy of any audio-video program that has already been broadcasted must be retained for at least 60 days. Movies, television programs, and other media content used as internet audio-video program services must comply with applicable administrative regulations on radio, movie, and television programs. Internet audio-video program service providers must immediately remove the audio-video programs violating laws and regulations, keep the records, report to the authorities, and implement other regulatory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Categories of the Internet Audio-video Program Services (for Trial Implementation) promulgated by the National Radio and Television Administration on March 17, 2010 and amended on March 10, 2017, classify internet audio-video programs into four categories: (I) Category I, internet audio-video program service in the form of radio station or television station; (II) Category II, internet audio-video program service, including (a) re-broadcasting service of current political audio-video news programs; (b) hosting, interviewing, reporting, and commenting service of arts, entertainment, technology, finance and economics, sports, education, and other specialized audio-video programs; (c) producing (interviewing not included) and broadcasting service of arts, entertainment, technology, finance and economics, sports, education, and other specialized audio-video programs; (d) producing and broadcasting service of internet films/dramas; (e) aggregating and broadcasting service of audio-video programs such as films, television dramas, and cartoons; (f) aggregating and broadcasting service of arts, entertainment, technology, finance and economics, sports, education, and other specialized audio-video programs; and (g) live audio-video broadcasting service of cultural activities of common social organizations, sport events, or other organization activities; (III) Category III, internet audio-video program service, including (a) aggregating service of online audio-video content, and (b) re-broadcasting service of the audio-video programs uploaded by internet users; and (IV) Category IV, internet audio-video program service, including (a) re-broadcasting service of the radio or television program channels; (b) re-broadcasting service of internet audio-video program channels; and (c) re-broadcasting service of online live audio- video program. </w:t>
      </w:r>
    </w:p>
    <w:p>
      <w:pPr>
        <w:pStyle w:val="TextBody"/>
        <w:bidi w:val="0"/>
        <w:spacing w:before="240" w:after="0"/>
        <w:jc w:val="left"/>
        <w:rPr>
          <w:rFonts w:ascii="Times New Roman" w:hAnsi="Times New Roman"/>
          <w:sz w:val="20"/>
        </w:rPr>
      </w:pPr>
      <w:r>
        <w:rPr>
          <w:rFonts w:ascii="Times New Roman" w:hAnsi="Times New Roman"/>
          <w:sz w:val="20"/>
          <w:u w:val="single"/>
        </w:rPr>
        <w:t>Network Cultural Business License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Interim Administrative Provisions on Internet Culture, which was issued by the Ministry of Culture on May 10, 2003 and most recently amended on December 15, 2017, the enterprises engaged in operational internet culture activities must obtain the Network Cultural Business License. Operational internet culture activities mean the activities of providing internet culture products and services to obtain benefits by charging fees from users accessing the internet or by electronic commerce, advertisement, and financial supports, among others, for the purpose of making profits. </w:t>
      </w:r>
    </w:p>
    <w:p>
      <w:pPr>
        <w:pStyle w:val="TextBody"/>
        <w:bidi w:val="0"/>
        <w:spacing w:before="240" w:after="0"/>
        <w:jc w:val="left"/>
        <w:rPr>
          <w:rFonts w:ascii="Times New Roman" w:hAnsi="Times New Roman"/>
          <w:sz w:val="20"/>
        </w:rPr>
      </w:pPr>
      <w:r>
        <w:rPr>
          <w:rFonts w:ascii="Times New Roman" w:hAnsi="Times New Roman"/>
          <w:sz w:val="20"/>
          <w:u w:val="single"/>
        </w:rPr>
        <w:t>Record-filing of Issuers of Single-purpose Commercial Prepaid Cards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September 21, 2012, the Ministry of Commerce issued the Administrative Measures on Single-purpose Commercial Prepaid Cards (Tentative), which came into effect on November 1, 2012 and were amended on August 18, 2016. Under these measures, among other things and subject to implementing rules adopted by the local branch of the Ministry of Commerce, the issuer of single-purpose commercial prepaid cards, which are defined as the prepaid cards that can only be redeemed by the card issuer, the group companies under the same ultimate control of the card issuer, or the franchise entities under one single brand which is the same as the card issuer, must (i) complete the record-filing procedures with the Ministry of Commerce or its local branches within 30 days after it starts offering such single-purpose commercial prepaid cards, and (ii) adopt sufficient measures to control risks, by means of controlling the total balance of the single-purpose commercial prepaid cards and providing advance deposit, guarantee insurance, bank guarantee, or other types of commercial guarantee as required. </w:t>
      </w:r>
    </w:p>
    <w:p>
      <w:pPr>
        <w:pStyle w:val="TextBody"/>
        <w:bidi w:val="0"/>
        <w:spacing w:before="240" w:after="0"/>
        <w:jc w:val="left"/>
        <w:rPr>
          <w:rFonts w:ascii="Times New Roman" w:hAnsi="Times New Roman"/>
          <w:sz w:val="20"/>
        </w:rPr>
      </w:pPr>
      <w:r>
        <w:rPr>
          <w:rFonts w:ascii="Times New Roman" w:hAnsi="Times New Roman"/>
          <w:sz w:val="20"/>
          <w:u w:val="single"/>
        </w:rPr>
        <w:t>Record-filing and Registration of Foreign Trade Operators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then effective PRC Foreign Trade Law promulgated by the Standing Committee of the National People’s Congress on May 12, 1994 and amended on April 6, 2004, November 7, 2016 and December 30, 2022, and the Measures for Record-filing and Registration of Foreign Trade Business Operators promulgated by the Ministry of Commerce on June 25, 2004 and most recently amended on May 10, 2021, foreign trade business operators engaging in import or export of goods must go through record-filing and registration formalities with the Ministry of Commerce or authorities entrusted by the Ministry of Commerce, unless otherwise stipulated by laws, administrative regulations, and the Ministry of Commerce. On December 30, 2022, the Standing Committee of the National People’s Congress released the Decision of the Standing Committee of the National People’s Congress on Revising the PRC Foreign Trade Law, which removes the record-filing and registration requirements for foreign trade business operators. However, the Measures for Record-filing and Registration of Foreign Trade Business Operators promulgated by the Ministry of Commerce have not been revised and the record-filing and registration requirements for foreign trade business operators thereunder have not been canceled.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Record-filing of a Customs Declaration Entity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Administrative Provisions of the Customs of the People’s Republic of China on the Registration of Customs Declaration Entities promulgated by the General Administration of Customs on March 13, 2014 and most recently amended on May 29, 2018, in completing customs declaration formalities, any customs declaration entity must go through the application registration formalities with the Customs in accordance with the provisions, unless otherwise required by the laws, administrative regulations or rules of the Customs. The Administrative Provisions of the Customs of the People’s Republic of China on the Registration of Customs Declaration Entities was replaced by the Administrative Provisions of the Customs of the People’s Republic of China on Record-filing of Customs Declaration Entities, which were promulgated by the General Administration of Customs on November 19, 2021 and came into effect on January 1, 2022. Pursuant to the Administrative Provisions of the Customs of the People’s Republic of China on Record-filing of Customs Declaration Entities, in order to conduct customs declaration business in China, customs declaration entities must go through the record-filing formalities with the Customs in accordance with such provisions and the record-filing of customs declaration entities will remain valid permanently unless revoked. </w:t>
      </w:r>
    </w:p>
    <w:p>
      <w:pPr>
        <w:pStyle w:val="TextBody"/>
        <w:bidi w:val="0"/>
        <w:spacing w:before="240" w:after="0"/>
        <w:jc w:val="left"/>
        <w:rPr>
          <w:rFonts w:ascii="Times New Roman" w:hAnsi="Times New Roman"/>
          <w:sz w:val="20"/>
        </w:rPr>
      </w:pPr>
      <w:r>
        <w:rPr>
          <w:rFonts w:ascii="Times New Roman" w:hAnsi="Times New Roman"/>
          <w:sz w:val="20"/>
          <w:u w:val="single"/>
        </w:rPr>
        <w:t>Record-filing with the Immigration Inspection and Quarantine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Law on Import and Export Commodity Inspection promulgated by the Standing Committee of the National People’s Congress on February 21, 1989 and most recently amended on April 29, 2021, and the Implementing Regulations of the Law on Import and Export Commodity Inspection promulgated by the State Council on August 31, 2005 and most recently amended on March 29, 2022, the consignees or the consignors of imported and exported commodities may complete declaration formalities for inspection on its own or entrust a declaration agent enterprise to complete declaration formalities for inspection and must complete filing formalities with the immigration inspection and quarantine agency in accordance with the law. </w:t>
      </w:r>
    </w:p>
    <w:p>
      <w:pPr>
        <w:pStyle w:val="TextBody"/>
        <w:bidi w:val="0"/>
        <w:spacing w:before="240" w:after="0"/>
        <w:jc w:val="left"/>
        <w:rPr>
          <w:rFonts w:ascii="Times New Roman" w:hAnsi="Times New Roman"/>
          <w:sz w:val="20"/>
        </w:rPr>
      </w:pPr>
      <w:r>
        <w:rPr>
          <w:rFonts w:ascii="Times New Roman" w:hAnsi="Times New Roman"/>
          <w:sz w:val="20"/>
          <w:u w:val="single"/>
        </w:rPr>
        <w:t>Record-filing of Internet Information Service Algorithm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December 31, 2021, the CAC, the Ministry of Industry and Information Technology, the Ministry of Public Security, and the SAMR jointly issued the Administrative Provisions on Algorithm Recommendation of Internet Information Services, which became effective on March 1, 2022. These administrative provisions stipulate that algorithm recommendation service provider with public opinion attribute or social mobilization ability must, within ten working days from the date of provision of services, fill in information such as the service provider’s name, service form, application field, algorithm type, algorithm assessment report, and content to be disclosed via the internet information service algorithm record-filing system to go through record-filing formalities. </w:t>
      </w:r>
    </w:p>
    <w:p>
      <w:pPr>
        <w:pStyle w:val="TextBody"/>
        <w:bidi w:val="0"/>
        <w:spacing w:before="240" w:after="0"/>
        <w:jc w:val="left"/>
        <w:rPr>
          <w:rFonts w:ascii="Times New Roman" w:hAnsi="Times New Roman"/>
          <w:sz w:val="20"/>
        </w:rPr>
      </w:pPr>
      <w:r>
        <w:rPr>
          <w:rFonts w:ascii="Times New Roman" w:hAnsi="Times New Roman"/>
          <w:sz w:val="20"/>
          <w:u w:val="single"/>
        </w:rPr>
        <w:t>Record-filing of Mobile Internet Applications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July 21, 2023, the Ministry of Industry and Information Technology issued the Notice on the Record-filing of Mobile Internet Applications, which requires any mobile application sponsor that engages in internet information services in China to go through the record-filing formalities in accordance with the Law of the People’s Republic of China Against Telecommunications and Internet Frauds, the Administrative Measures on Internet Information Services, and other regulations. Any mobile application sponsor that fails to complete the record-filing formalities should not engage in internet information services through mobile apps.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Regulations Relating to Information Security </w:t>
      </w:r>
    </w:p>
    <w:p>
      <w:pPr>
        <w:pStyle w:val="TextBody"/>
        <w:bidi w:val="0"/>
        <w:spacing w:before="120" w:after="0"/>
        <w:jc w:val="left"/>
        <w:rPr>
          <w:rFonts w:ascii="Times New Roman" w:hAnsi="Times New Roman"/>
          <w:sz w:val="20"/>
        </w:rPr>
      </w:pPr>
      <w:r>
        <w:rPr>
          <w:rFonts w:ascii="Times New Roman" w:hAnsi="Times New Roman"/>
          <w:sz w:val="20"/>
        </w:rPr>
        <w:t xml:space="preserve">The Decision Regarding the Safeguarding of Internet Security, enacted by the Standing Committee of the National People’s Congress on December 28, 2000, and amended with immediate effect on August 27, 2009, specifies that certain types of acts conducted through the internet are subject to criminal liabilities if such acts constitute criminal offense, including but not limited to: (i) gaining improper entry into a computer information system relating to state affairs, national defense, or cutting-edge science and technology; (ii) disseminating harmful information, inciting secession, or sabotaging national unity; (iii) stealing or leaking state secrets, intelligence, or military secrets; (iv) undermining the commercial goodwill and product reputation of other people; or (v) infringing intellectual property rights of other people.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Measures for the Security Protection of International Connections to Computer Information Network, issued by the Ministry of Public Security on December 16, 1997, and amended on January 8, 2011, prohibit use of the internet to harm the national security, divulge state secrets, infringe on legal rights and interests of the state, society, or citizens, or engage in any illegal or criminal activities. Any inter-connected organizations, node network organizations, legal persons, and other organizations which use international connections to computer information networks must go through the filing procedures with the authorities within thirty days of the official connection of the network. </w:t>
      </w:r>
    </w:p>
    <w:p>
      <w:pPr>
        <w:pStyle w:val="TextBody"/>
        <w:bidi w:val="0"/>
        <w:spacing w:before="240" w:after="0"/>
        <w:jc w:val="left"/>
        <w:rPr>
          <w:rFonts w:ascii="Times New Roman" w:hAnsi="Times New Roman"/>
          <w:sz w:val="20"/>
        </w:rPr>
      </w:pPr>
      <w:r>
        <w:rPr>
          <w:rFonts w:ascii="Times New Roman" w:hAnsi="Times New Roman"/>
          <w:sz w:val="20"/>
        </w:rPr>
        <w:t xml:space="preserve">On July 1, 2015, the Standing Committee of the National People’s Congress promulgated the PRC National Security Law, which came into effect on the same day. This law provides that the state must safeguard the sovereignty, security, and development interests of cyberspace in the state, and that the state must establish a national security review and supervision system to review, among other things, foreign investment, specific items and key technologies, network information technology products and services, and other important activities that impact or are likely to impact the national security of China. </w:t>
      </w:r>
    </w:p>
    <w:p>
      <w:pPr>
        <w:pStyle w:val="TextBody"/>
        <w:bidi w:val="0"/>
        <w:spacing w:before="240" w:after="0"/>
        <w:jc w:val="left"/>
        <w:rPr>
          <w:rFonts w:ascii="Times New Roman" w:hAnsi="Times New Roman"/>
          <w:sz w:val="20"/>
        </w:rPr>
      </w:pPr>
      <w:r>
        <w:rPr>
          <w:rFonts w:ascii="Times New Roman" w:hAnsi="Times New Roman"/>
          <w:sz w:val="20"/>
        </w:rPr>
        <w:t xml:space="preserve">In November 2016, the Standing Committee of the National People’s Congress promulgated the Cybersecurity Law, which came into effect on June 1, 2017. In accordance with the Cybersecurity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regulations, and mandatory requirements to safeguard the operation of networks, respond to network security effectively, prevent illegal and criminal activities, and maintain the integrity, confidentiality, and usability of network data. Pursuant to the Notice on Seeking Public Comments on the Decision to Amend the PRC Cybersecurity Law (Draft for Comments) issued by the CAC on September 14, 2022, the violations of the Cybersecurity Law might be subject to more severe punishment if this draft decision is implemented in its current form. Specifically, the draft decision proposed to enhance the punishment against violations of the network operation security obligation, the critical information infrastructure operation security obligation, and the network information security obligation by increasing the upper limits of the fines and imposing additional punishment. The draft decision also proposed to enhance the punishment against personal information infringement by referencing to the punishment under applicable laws, including the one under the Personal Information Protection Law. </w:t>
      </w:r>
    </w:p>
    <w:p>
      <w:pPr>
        <w:pStyle w:val="TextBody"/>
        <w:bidi w:val="0"/>
        <w:spacing w:before="240" w:after="0"/>
        <w:jc w:val="left"/>
        <w:rPr>
          <w:rFonts w:ascii="Times New Roman" w:hAnsi="Times New Roman"/>
          <w:sz w:val="20"/>
        </w:rPr>
      </w:pPr>
      <w:r>
        <w:rPr>
          <w:rFonts w:ascii="Times New Roman" w:hAnsi="Times New Roman"/>
          <w:sz w:val="20"/>
        </w:rPr>
        <w:t xml:space="preserve">On December 28, 2021, the CAC and other PRC authorities promulgated the Cybersecurity Review Measures, which came into effect on February 15, 2022, and further restate and expand the applicable scope of the cybersecurity review in effect. Pursuant to the Cybersecurity Review Measures, critical information infrastructure operators that procure internet products and services, and network platform operators engaging in data processing activities must be subject to the cybersecurity review if their activities affect or may affect national security. The Cybersecurity Review Measures further stipulates that network platform operators holding personal information of over one million users must apply to the Cybersecurity Review Office for a cybersecurity review before an overseas listing. </w:t>
      </w:r>
    </w:p>
    <w:p>
      <w:pPr>
        <w:pStyle w:val="TextBody"/>
        <w:bidi w:val="0"/>
        <w:spacing w:before="240" w:after="0"/>
        <w:jc w:val="left"/>
        <w:rPr>
          <w:rFonts w:ascii="Times New Roman" w:hAnsi="Times New Roman"/>
          <w:sz w:val="20"/>
        </w:rPr>
      </w:pPr>
      <w:r>
        <w:rPr>
          <w:rFonts w:ascii="Times New Roman" w:hAnsi="Times New Roman"/>
          <w:sz w:val="20"/>
        </w:rPr>
        <w:t xml:space="preserve">For the further purposes of regulating data processing activities, safeguarding data security, promoting data development and utilization, protecting the lawful rights and interests of individuals and organizations, and maintaining national sovereignty, security, and development interests, on June 10, 2021, the Standing Committee of the National People’s Congress published the Data Security Law, which came into effect on September 1, 2021. The Data Security Law requires data processing, which includes the collection, storage, use, processing, transmission, provision, publication of data, to be conducted in a legitimate and proper manner. The Data Security Law provides for data security and privacy obligations on entities and individuals carrying out data activities. The Data Security Law also introduces a data classification and hierarchical protection system based on the importance of data in economic and social development, and the degree of harm it may cause to national security, public interests, or legitimate rights and interests of individuals or organizations if such data are tampered with, destroyed, leaked, illegally acquired, or illegally used. The appropriate level of protection measures is required to be taken for each respective category of data. For example, a processor of important data is required to designate the personnel and the management body responsible for data security, carry out risk assessments of its data processing activities, and file the risk assessment reports with the competent authorities. State core data, i.e., data having a bearing on national security, the lifelines of national economy, people’s key livelihood, and major public interests, should be subject to stricter management systems. Moreover, the Data Security Law provides a national security review procedure for those data activities which affect or may affect national security and imposes export restrictions on certain data and information. In addition, the Data Security Law also provides that any organization or individual within the PRC territory should not provide any foreign judicial body and law enforcement body with any data without the approval of the competent PRC governmental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July 6, 2021, certain PRC regulatory authorities issued Opinions on Strictly Cracking Down on Illegal Securities Activities, which, among others, provide for improving the laws and regulations on data security, cross-border data transmission, and confidential information management. These opinions provided that efforts would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 </w:t>
      </w:r>
    </w:p>
    <w:p>
      <w:pPr>
        <w:pStyle w:val="TextBody"/>
        <w:bidi w:val="0"/>
        <w:spacing w:before="240" w:after="0"/>
        <w:jc w:val="left"/>
        <w:rPr>
          <w:rFonts w:ascii="Times New Roman" w:hAnsi="Times New Roman"/>
          <w:sz w:val="20"/>
        </w:rPr>
      </w:pPr>
      <w:r>
        <w:rPr>
          <w:rFonts w:ascii="Times New Roman" w:hAnsi="Times New Roman"/>
          <w:sz w:val="20"/>
        </w:rPr>
        <w:t xml:space="preserve">On September 24, 2024, the State Council of China published the Regulations on Network Data Security Administration, which became effective on January 1, 2025. The Regulations on Network Data Security Administration provides that data processing operators engaging in data processing activities that affect or may affect national security must be subject to network data security review by the relevant cyberspace administration of the PRC. Network data processing activities refers to the collection, retention, use, processing, transmission, provision, disclosure, deletion, and other activities of network data. </w:t>
      </w:r>
    </w:p>
    <w:p>
      <w:pPr>
        <w:pStyle w:val="TextBody"/>
        <w:bidi w:val="0"/>
        <w:spacing w:before="240" w:after="0"/>
        <w:jc w:val="left"/>
        <w:rPr>
          <w:rFonts w:ascii="Times New Roman" w:hAnsi="Times New Roman"/>
          <w:sz w:val="20"/>
        </w:rPr>
      </w:pPr>
      <w:r>
        <w:rPr>
          <w:rFonts w:ascii="Times New Roman" w:hAnsi="Times New Roman"/>
          <w:sz w:val="20"/>
        </w:rPr>
        <w:t xml:space="preserve">On July 30, 2021, the State Council issued the Regulations on Protection of Critical Information Infrastructure. Pursuant to these regulations, critical information infrastructure should mean the important network facilities or information systems of key industries or fields such as public communication and information service, energy, transportation, water conservancy, finance, public services, e-government affairs, and national defense science, technology, and industry, and important network facilities or information systems which may seriously endanger national security, people’s livelihood, and public interest once there occur damage, malfunctioning, or data leakage to them. The Regulations on Protection of Critical Information Infrastructure provide that no individual or organization may carry out any illegal activity of intruding into, interfering with, or sabotaging any critical information infrastructures, or endanger the security of any critical information infrastructures. These regulations also require that critical information infrastructure operators should establish a cybersecurity protection system and accountability system, and that the main responsible person of a critical information infrastructure operator should take full responsibility for the security protection of the critical information infrastructures operated by it. In addition, the administration departments of each important industry and sector should be responsible for formulating the rule of critical information infrastructure determination applicable to their respective industry or sector, and determine the critical information infrastructure operators in their industry or sector. </w:t>
      </w:r>
    </w:p>
    <w:p>
      <w:pPr>
        <w:pStyle w:val="TextBody"/>
        <w:bidi w:val="0"/>
        <w:spacing w:before="240" w:after="0"/>
        <w:jc w:val="left"/>
        <w:rPr>
          <w:rFonts w:ascii="Times New Roman" w:hAnsi="Times New Roman"/>
          <w:sz w:val="20"/>
        </w:rPr>
      </w:pPr>
      <w:r>
        <w:rPr>
          <w:rFonts w:ascii="Times New Roman" w:hAnsi="Times New Roman"/>
          <w:sz w:val="20"/>
        </w:rPr>
        <w:t xml:space="preserve">On July 12, 2021, the Ministry of Industry and Information Technology and two other authorities jointly issued the Provisions on the Administration of Security Vulnerabilities of Network Products. These provisions state that, no organization or individual may abuse the security vulnerabilities of network products to engage in activities that endanger network security, or to illegally collect, sell, or publish the information on such security vulnerabilities. Anyone who is aware of the aforesaid offences should not provide technical support, advertising, payment settlement, and other assistance to the offenders. According to the Provisions on the Administration of Security Vulnerabilities of Network Products, network product providers, network operators, and platforms collecting network product security vulnerabilities should establish and improve channels for receiving network product security vulnerability information and keep such channels available, and retain network product security vulnerability information reception logs for at least six months. These provisions also ban provision of undisclosed vulnerabilities to overseas organizations or individuals other than to the product providers. </w:t>
      </w:r>
    </w:p>
    <w:p>
      <w:pPr>
        <w:pStyle w:val="TextBody"/>
        <w:bidi w:val="0"/>
        <w:spacing w:before="240" w:after="0"/>
        <w:jc w:val="left"/>
        <w:rPr>
          <w:rFonts w:ascii="Times New Roman" w:hAnsi="Times New Roman"/>
          <w:sz w:val="20"/>
        </w:rPr>
      </w:pPr>
      <w:r>
        <w:rPr>
          <w:rFonts w:ascii="Times New Roman" w:hAnsi="Times New Roman"/>
          <w:sz w:val="20"/>
        </w:rPr>
        <w:t xml:space="preserve">On October 29, 2021, the CAC issued the Measures for the Security Assessment of Cross-border Data Transfer (Draft for Comments), and then on July 7, 2022, the CAC officially issued the Measures for the Security Assessment of Cross-border Data Transfer, which became effective on September 1, 2022. These measures apply to the security assessment conducted by data processors where they provide overseas parties with important data and personal information collected and generated during the operation in China. Based on the these measures, data processors must apply for the security assessment of data cross-border transfer to the national cyberspace administration through the provincial cyberspace administration in the place where they operate if they provide data outside China under any of the following circumstances: (i) outbound transfer of important data by a data processor; (ii) outbound transfer of personal information by a critical information infrastructure operator or a personal information processor who has processed the personal information of more than one million people; (iii) outbound transfer of personal information by a personal information processor who has made outbound transfers of the personal information of 100,000 people cumulatively or the sensitive personal information of 10,000 people cumulatively since January 1 of the previous year; and (iv) other circumstances where an application for the security assessment of an outbound data transfer is required as prescribed by the national cyberspace administration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March 22, 2024, the CAC issued the Provisions on Promoting and Regulating Cross-Border Data Flows, establishing a multi-tiered approach for cross-border data provisions. Depending on the types of data operators and the nature and amount of data involved, different approaches may apply, which may require the data processors to undergo data export security assessments, enter into standard contractual clauses, or obtain personal information protection certifications. For example, the following data processors must undergo data export security assessments for their provision of information to overseas recipients: (i) where a critical information infrastructure operator provides personal information or important data to overseas recipients, and (ii) where data operators other than the critical information infrastructure operators provide important data to overseas recipients, or where data operators other than the critical information infrastructure operators cumulatively provide personal information (excluding sensitive personal information) of more than one million individuals or cumulatively provide sensitive personal information of more than ten thousand individuals since January 1 of a given year. The Provisions on Promoting and Regulating Cross-Border Data Flows also provide the circumstances where data processor providing personal information to overseas recipients may be exempted from undergoing data export security assessments, entering into standard contractual clauses, or obtaining personal information protection certifications, which include, among other things, in the event that a data processor other than a critical information infrastructure operator cumulatively provides personal information (excluding sensitive personal information) of not more than 100,000 individuals since January 1 of a given year.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Provisions on Technological Measures for Internet Security Protection, promulgated by the Ministry of Public Security in December 2005 and became effective in March 2006, require all internet service providers to keep records of certain information about its users (including user registration information, log-in and log-out time, IP address, content and time of posts by users) for at least 60 days. In addition, any user registration information should not be publicized or divulged without users’ approval, unless it is otherwise required by laws or regulations. The Decision on Strengthening Network Information Protection, which was promulgated by the National People’s Congress in December 2012, states that internet service providers must request identity information from users when information publication services are provided to the users. If internet service providers come across prohibited information, they must immediately cease the transmission of such information, take disposal measures such as elimination, keep the records, and report to the government authorities. </w:t>
      </w:r>
    </w:p>
    <w:p>
      <w:pPr>
        <w:pStyle w:val="TextBody"/>
        <w:bidi w:val="0"/>
        <w:spacing w:before="240" w:after="0"/>
        <w:jc w:val="left"/>
        <w:rPr>
          <w:rFonts w:ascii="Times New Roman" w:hAnsi="Times New Roman"/>
          <w:sz w:val="20"/>
        </w:rPr>
      </w:pPr>
      <w:r>
        <w:rPr>
          <w:rFonts w:ascii="Times New Roman" w:hAnsi="Times New Roman"/>
          <w:sz w:val="20"/>
        </w:rPr>
        <w:t xml:space="preserve">On October 21, 2019, the Supreme People’s Court and the Supreme People’s Procuratorate jointly issued the Interpretations on Certain Issues Regarding the Applicable of Law in the Handling of Criminal Case Involving Illegal Use of Information Networks and Assisting Committing Internet Crimes, which came into effect on November 1, 2019, and further clarify the meaning of internet service provider and the severe situations of the crimes.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Relating to Internet Privacy </w:t>
      </w:r>
    </w:p>
    <w:p>
      <w:pPr>
        <w:pStyle w:val="TextBody"/>
        <w:bidi w:val="0"/>
        <w:spacing w:before="120" w:after="0"/>
        <w:jc w:val="left"/>
        <w:rPr>
          <w:rFonts w:ascii="Times New Roman" w:hAnsi="Times New Roman"/>
          <w:sz w:val="20"/>
        </w:rPr>
      </w:pPr>
      <w:r>
        <w:rPr>
          <w:rFonts w:ascii="Times New Roman" w:hAnsi="Times New Roman"/>
          <w:sz w:val="20"/>
        </w:rPr>
        <w:t xml:space="preserve">The PRC Constitution states that PRC law protects the freedom and privacy of communications of citizens and prohibits infringement of these rights. In recent years, the PRC government authorities have enacted legislation on the internet use to protect personal information from any unauthorized disclosure. Under the Several Provisions on Regulating the Market Order of Internet Information Services which were promulgated by the Ministry of Industry and Information Technology on December 29, 2011, an internet content provider may not collect any user personal information or provide any such information to third parties without the consent of a user, unless otherwise stipulated by laws and administrative regulations. An internet content provider must expressly inform the users of the method, content, and purpose of the collection and processing of such user personal information and may only collect such information necessary for the provision of its services. An internet content provider is also required to properly keep the user personal information, and in case of any leak or likely leak of the user personal information, the internet content provider must take immediate remedial measures and, in severe circumstances, to make an immediate report to the telecommunication regulatory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the Decision on Strengthening Network Information Protection, which was promulgated by the Standing Committee of the National People’s Congress on December 28, 2012, provides that electronic information that is able to identify personal identities of citizens or is concerned with personal privacy of citizens is protected by law and should not be unlawfully obtained or provided. Internet content providers collecting or using personal electronic information of citizens must specify purposes, manners, and scopes of information collection and use, obtain the consent of citizens concerned, and strictly keep confidential personal information collected. Internet content providers are prohibited from disclosing, tampering with, damaging, selling, or illegally providing others with personal information collected. Technical and other measures are required to be taken by internet content providers to prevent personal information collected from unauthorized disclosure, damage, or being lost. Internet content providers are subject to legal liability, including warnings, fines, confiscation of illegal gains, revocation of licenses or filings, closing of websites concerned, public security administration punishment, criminal liabilities, or civil liabilities, if they violate the provisions on internet privacy. </w:t>
      </w:r>
    </w:p>
    <w:p>
      <w:pPr>
        <w:pStyle w:val="TextBody"/>
        <w:bidi w:val="0"/>
        <w:spacing w:before="240" w:after="0"/>
        <w:jc w:val="left"/>
        <w:rPr>
          <w:rFonts w:ascii="Times New Roman" w:hAnsi="Times New Roman"/>
          <w:sz w:val="20"/>
        </w:rPr>
      </w:pPr>
      <w:r>
        <w:rPr>
          <w:rFonts w:ascii="Times New Roman" w:hAnsi="Times New Roman"/>
          <w:sz w:val="20"/>
        </w:rPr>
        <w:t xml:space="preserve">On February 12, 2025, the CAC published the Administrative Measures for the Compliance Audit of Personal Information Protection, or the Compliance Audit Measures, which will take effect on May 1, 2025. According to the Compliance Audit Measures, compliance audit of personal information protection refers to the supervision activities in which the personal information processing activities of personal information processors are examined and evaluated regarding their compliance with laws and administrative regulations. The Compliance Audit Measures further provides, among other things, that personal information processors that process personal information of more than 10 million individuals shall conduct at least one personal information protection compliance audit every two years.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Order for the Protection of Telecommunication and Internet User Personal Information which was promulgated by the Ministry of Industry and Information Technology on July 16, 2013, any collection and use of users’ personal information must be subject to the consent of the users, abide by the principles of legality, rationality, and necessity, and be within the specified purposes, methods, and scopes. Pursuant to the Ninth Amendment to the PRC Criminal Law which was issued by the Standing Committee of the National People’s Congress on August 29, 2015 and became effective on November 1, 2015, any internet service provider that fails to fulfill obligations to manage information and network security as required by applicable laws and refuses to rectify upon orders from government authorities, will be subject to the criminal penalty if such failure (i) causes dissemination of illegal information in large scale; (ii) causes user information leaks resulting in severe consequences; (iii) causes serious loss of evidence to criminal investigations; or (iv) implicates other severe circumstances. </w:t>
      </w:r>
    </w:p>
    <w:p>
      <w:pPr>
        <w:pStyle w:val="TextBody"/>
        <w:bidi w:val="0"/>
        <w:spacing w:before="240" w:after="0"/>
        <w:jc w:val="left"/>
        <w:rPr>
          <w:rFonts w:ascii="Times New Roman" w:hAnsi="Times New Roman"/>
          <w:sz w:val="20"/>
        </w:rPr>
      </w:pPr>
      <w:r>
        <w:rPr>
          <w:rFonts w:ascii="Times New Roman" w:hAnsi="Times New Roman"/>
          <w:sz w:val="20"/>
        </w:rPr>
        <w:t xml:space="preserve">To further regulate cybersecurity and privacy protection, the PRC Cybersecurity Law which was promulgated by the Standing Committee of the National People’s Congress on November 7, 2016 and came into effect on June 1, 2017, provides that subject to certain exceptions, (i) to collect and use personal information, network operators must follow the principles of legitimacy, rightfulness, and necessity, disclose their rules of data collection and use, clearly express the purposes, means, and scope of collecting and using the information, and obtain the consent of the persons whose data is gathered; (ii) network operators can neither gather personal information unrelated to the services they provide, nor gather or use personal information in violation of the provisions of laws and administrative regulations or the scopes of consent given by the persons whose data is gathered, and must dispose of personal information they have saved in accordance with the provisions of laws and administrative regulations and agreements reached with users; (iii) network operators cannot divulge, tamper with, or damage the personal information they have collected, and cannot provide the personal information to others without the consent of the persons whose data is collected. Pursuant to the Notice on Seeking Public Comments on the Decision to Amend the Cybersecurity Law (Draft for Comments) issued by the CAC on September 14, 2022, the violations of the Cybersecurity Law might be subject to more severe punishment if the draft decision is implemented in its current form. Specifically, the draft decision proposed to enhance the punishment against personal information infringement by referencing to the punishment under applicable laws which would include the one under the Personal Information Protection Law. </w:t>
      </w:r>
    </w:p>
    <w:p>
      <w:pPr>
        <w:pStyle w:val="TextBody"/>
        <w:bidi w:val="0"/>
        <w:spacing w:before="240" w:after="0"/>
        <w:jc w:val="left"/>
        <w:rPr>
          <w:rFonts w:ascii="Times New Roman" w:hAnsi="Times New Roman"/>
          <w:sz w:val="20"/>
        </w:rPr>
      </w:pPr>
      <w:r>
        <w:rPr>
          <w:rFonts w:ascii="Times New Roman" w:hAnsi="Times New Roman"/>
          <w:sz w:val="20"/>
        </w:rPr>
        <w:t xml:space="preserve">On June 28, 2016, the CAC issued the Administrative Provisions on Mobile Internet Applications Information Services (2016), which has been replaced by the Administrative Provisions on Mobile Internet Applications Information Services (2022) effective from August 1, 2022, to further strengthen the regulation of the mobile app information services. Pursuant to these provisions, application providers should process personal information by following the principles of legitimacy, rightfulness, necessity, and good faith, have clear and reasonable purposes, disclose processing rules, comply with the provisions on the scope of necessary personal information, regulate personal information processing activities, and take necessary measures to ensure the security of personal information. Application providers should not, for any reason, force users to consent to personal information processing, or refuse users to use the basic functions and services on the reason that users do not agree to provide unnecessary personal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May 8, 2017, the Supreme People’s Court and the Supreme People’s Procuratorate issued the Interpretations of the Supreme People’s Court and the Supreme People’s Procuratorate on Several Issues Concerning the Application of Law in the Handling of Criminal Cases Involving Infringement of Citizens’ Personal Information, which became effective on June 1, 2017. These interpretations provide more practical conviction and sentencing criteria for the infringement of citizens’ personal information and marks a milestone for the criminal protection of citizens’ personal information. Pursuant to these interpretations and the Notice of the Supreme People’s Court, the Supreme People’s Procuratorate, and the Ministry of Public Security on Legally Punishing Criminal Activities Infringing upon the Personal Information of Citizens, issued on April 23, 2013, the following activities may constitute the crime of infringing upon a citizen’s personal information: (i) providing a citizen’s personal information to specified persons or releasing a citizen’s personal information online or through other methods in violation of the national provisions; (ii) 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On January 23, 2019, the Office of the Central Cyberspace Affairs Commission and other three authorities jointly issued the Circular on the Special Campaign of Correcting Unlawful Collection and Usage of Personal Information via Apps. Pursuant to this circular, (i) app operators are prohibited from collecting any personal information irrelevant to their services; (ii) information collection and usage policy should be presented in a simple and clear way, and such policy should be consented by the users voluntarily, and (iii) authorization from users should not be obtained by coercing users with default or bundling clauses or making consent a condition of service. App operators violating these rules can be ordered by authorities to correct their non-compliance within a given period of time, be publicly reported, or ordered to quit its operation or cancel its business license or operational permits. </w:t>
      </w:r>
    </w:p>
    <w:p>
      <w:pPr>
        <w:pStyle w:val="TextBody"/>
        <w:bidi w:val="0"/>
        <w:spacing w:before="240" w:after="0"/>
        <w:jc w:val="left"/>
        <w:rPr>
          <w:rFonts w:ascii="Times New Roman" w:hAnsi="Times New Roman"/>
          <w:sz w:val="20"/>
        </w:rPr>
      </w:pPr>
      <w:r>
        <w:rPr>
          <w:rFonts w:ascii="Times New Roman" w:hAnsi="Times New Roman"/>
          <w:sz w:val="20"/>
        </w:rPr>
        <w:t xml:space="preserve">On April 10, 2019, the Ministry of Public Security promulgated the Guidelines for Internet Personal Information Security Protection, which establish the management mechanism, security technical measures, and business workflows for personal information security protection. On August 22, 2019, the CAC promulgated the Provisions on the Cyber Protection of Children’s Personal Information which require, among others, that network operators who collect, store, use, transfer, and disclose personal information of children under the age of 14 must establish special rules and user agreements for the protection of children’s personal information, inform the children’s guardians in a noticeable and clear manner, and must obtain the consent of the children’s guardians. </w:t>
      </w:r>
    </w:p>
    <w:p>
      <w:pPr>
        <w:pStyle w:val="TextBody"/>
        <w:bidi w:val="0"/>
        <w:spacing w:before="240" w:after="0"/>
        <w:jc w:val="left"/>
        <w:rPr>
          <w:rFonts w:ascii="Times New Roman" w:hAnsi="Times New Roman"/>
          <w:sz w:val="20"/>
        </w:rPr>
      </w:pPr>
      <w:r>
        <w:rPr>
          <w:rFonts w:ascii="Times New Roman" w:hAnsi="Times New Roman"/>
          <w:sz w:val="20"/>
        </w:rPr>
        <w:t xml:space="preserve">On November 28, 2019, the CAC, the Ministry of Industry and Information Technology, the Ministry of Public Security, and the SAMR jointly promulgated the Measures for the Determination of the Collection and Use of Personal Information by Apps in Violation of Laws and Regulations, which provide guidance for the regulatory authorities to identify the illegal collection and use of personal information through mobile apps, and for the app operators to conduct examination and correction and social supervision by netizens. </w:t>
      </w:r>
    </w:p>
    <w:p>
      <w:pPr>
        <w:pStyle w:val="TextBody"/>
        <w:bidi w:val="0"/>
        <w:spacing w:before="240" w:after="0"/>
        <w:jc w:val="left"/>
        <w:rPr>
          <w:rFonts w:ascii="Times New Roman" w:hAnsi="Times New Roman"/>
          <w:sz w:val="20"/>
        </w:rPr>
      </w:pPr>
      <w:r>
        <w:rPr>
          <w:rFonts w:ascii="Times New Roman" w:hAnsi="Times New Roman"/>
          <w:sz w:val="20"/>
        </w:rPr>
        <w:t xml:space="preserve">On May 28, 2020, the National People’s Congress approved the Civil Code, which came into effect on January 1, 2021. Pursuant to the Civil Code, the personal information of a natural person must be protected by the law. Any organization or individual that needs to obtain personal information of others must obtain such information legally and ensure the safety of such information, and should not illegally collect, use, process, or transmit personal information of others, or illegally purchase or sell, provide, or make public personal information of others. </w:t>
      </w:r>
    </w:p>
    <w:p>
      <w:pPr>
        <w:pStyle w:val="TextBody"/>
        <w:bidi w:val="0"/>
        <w:spacing w:before="240" w:after="0"/>
        <w:jc w:val="left"/>
        <w:rPr>
          <w:rFonts w:ascii="Times New Roman" w:hAnsi="Times New Roman"/>
          <w:sz w:val="20"/>
        </w:rPr>
      </w:pPr>
      <w:r>
        <w:rPr>
          <w:rFonts w:ascii="Times New Roman" w:hAnsi="Times New Roman"/>
          <w:sz w:val="20"/>
        </w:rPr>
        <w:t xml:space="preserve">On August 20, 2021, the Standing Committee of the National People’s Congress promulgated the Personal Information Protection Law, which integrates the scattered rules with respect to personal information rights and privacy protection and came into effect on November 1, 2021. The Personal Information Protection Law requires, among others, that (i) the processing of personal information should have a clear and reasonable purpose which should be directly relating to the processing purpose and should be conducted in a method that has the minimum impact on personal rights and interests, and (ii) the collection of personal information should be limited to the minimum scope as necessary to achieve the processing purpose and avoid the excessive collection of personal information. Personal information processors must adopt necessary measures to safeguard the security of the personal information they handle. The offending entities could be ordered to correct, or to suspend or terminate the provision of services, and face confiscation of illegal income, fines, or other penalties.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6, 2023, the Ministry of Industry and Information Technology promulgated the Circular of the Ministry of Industry and Information Technology on Further Improving Mobile Internet Application Service Capabilities, which reiterates the principles of legality, justification, and necessity. The circular provides that engaging in personal information processing activities must have clear and reasonable purposes, and users must not be compelled to consent to personal information processing beyond the scope or that is irrelevant to the service scenarios, solely for the sake of service experience, product development, algorithmic recommendation, and risk control, among others. When a user refuses to provide personal information that is not necessary for the current services, it must not impact the user’s basic functions of the service.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on Algorithm Recommendations </w:t>
      </w:r>
    </w:p>
    <w:p>
      <w:pPr>
        <w:pStyle w:val="TextBody"/>
        <w:bidi w:val="0"/>
        <w:spacing w:before="120" w:after="0"/>
        <w:jc w:val="left"/>
        <w:rPr>
          <w:rFonts w:ascii="Times New Roman" w:hAnsi="Times New Roman"/>
          <w:sz w:val="20"/>
        </w:rPr>
      </w:pPr>
      <w:r>
        <w:rPr>
          <w:rFonts w:ascii="Times New Roman" w:hAnsi="Times New Roman"/>
          <w:sz w:val="20"/>
        </w:rPr>
        <w:t xml:space="preserve">On September 17, 2021, the CAC and eight other PRC governmental authorities jointly promulgated the Guiding Opinions on Strengthening the Comprehensive Governance of Algorithms Related Internet Information Services, which provide that, among others, enterprises must establish an algorithm security responsibility system and a science and technology ethical review system, improve the algorithm security management organization, strengthen risk prevention and control as well as potential danger investigation and governance, and improve the capacity and level to respond to algorithm security emergencies. Enterprises must also strengthen their sense of responsibility and assume the main responsibility for the results arising from the application of algorithms. </w:t>
      </w:r>
    </w:p>
    <w:p>
      <w:pPr>
        <w:pStyle w:val="TextBody"/>
        <w:bidi w:val="0"/>
        <w:spacing w:before="240" w:after="0"/>
        <w:jc w:val="left"/>
        <w:rPr>
          <w:rFonts w:ascii="Times New Roman" w:hAnsi="Times New Roman"/>
          <w:sz w:val="20"/>
        </w:rPr>
      </w:pPr>
      <w:r>
        <w:rPr>
          <w:rFonts w:ascii="Times New Roman" w:hAnsi="Times New Roman"/>
          <w:sz w:val="20"/>
        </w:rPr>
        <w:t xml:space="preserve">On December 31, 2021, the CAC, the Ministry of Industry and Information Technology, the Ministry of Public Security, and the SAMR jointly issued the Administrative Provisions on Algorithm Recommendation of Internet Information Services, which became effective on March 1, 2022. These administrative provisions stipulate that algorithm recommendation service providers must (i) fulfill their responsibilities for algorithm security, (ii) establish and improve management systems and technical measures for algorithm mechanism examination, scientific and technological ethics review, user-registration, information release review, data security and personal information protection, anti-telecommunications and internet fraud, security assessment and monitoring, and security incidents emergency response, among others, and (iii) formulate and disclose the rules for algorithm recommendation services, and be equipped with professional staff and technical support appropriate to the scale of the algorithm recommendation service. Algorithm recommendation service providers should not take advantage of algorithm recommendation services to (i) engage in any illegal activity which may endanger national security and social public interest, disturb economic and social order, or infringe others’ legitimate rights and interest, or (ii) disseminate any information prohibited by laws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On November 25, 2022, the CAC, the Ministry of Industry and Information Technology, and the Ministry of Public Security jointly issued the Administrative Provisions on the Deep Synthesis of Internet Information Services, which came into effect on January 10, 2023. According to these provisions, no organization or individual may use deep synthesis services to produce, reproduce, release, or disseminate information prohibited by laws and administrative regulations, or to engage in activities that endanger the national security and interests, damage the national image, infringe upon social public interests, disrupt the economic and social order, or undermine the legitimate rights and interests of others. Specifically, the providers of deep synthesis services should, among other things, establish and maintain the management systems for algorithmic mechanism review, data security, and personal information protection. </w:t>
      </w:r>
    </w:p>
    <w:p>
      <w:pPr>
        <w:pStyle w:val="TextBody"/>
        <w:bidi w:val="0"/>
        <w:spacing w:before="240" w:after="0"/>
        <w:jc w:val="left"/>
        <w:rPr>
          <w:rFonts w:ascii="Times New Roman" w:hAnsi="Times New Roman"/>
          <w:sz w:val="20"/>
        </w:rPr>
      </w:pPr>
      <w:r>
        <w:rPr>
          <w:rFonts w:ascii="Times New Roman" w:hAnsi="Times New Roman"/>
          <w:sz w:val="20"/>
        </w:rPr>
        <w:t xml:space="preserve">On July 10, 2023, seven governmental authorities including the CAC published the Provisional Measures on AI-Generated Content Services, or the AIGC Measures, setting compliance standards for generative AI service providers. The AIGC Measures require generative AI service providers to take responsibility for the content they produce in accordance with the law and ensure information security. Besides, providers of generative AI services that influence public opinion or could mobilize society shall undergo security assessments and follow procedures for registering or updating their algorithms as required by applicable regulations. Non-compliance with the AIGC Measures may subject the providers of generative-AI services to penalties, including warning, public denouncement, rectification orders and suspension of the provision of relevant services. On September 24, 2024, the State Council promulgated the Regulations on Network Data Security Administration, which provides that a network data processor that provides generative artificial intelligence services shall strengthen its security management of training data and processing activities of training data and take effective measures to prevent and address network data security risks. </w:t>
      </w:r>
    </w:p>
    <w:p>
      <w:pPr>
        <w:pStyle w:val="TextBody"/>
        <w:bidi w:val="0"/>
        <w:spacing w:before="240" w:after="0"/>
        <w:jc w:val="left"/>
        <w:rPr>
          <w:rFonts w:ascii="Times New Roman" w:hAnsi="Times New Roman"/>
          <w:sz w:val="20"/>
        </w:rPr>
      </w:pPr>
      <w:r>
        <w:rPr>
          <w:rFonts w:ascii="Times New Roman" w:hAnsi="Times New Roman"/>
          <w:sz w:val="20"/>
        </w:rPr>
        <w:t xml:space="preserve">On March 7, 2025, Cyberspace Administration of China, Ministry of Industry and Information Technology, the Ministry of Public Security and the State Administration of Radio and Television jointly promulgated the Measures for Labeling AI-Generated or Composed Content, which applies to the labeling of AI-generated or composed content by Internet information service providers. According to the Measures for Labeling AI-Generated or Composed Content, Internet information service providers shall add explicit labels to content generated or edited by simulating a natural person through intelligent dialogue and writing. Additionally, they are required to include implicit labels in the file metadata of such generated or composed content. The Measures for Labeling AI-Generated or Composed Content will become effective on September 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Regulations Relating to E-commerce </w:t>
      </w:r>
    </w:p>
    <w:p>
      <w:pPr>
        <w:pStyle w:val="TextBody"/>
        <w:bidi w:val="0"/>
        <w:spacing w:before="120" w:after="0"/>
        <w:jc w:val="left"/>
        <w:rPr>
          <w:rFonts w:ascii="Times New Roman" w:hAnsi="Times New Roman"/>
          <w:sz w:val="20"/>
        </w:rPr>
      </w:pPr>
      <w:r>
        <w:rPr>
          <w:rFonts w:ascii="Times New Roman" w:hAnsi="Times New Roman"/>
          <w:sz w:val="20"/>
        </w:rPr>
        <w:t xml:space="preserve">On March 18, 2025, the SAMR promulgated the Measures for the Supervision and Administration of Online Transactions (2025), which will come into effect on May 1, 2025. Under these measures, online transaction operators engaging in business activities should follow the principles of voluntariness, equality, fairness, and good faith, comply with laws, regulations, rules, business ethics, public order, and good morals, participate in market competition fairly, earnestly perform statutory obligations, actively assume subject responsibilities, and accept supervision from all sectors of the society. Online transaction platform operators should require business operators that are applying to sell goods or provide services on their platforms to provide authentic information such as information relating to identity, address, contact, and administrative license, verify and register such information, establish registration files, and verify and update such information at least once every six months. In addition, online transaction platform operators should establish an inspection and monitoring system relating to information of business operators on their platforms and relating to goods and services such business operators advertise. Where an online transaction platform operator identifies any information relating to goods and services on its platforms that is in violation of laws, regulations, or rules on market supervision and administration, damages national or public interests, or is detrimental to public order or good morals, it must take necessary measures to dispose such information in accordance with the law, maintain the records, and report the same to the administration for market regulation. </w:t>
      </w:r>
    </w:p>
    <w:p>
      <w:pPr>
        <w:pStyle w:val="TextBody"/>
        <w:bidi w:val="0"/>
        <w:spacing w:before="240" w:after="0"/>
        <w:jc w:val="left"/>
        <w:rPr>
          <w:rFonts w:ascii="Times New Roman" w:hAnsi="Times New Roman"/>
          <w:sz w:val="20"/>
        </w:rPr>
      </w:pPr>
      <w:r>
        <w:rPr>
          <w:rFonts w:ascii="Times New Roman" w:hAnsi="Times New Roman"/>
          <w:sz w:val="20"/>
        </w:rPr>
        <w:t xml:space="preserve">On March 24, 2016, the State Taxation Administration, the Ministry of Finance, and the General Administration of Customs jointly issued the Circular on Tax Policy for Cross-border E-commerce Retail Imports, which came into effect on April 8, 2016. Pursuant to this circular, goods imported through the cross-border e-commerce retail are subject to the tariff, import value-added tax, and consumption tax based on the types of goods. Individuals purchasing any goods imported through cross-border e-commerce retail are taxpayers, while e-commerce companies, companies operating e-commerce transaction platforms or logistic companies should be the withholding agents regarding such taxes. </w:t>
      </w:r>
    </w:p>
    <w:p>
      <w:pPr>
        <w:pStyle w:val="TextBody"/>
        <w:bidi w:val="0"/>
        <w:spacing w:before="240" w:after="0"/>
        <w:jc w:val="left"/>
        <w:rPr>
          <w:rFonts w:ascii="Times New Roman" w:hAnsi="Times New Roman"/>
          <w:sz w:val="20"/>
        </w:rPr>
      </w:pPr>
      <w:r>
        <w:rPr>
          <w:rFonts w:ascii="Times New Roman" w:hAnsi="Times New Roman"/>
          <w:sz w:val="20"/>
        </w:rPr>
        <w:t xml:space="preserve">To further regulate the e-commerce industry, on August 31, 2018, the Standing Committee of the National People’s Congress promulgated the E-commerce Law, which came into effect on January 1, 2019, providing that e-commerce operators must comply with the principles of voluntariness, equality, fairness, and good faith, abide by laws, observe business ethics, equally participate in market competition, perform obligations regarding the protection of consumers’ rights and interests, environmental protection, intellectual property protection, and the protection of cybersecurity and personal information, take charge of the quality of products and services, and receive the supervision of the government and the general public. For example, an operator of an e-commerce platform must (i) comply with the requirements for the protection of personal safety and property security and the requirements for environmental protection regarding its sales of goods or provisions of services; (ii) disclose information of goods or services fully, truthfully, accurately, and promptly, and protect consumers’ right to know and right to choose; (iii) deliver goods or services to a consumer in accordance with the method and deadline committed or agreed with the consumer, and bear the risks and liability for transportation of goods, except where the consumer separately selects a courier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On June 12, 2019, the State Post Bureau and the Ministry of Commerce promulgated the Guiding Opinions on Regulating the Interconnection and Sharing of Data between Express Delivery and E-commerce Industries, which provide that if e-commerce participants agree to deliver commodities through express delivery, an e-commerce operator will be supported in providing the necessary delivery data to an express delivery service provider through the agreed means of data transmission. The e-commerce platform operator cannot, by restricting the interconnection and sharing of data, hinder the e-commerce participants from freely choosing the express delivery service. When collecting and sharing user information, e-commerce operators and enterprises engaged in express delivery business must abide by the provisions of laws and administrative regulations on information protection, and cannot be used for purposes unrelated to the delivery service they provide. </w:t>
      </w:r>
    </w:p>
    <w:p>
      <w:pPr>
        <w:pStyle w:val="TextBody"/>
        <w:bidi w:val="0"/>
        <w:spacing w:before="240" w:after="0"/>
        <w:jc w:val="left"/>
        <w:rPr>
          <w:rFonts w:ascii="Times New Roman" w:hAnsi="Times New Roman"/>
          <w:sz w:val="20"/>
        </w:rPr>
      </w:pPr>
      <w:r>
        <w:rPr>
          <w:rFonts w:ascii="Times New Roman" w:hAnsi="Times New Roman"/>
          <w:sz w:val="20"/>
        </w:rPr>
        <w:t xml:space="preserve">On March 24, 2025, the SAMR promulgated the Interim Measures for the Administration of Data Submission on Compliance for Online Transactions, which will come into effect on April 25, 2025. Under these measures, platform operators must, on a semi-annual basis, report to the relevant provincial-level market regulation authorities the identity information of all online business operators hosted on their platforms. In particular, for individual sellers operating without a business license, the platform is mandated to identify those whose annual transaction volume exceeds RMB 100,000.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Regulations Relating to Internet Finance </w:t>
      </w:r>
    </w:p>
    <w:p>
      <w:pPr>
        <w:pStyle w:val="TextBody"/>
        <w:bidi w:val="0"/>
        <w:spacing w:before="120" w:after="0"/>
        <w:jc w:val="left"/>
        <w:rPr>
          <w:rFonts w:ascii="Times New Roman" w:hAnsi="Times New Roman"/>
          <w:sz w:val="20"/>
        </w:rPr>
      </w:pPr>
      <w:r>
        <w:rPr>
          <w:rFonts w:ascii="Times New Roman" w:hAnsi="Times New Roman"/>
          <w:sz w:val="20"/>
        </w:rPr>
        <w:t xml:space="preserve">On July 18, 2015, ten PRC governmental authorities jointly issued the Guidance on Promoting the Healthy Development of Internet Finance. This guidance refers to internet finance as a new financial business model in which traditional financial institutions and internet companies provide financing, payment, investment, and information intermediary services by using internet technologies and information and communication technologies. In accordance with this guidance, internet finance is part of the finance sector, and internet finance business operators are still required to comply with the regulations in relation to the provision of each sub-category of specific financial services they provide. </w:t>
      </w:r>
    </w:p>
    <w:p>
      <w:pPr>
        <w:pStyle w:val="TextBody"/>
        <w:bidi w:val="0"/>
        <w:spacing w:before="240" w:after="0"/>
        <w:jc w:val="left"/>
        <w:rPr>
          <w:rFonts w:ascii="Times New Roman" w:hAnsi="Times New Roman"/>
          <w:sz w:val="20"/>
        </w:rPr>
      </w:pPr>
      <w:r>
        <w:rPr>
          <w:rFonts w:ascii="Times New Roman" w:hAnsi="Times New Roman"/>
          <w:sz w:val="20"/>
        </w:rPr>
        <w:t xml:space="preserve">On April 12, 2016, the General Office of the State Council issued the Implementing Proposals for the Special Rectification of Internet Financial Risks. This notice aims to, among others, impose stricter market entry regulation on internet finance, strengthen monitoring of funds, encourage whistleblowers with rewards and enhance penalties for violations, and curb unfair competition. </w:t>
      </w:r>
    </w:p>
    <w:p>
      <w:pPr>
        <w:pStyle w:val="TextBody"/>
        <w:bidi w:val="0"/>
        <w:spacing w:before="240" w:after="0"/>
        <w:jc w:val="left"/>
        <w:rPr>
          <w:rFonts w:ascii="Times New Roman" w:hAnsi="Times New Roman"/>
          <w:sz w:val="20"/>
        </w:rPr>
      </w:pPr>
      <w:r>
        <w:rPr>
          <w:rFonts w:ascii="Times New Roman" w:hAnsi="Times New Roman"/>
          <w:sz w:val="20"/>
        </w:rPr>
        <w:t xml:space="preserve">On May 4, 2008, the People’s Bank of China and China Banking Regulatory Commission jointly promulgated the Guidance on the Pilot Establishment of Microcredit Companies, which allowed provincial governments to approve the establishment of microcredit companies on a trial basis. Many governmental authorities at the provincial or equivalent level, including Shanghai, issued local implementing rules on the administration of microcredit companies pursuant to this guidance. The specific local authority that supervises microcredit business in each administrative region may vary, and usually is the financial office of the local government. Any entities intend to engage in microcredit business in certain administrative region must obtain an approval from the local authority that supervises over the microcredit business in such administrative region, and a microcredit company is not permitted to conduct microcredit business outside the administrative region where it is approved to conduct the business. </w:t>
      </w:r>
    </w:p>
    <w:p>
      <w:pPr>
        <w:pStyle w:val="TextBody"/>
        <w:bidi w:val="0"/>
        <w:spacing w:before="240" w:after="0"/>
        <w:jc w:val="left"/>
        <w:rPr>
          <w:rFonts w:ascii="Times New Roman" w:hAnsi="Times New Roman"/>
          <w:sz w:val="20"/>
        </w:rPr>
      </w:pPr>
      <w:r>
        <w:rPr>
          <w:rFonts w:ascii="Times New Roman" w:hAnsi="Times New Roman"/>
          <w:sz w:val="20"/>
        </w:rPr>
        <w:t xml:space="preserve">On September 7, 2020, the China Banking and Insurance Regulatory Commission issued the Circular on Strengthening the Supervision and Administration of Microcredit Companies. This circular provides that the microcredit companies must mainly operate the lending business and must act in accordance with the requirements regarding the loan concentration, loan purposes, fund management, debt collection, and disclosure. Local authorities must enhance supervision and administration of the establishment of the microcredit companies and suspend newly-incorporated microcredit companies from engaging in the internet microcredit business and other inter-provincial business. </w:t>
      </w:r>
    </w:p>
    <w:p>
      <w:pPr>
        <w:pStyle w:val="TextBody"/>
        <w:bidi w:val="0"/>
        <w:spacing w:before="240" w:after="0"/>
        <w:jc w:val="left"/>
        <w:rPr>
          <w:rFonts w:ascii="Times New Roman" w:hAnsi="Times New Roman"/>
          <w:sz w:val="20"/>
        </w:rPr>
      </w:pPr>
      <w:r>
        <w:rPr>
          <w:rFonts w:ascii="Times New Roman" w:hAnsi="Times New Roman"/>
          <w:sz w:val="20"/>
        </w:rPr>
        <w:t xml:space="preserve">On November 2, 2020, the China Banking and Insurance Regulatory Commission and the People’s Bank of China released the Interim Measures for the Administration of Online Microcredit Business (Draft for Comments), which provide that a microcredit company that intends to engage in online microcredit business must obtain the legal approval of the competent regulator and a microcredit company that intends to engage in online microcredit business across provincial-level administrative regions must obtain the legal approval of the banking regulator under the State Council. In addition, the aforesaid draft sets out the statutory qualified requirements for an online microcredit company. </w:t>
      </w:r>
    </w:p>
    <w:p>
      <w:pPr>
        <w:pStyle w:val="TextBody"/>
        <w:bidi w:val="0"/>
        <w:spacing w:before="240" w:after="0"/>
        <w:jc w:val="left"/>
        <w:rPr>
          <w:rFonts w:ascii="Times New Roman" w:hAnsi="Times New Roman"/>
          <w:sz w:val="20"/>
        </w:rPr>
      </w:pPr>
      <w:r>
        <w:rPr>
          <w:rFonts w:ascii="Times New Roman" w:hAnsi="Times New Roman"/>
          <w:sz w:val="20"/>
        </w:rPr>
        <w:t xml:space="preserve">On January 17, 2025, the National Financial Regulatory Administration issued the Interim Measures for the Supervision and Administration of Small Loan Companies. The Measures regulate the operating behavior of small loan companies and strengthen corporate governance and risk management. Meanwhile, the Measures refine the protection of consumer rights and interests and further clarify the supervisory responsibilities of local financial management institutions.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Relating to Commercial Factoring Services </w:t>
      </w:r>
    </w:p>
    <w:p>
      <w:pPr>
        <w:pStyle w:val="TextBody"/>
        <w:bidi w:val="0"/>
        <w:spacing w:before="120" w:after="0"/>
        <w:jc w:val="left"/>
        <w:rPr>
          <w:rFonts w:ascii="Times New Roman" w:hAnsi="Times New Roman"/>
          <w:sz w:val="20"/>
        </w:rPr>
      </w:pPr>
      <w:r>
        <w:rPr>
          <w:rFonts w:ascii="Times New Roman" w:hAnsi="Times New Roman"/>
          <w:sz w:val="20"/>
        </w:rPr>
        <w:t xml:space="preserve">On June 27, 2012, the Ministry of Commerce issued the Notice on the Pilot Launch of Commercial Factoring which launched a commercial factoring pilot program in the Shanghai Pudong New Area and the Tianjin Binhai New Area. The Ministry of Commerce further expanded the list of commercial factoring pilot areas to include Chongqing Liangjiang New Area and certain other areas in August 2013. Pursuant to the notices of Ministry of Commerce, the local government of those pilot areas promulgated its own rules to implement the pilot program. Under these notices and local implementing rules, commercial factoring companies may be established in these areas upon the approval of the local counterpart of the Ministry of Commerce or other competent authority. The business scope of a commercial factoring company may include the services of trade financing, management of sales ledgers, investigation and assessment of client credit standings, management and collection of accounts receivable, and credit risk guarantee. A commercial factoring company is not allowed to conduct other financial business, such as taking deposits and lending loans or to specialize in or carry out debt collection.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October 18, 2019, the General Office of the China Banking and Insurance Regulatory Commission issued the Notice of Strengthening the Supervision and Administration of Commercial Factoring Enterprises, which was amended on June 21, 2021. It provides that commercial factoring enterprises must conduct business operations in accordance with laws and regulations, and may not commit any of the following conduct or provide any of the following services: (i) absorbing, or absorbing in any disguised form, public deposits, (ii) borrowing funds through online lending information intermediary institutions, various local trading places, asset management institutions, privately offered investment funds and other institutions; (iii) borrowing funds from other commercial factoring enterprises or doing so in any disguised form; (iv) providing loans for its account or for the account of another party; (v) engaging in the collection of accounts receivable or debts irrelevant to commercial factoring in a specialized manner or conducting the same on behalf of another party; (vi) factoring financing based on any illegal underlying transaction contract, consignment contract, accounts receivable with disputable ownership, or a claim for payment arising from any bill or other negotiable securities; and (vii) other activities prohibited by the state.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Relating to Product Quality and Consumer Protection </w:t>
      </w:r>
    </w:p>
    <w:p>
      <w:pPr>
        <w:pStyle w:val="TextBody"/>
        <w:bidi w:val="0"/>
        <w:spacing w:before="120" w:after="0"/>
        <w:jc w:val="left"/>
        <w:rPr>
          <w:rFonts w:ascii="Times New Roman" w:hAnsi="Times New Roman"/>
          <w:sz w:val="20"/>
        </w:rPr>
      </w:pPr>
      <w:r>
        <w:rPr>
          <w:rFonts w:ascii="Times New Roman" w:hAnsi="Times New Roman"/>
          <w:sz w:val="20"/>
        </w:rPr>
        <w:t xml:space="preserve">The Product Quality Law, which was promulgated by the Standing Committee of the National People’s Congress on February 22, 1993 and most recently amended on December 29, 2018, applies to all production and sale activities in China. Pursuant to this law, products offered for sale must satisfy the quality and safety standards. Enterprises may not produce or sell counterfeit products in any fashion, including forging brand labels or giving false information regarding a product’s manufacturer. Violations of state or industrial standards for health and safety and any other related violations may result in civil liabilities and administrative penalties, such as compensation for damages, fines, suspension or shutdown of business, as well as confiscation of products illegally produced and sold and the proceeds from such sales. </w:t>
      </w:r>
    </w:p>
    <w:p>
      <w:pPr>
        <w:pStyle w:val="TextBody"/>
        <w:bidi w:val="0"/>
        <w:spacing w:before="240" w:after="0"/>
        <w:jc w:val="left"/>
        <w:rPr>
          <w:rFonts w:ascii="Times New Roman" w:hAnsi="Times New Roman"/>
          <w:sz w:val="20"/>
        </w:rPr>
      </w:pPr>
      <w:r>
        <w:rPr>
          <w:rFonts w:ascii="Times New Roman" w:hAnsi="Times New Roman"/>
          <w:sz w:val="20"/>
        </w:rPr>
        <w:t xml:space="preserve">The Consumer Rights and Interests Protection Law, which was promulgated by the Standing Committee of the National People’s Congress on October 31, 1993 and most recently amended on October 25, 2013, sets out the obligations of business operators and the rights and interests of the consumers in China. Pursuant to this law, business operators must guarantee that the commodities they sell satisfy the requirements for personal or property safety, provide consumers with authentic information about the commodities, and guarantee the quality, function, usage, and term of validity of the commodities. The Consumer Rights and Interests Protection Law was amended in October 2013 and became effective in March 2014. The amended Consumer Rights and Interests Protection Law further strengthens the protection of consumers and imposes more stringent requirements and obligations on business operators, especially on the business operators through the internet. The consumers whose interests have been damaged due to their purchase of goods or acceptance of services on online marketplace platforms may claim damages from sellers or service providers. Where the providers of the online marketplace platforms are unable to provide the real names, addresses, and valid contact details of the sellers or service providers, the consumers may also claim damages from the providers of the online marketplace platforms. Providers of online marketplace platforms that know or should have known that sellers or service providers use their platforms to infringe upon the legitimate rights and interests of consumers but fail to take necessary measures must bear joint and several liabilities with the sellers or service providers. </w:t>
      </w:r>
    </w:p>
    <w:p>
      <w:pPr>
        <w:pStyle w:val="TextBody"/>
        <w:bidi w:val="0"/>
        <w:spacing w:before="240" w:after="0"/>
        <w:jc w:val="left"/>
        <w:rPr>
          <w:rFonts w:ascii="Times New Roman" w:hAnsi="Times New Roman"/>
          <w:sz w:val="20"/>
        </w:rPr>
      </w:pPr>
      <w:r>
        <w:rPr>
          <w:rFonts w:ascii="Times New Roman" w:hAnsi="Times New Roman"/>
          <w:sz w:val="20"/>
        </w:rPr>
        <w:t xml:space="preserve">On March 15, 2024, the State Council promulgated the Implementing Regulations of the Consumer Rights and Interests Protection Law, which came into effect on July 1, 2024. The Implementing Regulations of the Consumer Rights and Interests Protection Law provide detailed provisions on business operators’ obligations, including protection of consumers’ personal and property safety, the handling of defective products, avoidance of fraudulent advertisement, promotion of price transparency, assurance of quality guarantee, and protection of consumers’ personal information. These regulations also refine provisions regarding online consumption and stipulated operators’ obligations concerning prepaid consumption. Specifically, business operators are prohibited from using technological means to forcibly or indirectly compel consumers to purchase goods or receive services, or excluding or limiting consumers’ choices of goods or services provided by other operators.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Civil Code provides that if a network service provider knows or should know that a network user is committing infringing activities through its network services and fails to take necessary measures, it should be jointly liable with the said network user for such infringement. If a network service provider receives any notice from the infringed party on any infringing activities, the network service provider should take necessary measures, including deleting, blocking, and unlinking the infringing content, in a timely manner. Otherwise, it will be held jointly liable with the network user for the extended damages.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Regulations Relating to Leasing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Interim Regulations of the People’s Republic of China Concerning the Assignment and Transfer of the Land Use Right of the State-owned Land in the Urban Areas promulgated by the State Council on May 19, 1990 and most recently amended on November 29, 2020, the lease of the allocated land use rights and of the buildings or houses erected on such land should be subject to the approval of the real estate administration department.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Law on Administration of Urban Real Estate, which was promulgated on July 5, 1994 and most recently amended on August 26, 2019 by the Standing Committee of the National People’s Congress, when leasing premises, the lessor and lessee are required to enter into a written lease contract, containing such provisions as the leasing term, use of the premises, rental and repair liabilities, and other rights and obligations of both parties. The Law on Administration of Urban Real Estate further provides that where the owner of a building leases the building on state-owned land of which the land use right is granted to such owner by way of allocation for the purpose of profit- making, the gains on land included in the rental should be turned over to the state.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Administrative Measures on Leasing of Commodity Housing, issued by the Ministry of Housing and Urban-rural Development on December 1, 2010 and became effective on February 1, 2011, provide that the lessor and lessee are also required to register the lease with the competent real estate administration department within 30 days upon the execution of the lease agreement. If the lessor and lessee fail to go through the registration procedures, the competent authorities may urge the lessor and lessee to make corrections within a specified time limit and impose a fine ranging from RMB1,000 to RMB10,000 for each non-registered lease agreement if the lessor and lessee fail to make corrections within the specified time limit.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Civil Code, the lessee may sublease the leased premises to a third party, subject to the consent of the lessor. Where the lessee subleases the premises, the lease contract between the lessee and the lessor remains valid. In addition, in the event of change of ownership of the leased premises, the lease contract between the lessee and the lessor will still remain effective. The Civil Code further provides that where the leased property has been leased and transferred for possession before the creation of the mortgage, the established leasehold relationship will not be affected by the mortgage.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Relating to Overseas Listing and M&amp;A </w:t>
      </w:r>
    </w:p>
    <w:p>
      <w:pPr>
        <w:pStyle w:val="TextBody"/>
        <w:bidi w:val="0"/>
        <w:spacing w:before="120" w:after="0"/>
        <w:jc w:val="left"/>
        <w:rPr>
          <w:rFonts w:ascii="Times New Roman" w:hAnsi="Times New Roman"/>
          <w:sz w:val="20"/>
        </w:rPr>
      </w:pPr>
      <w:r>
        <w:rPr>
          <w:rFonts w:ascii="Times New Roman" w:hAnsi="Times New Roman"/>
          <w:sz w:val="20"/>
        </w:rPr>
        <w:t xml:space="preserve">On August 8, 2006, six PRC governmental and regulatory agencies, including the Ministry of Commerce and the CSRC, jointly promulgated the Regulations on Mergers and Acquisitions of Domestic Enterprises by Foreign Investors, a regulation with respect to the mergers and acquisitions of domestic enterprises by foreign investors that became effective on September 8, 2006 and were revised on June 22, 2009. Foreign investors must comply with these regulations when they purchase equity interests of a domestic company or subscribe for the increased capital of a domestic company, and thus changing the nature of the domestic company into a foreign-invested enterprise; or when the foreign investors establish a foreign-invested enterprise in China for the purpose of purchasing the assets of a domestic company and operating the assets; or when the foreign investors purchase the assets of a domestic company and establish a foreign-invested enterprise by injecting such assets, and operate the assets. The Regulations on Mergers and Acquisitions of Domestic Enterprises by Foreign Investors, among other things, purports to require that an offshore special purpose vehicle, or a special purpose vehicle, formed for listing purposes and controlled directly or indirectly by PRC companies or individuals, to obtain the approval of the CSRC prior to the listing and trading of such special purpose vehicle’s securities on an overseas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General Office of the State Council promulgated the Circular of the General Office of the State Council on the Establishment of Security Review System for the Merger and Acquisition of Domestic Enterprises by Foreign Investors, that became effective on March 3, 2011. This circular officially established a security review system for mergers and acquisitions of domestic enterprises by foreign investors. Furthermore, the Ministry of Commerce promulgated the Rules of the Ministry of Commerce on Implementation of Security Review System for the Merger and Acquisition of Domestic Enterprises by Foreign Investors, effective on September 1, 2011, to implement such circular. Under this circular, security review is required for mergers and acquisitions by foreign investors having “national defense and security” concerns and mergers and acquisitions by which foreign investors may acquire the “de facto control” of domestic enterprises with “national security” concerns. Under the Rules of the Ministry of Commerce on Implementation of Security Review System for the Merger and Acquisition of Domestic Enterprises by Foreign Investors, the Ministry of Commerce will focus on the substance and actual impact of the transaction when deciding whether a specific merger or acquisition is subject to security review. If the Ministry of Commerce decides that a specific merger or acquisition is subject to a security review, the Ministry of Commerce will submit it to the Inter-ministerial Panel, an authority established pursuant to the Circular of the General Office of the State Council on the Establishment of Security Review System for the Merger and Acquisition of Domestic Enterprises by Foreign Investors and is initiated by the NDRC and the Ministry of Commerce under the leadership of the State Council, to carry out security review. These rules prohibit foreign investors from bypassing the security review by structuring transactions through holding shares on behalf of others, trusts, multi-tier re-investments, leases, loans, control through contractual arrangements or offshore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December 19, 2020, the NDRC and the Ministry of Commerce promulgated the Measures for the Security Review of Foreign Investment, which came into effect on January 18, 2021. Pursuant to such measures, the NDRC establishes a working mechanism office in charge of the security review of foreign investment, which is led by the NDRC and the Ministry of Commerce. Such measures also define foreign investments as direct or indirect investments by foreign investors in China, including (i) investments in new onshore projects or establishment of wholly foreign owned onshore enterprises or joint ventures with other investors; (ii) acquiring equity or assets of onshore companies by merger and acquisition; and (iii) onshore investments by and through any other means. Foreign investments in certain key areas with national security concerns, such as important transport services, important cultural products and services, important information technology and internet products and services, important financial services, and key technologies, which results in the acquisition of de facto control of the invested companies, must be filed with the working mechanism office prior to the implementation of such investments. Failure to make such filing may subject the foreign investor to rectification within a prescribed period, and the foreign investor will be negatively recorded in the national credit information system, which would then subject such investor to joint punishment as provided by the rules. If such investor fails to or refuses to undertake such rectification, it would be ordered to dispose of the equity or assets and to take any other necessary measures so as to restore to the status before the implementation of the investment and to erase the impact to national security. </w:t>
      </w:r>
    </w:p>
    <w:p>
      <w:pPr>
        <w:pStyle w:val="TextBody"/>
        <w:bidi w:val="0"/>
        <w:spacing w:before="240" w:after="0"/>
        <w:jc w:val="left"/>
        <w:rPr>
          <w:rFonts w:ascii="Times New Roman" w:hAnsi="Times New Roman"/>
          <w:sz w:val="20"/>
        </w:rPr>
      </w:pPr>
      <w:r>
        <w:rPr>
          <w:rFonts w:ascii="Times New Roman" w:hAnsi="Times New Roman"/>
          <w:sz w:val="20"/>
        </w:rPr>
        <w:t xml:space="preserve">On July 6, 2021, the PRC government authorities issued the Opinions on Strictly and Lawfully Cracking Down Illegal Securities Activities. These opinions emphasized the need to strengthen the administration over illegal securities activities and the supervision on overseas listings by China-based companies and proposed to take effective measures, such as promoting the construction of the regulatory systems to deal with the risks and incidents faced by overseas-listed China-based companies. </w:t>
      </w:r>
    </w:p>
    <w:p>
      <w:pPr>
        <w:pStyle w:val="TextBody"/>
        <w:bidi w:val="0"/>
        <w:spacing w:before="240" w:after="0"/>
        <w:jc w:val="left"/>
        <w:rPr>
          <w:rFonts w:ascii="Times New Roman" w:hAnsi="Times New Roman"/>
          <w:sz w:val="20"/>
        </w:rPr>
      </w:pPr>
      <w:r>
        <w:rPr>
          <w:rFonts w:ascii="Times New Roman" w:hAnsi="Times New Roman"/>
          <w:sz w:val="20"/>
        </w:rPr>
        <w:t xml:space="preserve">On September 6, 2024, the NDRC and the Ministry of Commerce jointly issued the 2024 Negative List, which came into effect on November 1, 2024. Pursuant to the 2024 Negative List, if a domestic company engaging in the prohibited business stipulated in the 2024 Negative List seeks an overseas offering and listing, it must obtain the approval from the competent governmental authorities. Besides, the foreign investors of the company should not be involved in the company’s operation and management, and their shareholding percentage should be subject to, mutatis mutandis, the regulations on the domestic securities investments by foreign investors. </w:t>
      </w:r>
    </w:p>
    <w:p>
      <w:pPr>
        <w:pStyle w:val="TextBody"/>
        <w:bidi w:val="0"/>
        <w:spacing w:before="240" w:after="0"/>
        <w:jc w:val="left"/>
        <w:rPr>
          <w:rFonts w:ascii="Times New Roman" w:hAnsi="Times New Roman"/>
          <w:sz w:val="20"/>
        </w:rPr>
      </w:pPr>
      <w:r>
        <w:rPr>
          <w:rFonts w:ascii="Times New Roman" w:hAnsi="Times New Roman"/>
          <w:sz w:val="20"/>
        </w:rPr>
        <w:t xml:space="preserve">On February 17, 2023, the CSRC promulgated the Overseas Offering and Listing Measures, which came into effect on March 31, 2023. On the same day, the CSRC also published a series of guidance rules and Q&amp;As in connection with the implementation of the Overseas Offering and Listing Measures. The Overseas Offering and Listing Measures establish a new filing-based regime to regulate overseas offerings and listings by PRC domestic companies. According to the Overseas Offering and Listing Measures, an overseas offering of securities (including shares, depository receipts, corporate bonds convertible into shares, and other securities in nature of equity) and listing by a PRC domestic company, whether directly or indirectly, are required to fulfill the filing procedures with, and to report the information to, the CSRC. Specifically, the examination and determination of an indirect offering and listing will be conducted on a substance-over-form basis, and an offering and listing will be considered as an indirect overseas offering and listing by a PRC domestic company if the issuer meets both of the following conditions: (i) any of the operating revenue, total profit, total assets, or net assets of the PRC domestic enterprise(s) of the issuer in the most recent fiscal year accounts for more than 50% of the corresponding item in the issuer’s audited consolidated financial statements for the same period; and (ii) the main parts of the issuer’s operation activities are conducted in China, or the principal operation premises are located in China, or the majority of senior management personnel in charge of its business operations and management are PRC citizens or have habitual residences located in China. On the same day, the CSRC also held a press conference for the release of the Overseas Offering and Listing Measures and issued the Notice on Administration for the Filing of Overseas Offering and Listing by Domestic Companies, which, among others, clarifies that PRC domestic companies that have already been listed overseas on or before the effective date of the Overseas Offering and Listing Measures (i.e., March 31, 2023) can be deemed as Existing Issuers. Existing Issuers are not required to complete the filling procedures immediately for their historical offerings and listing, and they may be required to file with the CSRC when they conduct subsequent financing activities. The Guideline No. 2 on the Application of Regulatory Rules on Overseas Securities Offerings and Listings, as one of the supporting guidelines for the Overseas Offering and Listing Measures, provides that the filing documents submitted to the CSRC must specify, among other things: (i) whether the PRC laws, administrative regulations, or provisions restrict or prohibit the PRC domestic companies from conducting business and/or holding licenses or qualifications for the issuers through contractual arrangements; and (ii) whether the PRC domestic operating entities that have contractual arrangements with the issuers fall into the industries in which foreign investments are restricted or prohibited. The officials from the CSRC have also confirmed that for the PRC domestic companies that seek to list overseas with variable interest entity structure, the CSRC will solicit opinions from the regulatory authorities and complete the filing procedures for the overseas offering and listing of PRC domestic companies with variable interest entity structure which duly meet the compliance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Overseas Offering and Listing Measures also set forth certain regulatory red lines for overseas offerings and listings by PRC domestic enterprises. According to the Overseas Offering and Listing Measures, an overseas offering and listing of securities by a PRC domestic company under any of the following circumstances is prohibited: (i) such securities offering and listing is explicitly prohibited by provisions in laws, administrative regulations, and the state rules; (ii) the proposed securities offering and listing may endanger national security as reviewed and determined by competent authorities under the State Council in accordance with law; (iii) the PRC domestic company proposing to conduct the securities offering and listing, or its controlling shareholder(s) and the actual controller, have committed crimes such as corruption, bribery, embezzlement, misappropriation of property, or undermining the order of the socialist market economy during the past three years; (iv) the PRC domestic company proposing to make the securities offering and listing is currently under investigations for suspicion of criminal offenses or major violations of laws and regulations, and no conclusion has been made thereof; or (v) there are material ownership disputes over equity held by the PRC domestic company’s controlling shareholder(s) or by other shareholder(s) that are controlled by the controlling shareholder(s) and/or actual controller.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Overseas Offering and Listing Measures also provide that (i) where a PRC domestic company seeks to indirectly offer and list securities in overseas markets, the issuer should designate a major PRC domestic operating entity, which should, as the domestic responsible entity, fulfill the filing procedures with the CSRC; (ii) a filing relating to an initial public offering and listing must be made with the CSRC within three business days after the application is submitted overseas; (iii) a filing relating to subsequent securities offerings of an issuer in the same overseas market where it has previously offered and listed securities must be made with the CSRC within three business days after the offering is completed; (iv) a filing relating to subsequent securities offerings and listings of an issuer in overseas markets other than where it has offered and listed must be made pursuant to provisions as stipulated for initial public offerings and listings. Where a PRC domestic company fails to fulfill the filing procedure, withholds any material fact, or makes false statements in its filing documents that are material, such PRC domestic company may be subject to administrative penalties, such as orders to rectify, warnings, fines, and its controlling shareholders, actual controllers, the person directly in charge, and other directly liable persons may also be subject to administrative penalties, such as warnings and fines. </w:t>
      </w:r>
    </w:p>
    <w:p>
      <w:pPr>
        <w:pStyle w:val="TextBody"/>
        <w:bidi w:val="0"/>
        <w:spacing w:before="240" w:after="0"/>
        <w:jc w:val="left"/>
        <w:rPr>
          <w:rFonts w:ascii="Times New Roman" w:hAnsi="Times New Roman"/>
          <w:sz w:val="20"/>
        </w:rPr>
      </w:pPr>
      <w:r>
        <w:rPr>
          <w:rFonts w:ascii="Times New Roman" w:hAnsi="Times New Roman"/>
          <w:sz w:val="20"/>
        </w:rPr>
        <w:t xml:space="preserve">On February 24, 2023, the CSRC and certain other PRC regulatory authorities promulgated the Provisions on Strengthening Confidentiality and Archives Administration of Overseas Securities Offering and Listing by Domestic Companies, which came into effect on March 31, 2023. Pursuant to these provisions, a PRC domestic enterprise that seeks overseas offering and listing, whether in a direct or indirect manner, must strictly abide by applicable PRC laws and regulations, enhance legal awareness of keeping state secrets and strengthening archives administration, institute a sound confidentiality and archives administration system, and take necessary measures to fulfill confidentiality and archives administration obligations. Where a PRC domestic company, either directly or through its overseas listed entity, publicly discloses or provides to any individuals or entities including securities companies, securities service providers, and overseas regulators, any documents and materials that contain state secrets or working secrets of government agencies, it must first obtain approval from competent authorities according to law, and file with the secrecy administrative department at the same level. In the event that such documents and materials, if leaked, will be detrimental to national security or public interest, the PRC domestic company must strictly fulfill the procedures stipulated by applicable national regulations. Where a PRC domestic company, after fulfilling the procedures, provides to securities companies, securities service providers, and other entities with any documents and materials that contain state secrets or working secrets of government agencies, or any other documents and materials that will be detrimental to national security or public interest if leaked, a non-disclosure agreement must be signed between the provider and receiver of such information according to the PRC laws and regulations, which must specify, among other things, the obligations and liabilities on confidentiality held by such securities companies and securities service providers. Specifically, when a PRC domestic company provides accounting archives or copies of accounting archives to any entities including securities companies, securities service providers, and overseas regulators and individuals, it must fulfill due procedures in compliance with applicable national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Regulations Relating to Anti-monopoly </w:t>
      </w:r>
    </w:p>
    <w:p>
      <w:pPr>
        <w:pStyle w:val="TextBody"/>
        <w:bidi w:val="0"/>
        <w:spacing w:before="120" w:after="0"/>
        <w:jc w:val="left"/>
        <w:rPr>
          <w:rFonts w:ascii="Times New Roman" w:hAnsi="Times New Roman"/>
          <w:sz w:val="20"/>
        </w:rPr>
      </w:pPr>
      <w:r>
        <w:rPr>
          <w:rFonts w:ascii="Times New Roman" w:hAnsi="Times New Roman"/>
          <w:sz w:val="20"/>
        </w:rPr>
        <w:t xml:space="preserve">The PRC Anti-monopoly Law, which was promulgated by the Standing Committee of the National People’s Congress on August 30, 2007 and effective from August 1, 2008, prohibits monopolistic conduct such as entering into monopoly agreements, abuse of dominant market position, and concentration of undertakings that have the effect of eliminating or restricting competition. On June 24, 2022, the Standing Committee of the National People’s Congress adopted the Decision of the Standing Committee of the National People’s Congress on Amending the PRC Anti-monopoly Law, which became effective on August 1, 2022. This decision increased the fines on business operators for illegal concentration to no more than ten percent of the preceding year’s sales revenue of the business operators if the concentration of business operators has or may have an effect of excluding or limiting competition, or a fine of up to RMB5 million if the concentration of business operators does not have an effect of excluding or limiting competition; the anti-monopoly enforcement agency may also order the business operators to cease the implementation of the concentration, to dispose of shares, assets, and the business within a period of time, or to take other necessary measures to restore to the status before the concentration if the concentration of the business operators has or may have an effect of excluding or limiting competition. In addition, according to this decision, where a concentration of business operators does not meet the filing threshold set by the State Council, but there is evidence that the concentration has or may have the effect of excluding or limiting competition, the anti-monopoly law enforcement agency may order the operators to file the concentration of business operators. The dominant market position refers to a market position where an operator may manipulate the price, volume, and other trade conditions of commodities on a relevant market, or may obstruct or otherwise affect the entrance of other operators into relevant markets. An operator who holds the dominant market position is prohibited from engaging in such practices which may be classified as an abuse of said position as: (a) selling commodities at unfairly high or buying commodities at unfairly low prices, (b) selling commodities at prices lower than cost without justified reasons; (c) refusing to trade with a trading counterparty without justified reasons; (d) restricting a trading counterparty to trade exclusively with it or trade exclusively with the operators designated by it without justifiable reasons; (e) conducting tie-in sales or adding other unreasonable conditions on a deal without justified reasons, (f) discriminating among trading counterparties of the same qualifications with regard to trade price, among others, without justified reasons, or (g) other practices recognized by the enforcement authorities as abuse of dominant market position. Furthermore, where an operator violates the provisions of the Anti-monopoly Law by abusing dominant market position, the enforcement authorities will order such operator to stop the illegal activities, confiscate the illegal earnings, and impose a fine of 1% to 10% of the previous year’s sales revenue. </w:t>
      </w:r>
    </w:p>
    <w:p>
      <w:pPr>
        <w:pStyle w:val="TextBody"/>
        <w:bidi w:val="0"/>
        <w:spacing w:before="240" w:after="0"/>
        <w:jc w:val="left"/>
        <w:rPr>
          <w:rFonts w:ascii="Times New Roman" w:hAnsi="Times New Roman"/>
          <w:sz w:val="20"/>
        </w:rPr>
      </w:pPr>
      <w:r>
        <w:rPr>
          <w:rFonts w:ascii="Times New Roman" w:hAnsi="Times New Roman"/>
          <w:sz w:val="20"/>
        </w:rPr>
        <w:t xml:space="preserve">In March 2018, the SAMR was formed to take over, among other things, the anti-monopoly enforcement functions from the relevant departments under the Ministry of Commerce, the NDRC, and the State Administration for Industry and Commerce, respectively. Since its inception, the SAMR has continued to strengthen its anti-monopoly enforcement. The SAMR issued the Notice on Anti-monopoly Enforcement Authorization on December 28, 2018, which grants authorizations to the SAMR’s provincial branches for anti-monopoly enforcement within their respective jurisdictions, and further issued the Anti-monopoly Compliance Guideline for Operators on September 11, 2020, which was amended on April 25, 2024, for establishing an anti-monopoly compliance management system and preventing anti-monopoly compliance risks. </w:t>
      </w:r>
    </w:p>
    <w:p>
      <w:pPr>
        <w:pStyle w:val="TextBody"/>
        <w:bidi w:val="0"/>
        <w:spacing w:before="240" w:after="0"/>
        <w:jc w:val="left"/>
        <w:rPr>
          <w:rFonts w:ascii="Times New Roman" w:hAnsi="Times New Roman"/>
          <w:sz w:val="20"/>
        </w:rPr>
      </w:pPr>
      <w:r>
        <w:rPr>
          <w:rFonts w:ascii="Times New Roman" w:hAnsi="Times New Roman"/>
          <w:sz w:val="20"/>
        </w:rPr>
        <w:t xml:space="preserve">On August 3, 2008, the State Council promulgated the Rules of the State Council on Declaration Threshold for Concentration of Undertakings, which was amended on September 18, 2018. The Rules of the State Council on Declaration Threshold for Concentration of Undertakings require that transactions which are deemed concentrations and involve parties with specified turnover thresholds must be cleared by the anti-monopoly enforcement agency of the State Council before they can be completed. The Provisions on the Threshold of Filings for Undertaking Concentrations, issued by the State Council on January 22, 2024, set forth the latest filing threshold for concentration of undertaking, which is, during the previous fiscal year, (i) the total global turnover of all operators participating in the transaction exceeds RMB12 billion in the preceding fiscal year and at least two of these operators each has a turnover of more than RMB800 million within China in the preceding fiscal year, or (ii) the total turnover within China of all the operators participating in the concentration exceeds RMB4 billion in the preceding fiscal year, and at least two of these operators each has a turnover of more than RMB800 million within China in the preceding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February 7, 2021, the Anti-monopoly Committee of the State Council promulgated the Anti-monopoly Guidelines for the Platform Economy Sector, aiming to improve anti-monopoly administration on online platforms. The Anti-monopoly Guidelines for the Platform Economy Sector, operating as the compliance guidance under the existing PRC anti-monopoly regulatory regime for platform economy operators, specifically prohibits certain acts of the platform economy operators that may have the effect of eliminating or limiting market competition, such as forcing the users to choose the product or service of one operator exclusively from the other. </w:t>
      </w:r>
    </w:p>
    <w:p>
      <w:pPr>
        <w:pStyle w:val="TextBody"/>
        <w:bidi w:val="0"/>
        <w:spacing w:before="240" w:after="0"/>
        <w:jc w:val="left"/>
        <w:rPr>
          <w:rFonts w:ascii="Times New Roman" w:hAnsi="Times New Roman"/>
          <w:sz w:val="20"/>
        </w:rPr>
      </w:pPr>
      <w:r>
        <w:rPr>
          <w:rFonts w:ascii="Times New Roman" w:hAnsi="Times New Roman"/>
          <w:sz w:val="20"/>
        </w:rPr>
        <w:t xml:space="preserve">On March 24, 2023, the SAMR released four regulations supporting the Anti-monopoly Law, namely the Review Measures of Concentration of Undertakings, the Provisions on the Prohibition of Monopoly Agreements, the Provisions on the Prohibitions of Acts of Abuse of Dominant Market Positions, and the Provisions on Curbing the Abuse of Administrative Power to Exclude or Restrict Competition, all of which came into effect on April 15, 2023. Each of these regulations superseded and replaced its corresponding interim provisions, respectively, namely the Interim Review Measures of Concentration of Undertakings promulgated in October 2020 and most recently amended on March 24, 2022, the Interim Provisions on Prohibition of Monopoly Agreements promulgated in June 2019 and most recently amended on March 24, 2022, the Interim Provisions on the Prohibitions of Acts of Abuse of Dominant Market Positions promulgated in June 2019 and most recently amended on March 24, 2022, and the Interim Provisions on Curbing Abuse of Administrative Power to Exclude or Restrict Competition promulgated on June 26, 2019. The supporting regulations have, among other things, elaborated the specific requirements under the Anti-Monopoly Law, optimized the regulatory and enforcement procedures, and imposed more stringent legal responsibilities on the relevant parties. Specifically, the Review Measures of Concentration of Undertakings clarified the factors to be considered for the recognition of “control” and “implementation of concentration” under the review mechanism of concentration of undertakings, and elaborated the implementation rules regarding the suspension of review. According to the Review Measures of Concentration of Undertakings, where a concentration of undertakings does not meet the threshold for declaration but there is evidence that the concentration of undertakings has or may have the effect of excluding or limiting competition, the SAMR may order the operators to file the concentration of undertakings. </w:t>
      </w:r>
    </w:p>
    <w:p>
      <w:pPr>
        <w:pStyle w:val="TextBody"/>
        <w:bidi w:val="0"/>
        <w:spacing w:before="240" w:after="0"/>
        <w:jc w:val="left"/>
        <w:rPr>
          <w:rFonts w:ascii="Times New Roman" w:hAnsi="Times New Roman"/>
          <w:sz w:val="20"/>
        </w:rPr>
      </w:pPr>
      <w:r>
        <w:rPr>
          <w:rFonts w:ascii="Times New Roman" w:hAnsi="Times New Roman"/>
          <w:sz w:val="20"/>
        </w:rPr>
        <w:t xml:space="preserve">On January 10, 2024, the Anti-monopoly and Anti-unfair Competition Committee of the State Council issued the Anti-monopoly Guidelines for Industry Associations. The guidelines clarify prohibited practices for industry associations in organizing horizontal and vertical monopoly agreements, explicitly forbid interference with market pricing mechanisms, and specify corresponding legal liabilities for violations. On June 6, 2024, the State Council issued the Fair Competition Review Regulation. It is the first administrative regulation to comprehensively and systematically stipulate fair competition review, standardizing the review criteria for policy measures. On October 13, 2024, the SAMR issued the Work Rules for Handling Reports on Fair Competition Review. It clarifies the report handling mechanism and safeguards the public’s right to report policies and measures suspected of violating the fair competition review regulations. On November 4, 2024, the SAMR issued the Anti-monopoly Guidelines for Standard Essential Patents. It introduces ex-ante and interim supervision mechanisms, encourages best practices, and details monopolistic behaviors related to standard essential patents, clarifying their typical types and identification factors. On December 20, 2024, the SAMR issued the Guidelines for the Review of Horizontal Concentrations of Undertakings. It clarifies the review criteria for business operator concentrations with different market, focuses on dynamic competitive impacts, and removes the data protection clause.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Relating to Anti-unfair Competition </w:t>
      </w:r>
    </w:p>
    <w:p>
      <w:pPr>
        <w:pStyle w:val="TextBody"/>
        <w:bidi w:val="0"/>
        <w:spacing w:before="120" w:after="0"/>
        <w:jc w:val="left"/>
        <w:rPr>
          <w:rFonts w:ascii="Times New Roman" w:hAnsi="Times New Roman"/>
          <w:sz w:val="20"/>
        </w:rPr>
      </w:pPr>
      <w:r>
        <w:rPr>
          <w:rFonts w:ascii="Times New Roman" w:hAnsi="Times New Roman"/>
          <w:sz w:val="20"/>
        </w:rPr>
        <w:t xml:space="preserve">Competition among business operators is generally governed by the PRC Anti-unfair Competition Law, which was promulgated by the Standing Committee of the National People’s Congress on September 2, 1993, and amended on November 4, 2017 and April 23, 2019. According to the Anti-unfair Competition Law, business operators must abide by the principles of voluntariness, equality, fairness, and good faith, and observe laws and business ethics. In particular, business operators are prohibited from any of the following unfair activities: (i) committing acts of confusion; (ii) seeking transaction opportunities or competitive advantages by bribing entities or individuals with property or by any other means; (iii) conducting commercial promotions for the performance, function, quality, sales status, user evaluation, honor received concerning its products in a false or misleading manner; (iv) infringing trade secrets; (v) premium campaign in contravention to the Anti-unfair Competition Law; and (vi) fabricating or disseminating false or misleading information to undermine the goodwill or commodity reputation of any competitors.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October 29, 2020, the SAMR issued the Interim Provisions on Regulating Promotional Activities, which came into effect on December 1, 2020. Among other things, these interim provisions are designed to promote consumer protection and prohibit false or misleading commercial information used in promotional activities. Failure to comply with these provisions may subject the business operators to penalties or other administrative actions by the regulatory authorities. </w:t>
      </w:r>
    </w:p>
    <w:p>
      <w:pPr>
        <w:pStyle w:val="TextBody"/>
        <w:bidi w:val="0"/>
        <w:spacing w:before="240" w:after="0"/>
        <w:jc w:val="left"/>
        <w:rPr>
          <w:rFonts w:ascii="Times New Roman" w:hAnsi="Times New Roman"/>
          <w:sz w:val="20"/>
        </w:rPr>
      </w:pPr>
      <w:r>
        <w:rPr>
          <w:rFonts w:ascii="Times New Roman" w:hAnsi="Times New Roman"/>
          <w:sz w:val="20"/>
        </w:rPr>
        <w:t xml:space="preserve">On March 16, 2022, the Supreme People’s Court promulgated the Interpretation of the Supreme People’s Court on Several Issues Concerning the Application of the Anti-unfair Competition Law, which came into effect on March 20, 2022, setting out more detailed standards to apply the Anti-unfair Competition Law. </w:t>
      </w:r>
    </w:p>
    <w:p>
      <w:pPr>
        <w:pStyle w:val="TextBody"/>
        <w:bidi w:val="0"/>
        <w:spacing w:before="240" w:after="0"/>
        <w:jc w:val="left"/>
        <w:rPr>
          <w:rFonts w:ascii="Times New Roman" w:hAnsi="Times New Roman"/>
          <w:sz w:val="20"/>
        </w:rPr>
      </w:pPr>
      <w:r>
        <w:rPr>
          <w:rFonts w:ascii="Times New Roman" w:hAnsi="Times New Roman"/>
          <w:sz w:val="20"/>
        </w:rPr>
        <w:t xml:space="preserve">On November 22, 2022, the SAMR released the Anti-unfair Competition Law (Revised Draft for Comments), which intends to set out more detailed rules on regulating anti-unfair competition within digital economy and strengthen the requirements of anti-unfair competition. The period for which the SAMR solicited comments on this draft ended on December 22, 2022, but there is no timetable as to when this draft will be enacted. </w:t>
      </w:r>
    </w:p>
    <w:p>
      <w:pPr>
        <w:pStyle w:val="TextBody"/>
        <w:bidi w:val="0"/>
        <w:spacing w:before="240" w:after="0"/>
        <w:jc w:val="left"/>
        <w:rPr>
          <w:rFonts w:ascii="Times New Roman" w:hAnsi="Times New Roman"/>
          <w:sz w:val="20"/>
        </w:rPr>
      </w:pPr>
      <w:r>
        <w:rPr>
          <w:rFonts w:ascii="Times New Roman" w:hAnsi="Times New Roman"/>
          <w:sz w:val="20"/>
        </w:rPr>
        <w:t xml:space="preserve">On May 6, 2024, the SAMR issued the Interim Provisions on Anti-Unfair Competition on the Internet, which prohibit business operators from using data, algorithms, and other technical means to commit traffic hijacking, interference, malicious incompatibility, and other improprieties to influence user choices or hinder or damage the normal operation of network products or services offered by other business operators. As of the date of this annual report, the aforesaid provisions have not been formally adopted, and due to the lack of further clarification, uncertainties remain as to the interpretation and implementation of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On December 25, 2024, SCNPC promulgated the Revision Draft of Anti-unfair Competition Law for public comments, which reemphasized the specific rules to regulate unfair competition in the data economy area.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Relating to Advertising </w:t>
      </w:r>
    </w:p>
    <w:p>
      <w:pPr>
        <w:pStyle w:val="TextBody"/>
        <w:bidi w:val="0"/>
        <w:spacing w:before="120" w:after="0"/>
        <w:jc w:val="left"/>
        <w:rPr>
          <w:rFonts w:ascii="Times New Roman" w:hAnsi="Times New Roman"/>
          <w:sz w:val="20"/>
        </w:rPr>
      </w:pPr>
      <w:r>
        <w:rPr>
          <w:rFonts w:ascii="Times New Roman" w:hAnsi="Times New Roman"/>
          <w:sz w:val="20"/>
        </w:rPr>
        <w:t xml:space="preserve">The PRC government regulates advertising, including online advertising, principally through the SAMR. The PRC Advertising Law, as promulgated on October 27, 1994 and most recently amended on April 29, 2021 by the Standing Committee of the National People’s Congress, outlines the general regulatory framework for advertising. According to the Advertising Law, advertisers, advertising service providers, and advertising publishers are required to ensure that the contents of the advertisements they prepare or distribute are true and in full compliance with applicable laws and regulations. For example, advertisements must not contain terms such as “the state-level,” “the highest grade,” “the best,” or such similar wording. In addition, the use of internet to distribute advertisements must not affect the normal use of the internet by users. Where internet information service providers are aware or ought to be aware that illegal advertisements are being published or distributed using their services, they are obliged to prevent such distribution. </w:t>
      </w:r>
    </w:p>
    <w:p>
      <w:pPr>
        <w:pStyle w:val="TextBody"/>
        <w:bidi w:val="0"/>
        <w:spacing w:before="240" w:after="0"/>
        <w:jc w:val="left"/>
        <w:rPr>
          <w:rFonts w:ascii="Times New Roman" w:hAnsi="Times New Roman"/>
          <w:sz w:val="20"/>
        </w:rPr>
      </w:pPr>
      <w:r>
        <w:rPr>
          <w:rFonts w:ascii="Times New Roman" w:hAnsi="Times New Roman"/>
          <w:sz w:val="20"/>
        </w:rPr>
        <w:t xml:space="preserve">On February 25, 2023, the SAMR published the Administrative Measures for Internet Advertising, which came into effect on May 1, 2023. These administrative measures aim to regulate various kinds of commercial advertising activities conducted within the territory of China to directly or indirectly promote a product or service through text, images, audio, video, or any other form, using any website, web page, web application, or other online media. According to these administrative measures, internet advertising operators and publishers should establish, improve, and implement systems for receipt, registration, review, and filing management of the internet advertising businesses according to the regulations, and should examine, verify, and register the identity information of advertisers, such as their names, addresses, and valid contact details, set up registration files and check and update them on a regular basis. Relevant files should be kept for no less than three years from the date of termination of the advertisement release. Internet advertising operators and publishers are required to have advertisement reviewers who are familiar with advertising laws and regulations or establish a special department responsible for the review of internet advertisements. Where an internet advertisement is published by means such as algorithmic recommendation, the rules and records of such algorithmic recommendation must be included in the advertising files. In addition, the advertisers and advertising publishers are required to set prominent buttons in the internet advertisements, including the pop-up advertisements, to ensure the closure of such advertisements can be done by one click. The Administrative Measures for Internet Advertising further clarify that product sellers or service providers promoting products or services through online live streaming that constitutes commercial advertisements should assume the responsibilities and obligations of an advertiser.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Violation of the foregoing laws and regulations may subject the operators to civil liabilities and penalties, including fines, confiscation of advertising income, orders to stop dissemination of the advertisements, and orders to publish an advertisement correcting the misleading information. In case of serious violations, the SAMR or its local branches may force the violators to terminate its advertising operation or revoke its business license.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Relating to Pricing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PRC Pricing Law, as promulgated on December 29, 1997 and effective on May 1, 1998 by the Standing Committee of the National People’s Congress, business operators must, as required by the government departments in charge of pricing, mark the prices explicitly and indicate the name, origin of production, specifications, and other related particulars clearly. Business operators may not sell products at a premium or charge any fees that are not explicitly indicated. Business operators must not commit the specified unlawful pricing activities, such as colluding with others to manipulate the market price, using false or misleading prices to deceive consumers to purchase, or conducting price discrimination against other business operators. Failure to comply with the Pricing Law may subject business operators to administrative sanctions such as warning, stopping unlawful activities, confiscating illegal gains, and fines. The business operators may be ordered to suspend business for rectification, or have their business licenses revoked if the circumstances are severe.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Relating to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China has adopted comprehensive legislation governing intellectual property rights, including copyrights, patents, trademarks, and domain names. </w:t>
      </w:r>
    </w:p>
    <w:p>
      <w:pPr>
        <w:pStyle w:val="TextBody"/>
        <w:bidi w:val="0"/>
        <w:spacing w:before="240" w:after="0"/>
        <w:jc w:val="left"/>
        <w:rPr>
          <w:rFonts w:ascii="Times New Roman" w:hAnsi="Times New Roman"/>
          <w:sz w:val="20"/>
        </w:rPr>
      </w:pPr>
      <w:r>
        <w:rPr>
          <w:rFonts w:ascii="Times New Roman" w:hAnsi="Times New Roman"/>
          <w:sz w:val="20"/>
          <w:u w:val="single"/>
        </w:rPr>
        <w:t>Copyright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Copyright in China, including copyrighted software, is principally protected under the PRC Copyright Law which was promulgated by the Standing Committee of the National People’s Congress on September 7, 1990 and of which the most recent amendment came into effect as of June 1, 2021. Under the Copyright Law, PRC citizens, legal persons, or other organizations enjoy copyright over their works which refer to original intellectual achievements in the fields of literature, art, and science which can be expressed in a certain form including written works, oral works, computer software, and other intellectual achievements which comply with the characteristics of the works, whether published or not. The term of protection for copyrighted software is 50 years.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Regulations on the Protection of Rights to Information Network Communication, which were promulgated by the State Council on May 18, 2006 and amended on January 30, 2013, provide specific rules on fair use, statutory license, and a safe harbor for use of copyrights and copyright management technology and specify the liabilities of various entities for violations, including copyright holders, libraries, and internet service providers. The Computer Software Copyright Registration Procedures, which were promulgated by the State Copyright Bureau on February 20, 2002, apply to software copyright registration, license contract registration, and transfer contract registration. </w:t>
      </w:r>
    </w:p>
    <w:p>
      <w:pPr>
        <w:pStyle w:val="TextBody"/>
        <w:bidi w:val="0"/>
        <w:spacing w:before="240" w:after="0"/>
        <w:jc w:val="left"/>
        <w:rPr>
          <w:rFonts w:ascii="Times New Roman" w:hAnsi="Times New Roman"/>
          <w:sz w:val="20"/>
        </w:rPr>
      </w:pPr>
      <w:r>
        <w:rPr>
          <w:rFonts w:ascii="Times New Roman" w:hAnsi="Times New Roman"/>
          <w:sz w:val="20"/>
          <w:u w:val="single"/>
        </w:rPr>
        <w:t>Patent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PRC Patent Law, which was promulgated by the Standing Committee of the National People’s Congress on March 12, 1984 and most recently amended on October 17, 2020, patent protection is divided into three categories, namely, invention patents, utility model patents, and design patents. Invention patents are valid for twenty years from the date of application, while design patents and utility patents are valid for fifteen years and ten years from the date of application, respectively. To be patentable, invention or utility models must meet three criteria: novelty, inventiveness, and practicability. Once an invention patent, or an utility model patent is granted, unless otherwise permitted by law, no individual or entities are permitted to engage in the manufacture, use, sale, or import of the product protected by such patent or otherwise engage in the manufacture, use, sale, or import of the product directly derived from applying the production technology or method protected by such patent, without consent of the patent holder, otherwise, the use will constitute an infringement of the patent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Trademark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Registered Trademarks are protected by the Trademark Law which was adopted by the Standing Committee of the National People’s Congress on August 23, 1982 and most recently amended on April 23, 2019 as well as the Implementation Regulation of the PRC Trademark Law which was adopted by the State Council on August 3, 2002 and amended on April 29, 2014. The Trademark Office of the National Intellectual Property Administration under the SAMR handles trademark registrations and grants a term of ten years to registered trademarks which may be renewed for consecutive ten-year periods upon request by the trademark owner. For licensed use of a registered trademark, the licensor must file record of the licensing of the said trademark with the Trademark Office, otherwise it may not defend against a bona fide third party. The PRC Trademark Law has adopted a “first-to-file” principle with respect to trademark registration. Where a trademark for which a registration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 </w:t>
      </w:r>
    </w:p>
    <w:p>
      <w:pPr>
        <w:pStyle w:val="TextBody"/>
        <w:bidi w:val="0"/>
        <w:spacing w:before="240" w:after="0"/>
        <w:jc w:val="left"/>
        <w:rPr>
          <w:rFonts w:ascii="Times New Roman" w:hAnsi="Times New Roman"/>
          <w:sz w:val="20"/>
        </w:rPr>
      </w:pPr>
      <w:r>
        <w:rPr>
          <w:rFonts w:ascii="Times New Roman" w:hAnsi="Times New Roman"/>
          <w:sz w:val="20"/>
        </w:rPr>
        <w:t xml:space="preserve">Under PRC law, any of the following acts will be deemed as an infringement to the exclusive right to use a registered trademark: (i) use of a trademark that is the same as a registered trademark for identical goods without the permission of the trademark registrant; (ii) use of a trademark that is similar to a registered trademark for identical goods, or use of a trademark that is the same as or similar to a registered trademark for similar goods which may lead to confusion, without the permission of the trademark registrant; (iii) sale of any goods that have infringed the exclusive right to use any registered trademark; (iv) counterfeit or unauthorized production of the label of another’s registered trademark, or sale of any such label that is counterfeited or produced without authorization; (v) change of any trademark of a registrant without the registrant’s consent, and selling goods bearing such replaced trademark on the market; (vi) intentionally facilitate infringement of other’s exclusive right to use trademarks, and assisting others in implementation of infringement of exclusive right to use trademarks; or (vii) other acts that have caused any other damage to another’s exclusive right to use a registered trademark. </w:t>
      </w:r>
    </w:p>
    <w:p>
      <w:pPr>
        <w:pStyle w:val="TextBody"/>
        <w:bidi w:val="0"/>
        <w:spacing w:before="240" w:after="0"/>
        <w:jc w:val="left"/>
        <w:rPr>
          <w:rFonts w:ascii="Times New Roman" w:hAnsi="Times New Roman"/>
          <w:sz w:val="20"/>
        </w:rPr>
      </w:pPr>
      <w:r>
        <w:rPr>
          <w:rFonts w:ascii="Times New Roman" w:hAnsi="Times New Roman"/>
          <w:sz w:val="20"/>
        </w:rPr>
        <w:t xml:space="preserve">According to the Trademark Law, in the event of any of the foregoing acts, the infringing party will be ordered to stop the infringement immediately and may be imposed a fine; the counterfeit goods will be confiscated. The infringing party may also be held liable for the right holder’s damages, which will be equal to the losses suffered by the right holder as a result of the infringement, including reasonable expenses incurred by the right holder for stopping the infringement, or the gains obtained by the infringing party if the losses are difficult to be ascertained. </w:t>
      </w:r>
    </w:p>
    <w:p>
      <w:pPr>
        <w:pStyle w:val="TextBody"/>
        <w:bidi w:val="0"/>
        <w:spacing w:before="240" w:after="0"/>
        <w:jc w:val="left"/>
        <w:rPr>
          <w:rFonts w:ascii="Times New Roman" w:hAnsi="Times New Roman"/>
          <w:sz w:val="20"/>
        </w:rPr>
      </w:pPr>
      <w:r>
        <w:rPr>
          <w:rFonts w:ascii="Times New Roman" w:hAnsi="Times New Roman"/>
          <w:sz w:val="20"/>
          <w:u w:val="single"/>
        </w:rPr>
        <w:t>Domain Names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Domain names are protected under the Administrative Measures on the Internet Domain Names which were promulgated by the Ministry of Industry and Information Technology on August 24, 2017 and became effective on November 1, 2017, and its implementing rules. The Ministry of Industry and Information Technology is the major regulatory body responsible for the administration of the PRC internet domain names, under supervision of which the China Internet Network Information Center is responsible for the daily administration of .cn domain names and Chinese domain names. The China Internet Network Information Center adopts the “first-to-file” principle with respect to the registration of domain names. On November 27, 2017, the Ministry of Industry and Information Technology promulgated the Notice of the Ministry of Industry and Information Technology on Regulating the Use of Domain Names in Providing Internet-based Information Services, which became effective on January 1, 2018. Pursuant to the notice, the domain name used by an internet-based information service provider in providing internet-based information services must be registered and owned by such provider in accordance with the law. If the internet-based information service provider is an entity, the domain name registrant must be the entity (or any of the entity’s shareholders), or the entity’s principal or senior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Regulations Relating to Foreign Currency Exchange and Dividend Distribution </w:t>
      </w:r>
    </w:p>
    <w:p>
      <w:pPr>
        <w:pStyle w:val="TextBody"/>
        <w:bidi w:val="0"/>
        <w:spacing w:before="120" w:after="0"/>
        <w:jc w:val="left"/>
        <w:rPr>
          <w:rFonts w:ascii="Times New Roman" w:hAnsi="Times New Roman"/>
          <w:sz w:val="20"/>
        </w:rPr>
      </w:pPr>
      <w:r>
        <w:rPr>
          <w:rFonts w:ascii="Times New Roman" w:hAnsi="Times New Roman"/>
          <w:sz w:val="20"/>
          <w:u w:val="single"/>
        </w:rPr>
        <w:t>Foreign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principal regulations governing foreign currency exchange in China are the Foreign Exchange Administration Regulations which were promulgated by the State Council on January 29, 1996 and most recently amended on August 5, 2008. Under the Foreign Exchange Administration Regulations, payments of current account items, such as profit distributions and trade- and service-related foreign exchange transactions, may be made in foreign currencies without prior approval from SAFE, by complying with certain procedural requirements. By contrast, approval from or registration with appropriate government authorities or banks is required where RMB is to be converted into foreign currency and remitted out of China to pay capital expenses such as the repayment of foreign currency denominated loans or foreign currency is to be remitted into China under the capital account, such as a capital increase or foreign currency loans to our PRC subsidiaries. </w:t>
      </w:r>
    </w:p>
    <w:p>
      <w:pPr>
        <w:pStyle w:val="TextBody"/>
        <w:bidi w:val="0"/>
        <w:spacing w:before="240" w:after="0"/>
        <w:jc w:val="left"/>
        <w:rPr>
          <w:rFonts w:ascii="Times New Roman" w:hAnsi="Times New Roman"/>
          <w:sz w:val="20"/>
        </w:rPr>
      </w:pPr>
      <w:r>
        <w:rPr>
          <w:rFonts w:ascii="Times New Roman" w:hAnsi="Times New Roman"/>
          <w:sz w:val="20"/>
        </w:rPr>
        <w:t xml:space="preserve">On March 30, 2015, SAFE promulgated the Circular on Reforming the Management Approach Regarding the Foreign Exchange Capital Settlement of Foreign-invested Enterprises, which came into effect as of June 1, 2015 and was partially amended on December 30, 2019. This circular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converted from their foreign exchange capitals for expenditure beyond their business scopes. </w:t>
      </w:r>
    </w:p>
    <w:p>
      <w:pPr>
        <w:pStyle w:val="TextBody"/>
        <w:bidi w:val="0"/>
        <w:spacing w:before="240" w:after="0"/>
        <w:jc w:val="left"/>
        <w:rPr>
          <w:rFonts w:ascii="Times New Roman" w:hAnsi="Times New Roman"/>
          <w:sz w:val="20"/>
        </w:rPr>
      </w:pPr>
      <w:r>
        <w:rPr>
          <w:rFonts w:ascii="Times New Roman" w:hAnsi="Times New Roman"/>
          <w:sz w:val="20"/>
        </w:rPr>
        <w:t xml:space="preserve">On June 9, 2016, SAFE promulgated the Circular on Reforming and Regulating Policies on the Control over Foreign Exchange Settlement of Capital Accounts, which came into effect on the same date. Pursuant to this circular, foreign-invested enterprises (excluding financial institutions) may go through foreign exchange settlement formalities for their foreign debts at their discretion. Violations of such circulars of SAFE could result in severe monetary or other penalties. </w:t>
      </w:r>
    </w:p>
    <w:p>
      <w:pPr>
        <w:pStyle w:val="TextBody"/>
        <w:bidi w:val="0"/>
        <w:spacing w:before="240" w:after="0"/>
        <w:jc w:val="left"/>
        <w:rPr>
          <w:rFonts w:ascii="Times New Roman" w:hAnsi="Times New Roman"/>
          <w:sz w:val="20"/>
        </w:rPr>
      </w:pPr>
      <w:r>
        <w:rPr>
          <w:rFonts w:ascii="Times New Roman" w:hAnsi="Times New Roman"/>
          <w:sz w:val="20"/>
        </w:rPr>
        <w:t xml:space="preserve">On October 23, 2019, SAFE issued SAFE Circular 28, pursuant to which foreign-invested enterprises whose approved business scope does not include equity investments are allowed to use their capital funds obtained from foreign exchange settlement to make domestic equity investments in China, provided that such investments do not violate the Negative List and the target investment projects are genuine and in compliance with laws. </w:t>
      </w:r>
    </w:p>
    <w:p>
      <w:pPr>
        <w:pStyle w:val="TextBody"/>
        <w:bidi w:val="0"/>
        <w:spacing w:before="240" w:after="0"/>
        <w:jc w:val="left"/>
        <w:rPr>
          <w:rFonts w:ascii="Times New Roman" w:hAnsi="Times New Roman"/>
          <w:sz w:val="20"/>
        </w:rPr>
      </w:pPr>
      <w:r>
        <w:rPr>
          <w:rFonts w:ascii="Times New Roman" w:hAnsi="Times New Roman"/>
          <w:sz w:val="20"/>
        </w:rPr>
        <w:t xml:space="preserve">PBOC Notice No. 9, issued by the People’s Bank of China on January 12, 2017, provides that within a transition period of one year from January 12, 2017, the foreign-invested enterprises may adopt the current cross-border financing management mechanism or the mechanism as provided in PBOC Notice No. 9 at their own discretion. PBOC Notice No. 9 also provides that enterprises may conduct independent cross-border financing in RMB or foreign currencies in accordance with PBOC Notice No. 9. According to PBOC Notice No. 9, the outstanding cross-border financing of an enterprise should be calculated using a risk-weighted approach and should not exceed the specified upper limit, and as of the date hereof, the upper limit of risk-weighted outstanding cross-border financing of a PRC enterprise is 200% of its net assets. As of the date of this annual report, neither the People’s Bank of China nor SAFE has promulgated and made public any further rules, regulations, notices, or circulars in this regard. It is uncertain which mechanism will be adopted by the People’s Bank of China and SAFE in the future and what statutory limits will be imposed on us when providing loans to our PRC subsidiary. </w:t>
      </w:r>
    </w:p>
    <w:p>
      <w:pPr>
        <w:pStyle w:val="TextBody"/>
        <w:bidi w:val="0"/>
        <w:spacing w:before="240" w:after="0"/>
        <w:jc w:val="left"/>
        <w:rPr>
          <w:rFonts w:ascii="Times New Roman" w:hAnsi="Times New Roman"/>
          <w:sz w:val="20"/>
        </w:rPr>
      </w:pPr>
      <w:r>
        <w:rPr>
          <w:rFonts w:ascii="Times New Roman" w:hAnsi="Times New Roman"/>
          <w:sz w:val="20"/>
        </w:rPr>
        <w:t xml:space="preserve">In November 2012, SAFE promulgated the Circular of Further Improving and Adjusting Foreign Exchange Administration Policies on Foreign Direct Investment, which was most recently amended in December 2019. Pursuant to this circular, the opening of various special purpose foreign exchange accounts, such as pre-establishment expenses accounts, foreign exchange capital accounts, and guarantee accounts, the reinvestment of RMB proceeds by foreign investors in China,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addition, SAFE promulgated the Circular on Printing and Distributing the Provisions on Foreign Exchange Administration over Domestic Direct Investment by Foreign Investors and the Supporting Documents in May 2013, which was further revised in 2018 and 2019, specifies that the administration by SAFE or its local branches over direct investment by foreign investors in China should be conducted by way of registration and banks should process foreign exchange business relating to the direct investment in China based on the registration information provided by SAFE and its branches.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On January 26, 2017, SAFE promulgated the Circular on Further Improving Reform of Foreign Exchange Administration and Optimizing Genuineness and Compliance Verification, which came into effect on the same day. This circular sets out various measures to tighten genuineness and compliance verification of cross-border transactions and cross-border capital flow, which include without limitation requiring banks to verify board resolutions, tax filing form, and audited financial statements before wiring foreign-invested enterprises’ foreign exchange profit distribution above US$50,000, and strengthening genuineness and compliance verification of foreign direct investments. </w:t>
      </w:r>
    </w:p>
    <w:p>
      <w:pPr>
        <w:pStyle w:val="TextBody"/>
        <w:bidi w:val="0"/>
        <w:spacing w:before="240" w:after="0"/>
        <w:jc w:val="left"/>
        <w:rPr>
          <w:rFonts w:ascii="Times New Roman" w:hAnsi="Times New Roman"/>
          <w:sz w:val="20"/>
        </w:rPr>
      </w:pPr>
      <w:r>
        <w:rPr>
          <w:rFonts w:ascii="Times New Roman" w:hAnsi="Times New Roman"/>
          <w:sz w:val="20"/>
        </w:rPr>
        <w:t xml:space="preserve">On April 10, 2020, SAFE issued the Notice of SAFE on Optimizing Foreign Exchange Administration to Support the Development of Foreign-related Business. This circular provides that under the condition that the use of the funds is genuine and compliant with current administrative provisions on use of income relating to capital account, enterprises are allowed to use income under capital account such as capital funds, foreign debts and overseas listings for domestic payment, without submission to the bank prior to each transaction of materials evidencing the veracity of such payment. </w:t>
      </w:r>
    </w:p>
    <w:p>
      <w:pPr>
        <w:pStyle w:val="TextBody"/>
        <w:bidi w:val="0"/>
        <w:spacing w:before="240" w:after="0"/>
        <w:jc w:val="left"/>
        <w:rPr>
          <w:rFonts w:ascii="Times New Roman" w:hAnsi="Times New Roman"/>
          <w:sz w:val="20"/>
        </w:rPr>
      </w:pPr>
      <w:r>
        <w:rPr>
          <w:rFonts w:ascii="Times New Roman" w:hAnsi="Times New Roman"/>
          <w:sz w:val="20"/>
          <w:u w:val="single"/>
        </w:rPr>
        <w:t>Dividend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principal regulations governing distribution of dividends of the foreign-invested enterprises include the PRC Foreign Investment Law, the Implementing Regulation of the Foreign Investment Law, and the PRC Company Law which was issued on December 29, 1993 and most recently amended on December 29, 2023. </w:t>
      </w:r>
    </w:p>
    <w:p>
      <w:pPr>
        <w:pStyle w:val="TextBody"/>
        <w:bidi w:val="0"/>
        <w:spacing w:before="240" w:after="0"/>
        <w:jc w:val="left"/>
        <w:rPr>
          <w:rFonts w:ascii="Times New Roman" w:hAnsi="Times New Roman"/>
          <w:sz w:val="20"/>
        </w:rPr>
      </w:pPr>
      <w:r>
        <w:rPr>
          <w:rFonts w:ascii="Times New Roman" w:hAnsi="Times New Roman"/>
          <w:sz w:val="20"/>
        </w:rPr>
        <w:t xml:space="preserve">Under these laws and regulations, WFOEs in China may pay dividends only out of their accumulated after-tax profits, if any, determined in accordance with PRC accounting standards and regulations. In addition, WFOEs in China are required to allocate at least 10% of their respective accumulated profits each year, if any, to fund certain reserve funds until these reserves have reached 50% of the registered capital of the enterprises. These reserves are not distributable as cash dividends. </w:t>
      </w:r>
    </w:p>
    <w:p>
      <w:pPr>
        <w:pStyle w:val="TextBody"/>
        <w:bidi w:val="0"/>
        <w:spacing w:before="240" w:after="0"/>
        <w:jc w:val="left"/>
        <w:rPr>
          <w:rFonts w:ascii="Times New Roman" w:hAnsi="Times New Roman"/>
          <w:sz w:val="20"/>
        </w:rPr>
      </w:pPr>
      <w:r>
        <w:rPr>
          <w:rFonts w:ascii="Times New Roman" w:hAnsi="Times New Roman"/>
          <w:sz w:val="20"/>
          <w:u w:val="single"/>
        </w:rPr>
        <w:t>Offshore 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SAFE promulgated SAFE Circular 37 on July 4, 2014. SAFE Circular 37 requires PRC residents to register with local branches of SAFE in connection with their direct or indirect offshore investment activities. Under SAFE Circular 37, (i) a “special purpose vehicle” refers to an offshore entity directly established or indirectly controlled by PRC residents for the purpose of seeking offshore equity financing or making offshore investment, using legitimate domestic or offshore assets or interests owned by such PRC residents; (ii) “round trip investment” refers to the direct investment in China by such PRC residents through the special purpose vehicle, including, without limitation, establishing foreign-invested enterprises and using such foreign-invested enterprises to purchase or control onshore assets through contractual arrangements; and (iii) “control” is broadly defined as the operation rights, beneficiary rights or decision-making rights acquired by the PRC residents in the offshore special purpose vehicles or PRC companies by such means as acquisition, trust, proxy, voting rights, repurchase, convertible bonds, or other arrangements. SAFE Circular 37 requires PRC residents to complete a foreign exchange registration of overseas investment with the competent local branches of SAFE before making capital contribution into a special purpose vehicle. SAFE Circular 37 further requires the filing of amendment to the registration in the event of any changes with respect to the special purpose vehicle, including basic information changes such as changes in a PRC resident individual shareholder, name of special purpose vehicle, or operation period, and significant changes such as changes in the capital contributed by PRC residents, share transfer or exchange, merger, division, or other material events. On February 13, 2015, SAFE promulgated a Notice on Further Simplifying and Improving Foreign Exchange Administration Policy on Direct Investment, which became effective on June 1, 2015 and was amended on December 30, 2019. After this notice becomes effective, application for foreign exchange registration of inbound foreign direct investment and outbound overseas direct investment, including those required under SAFE Circular 37, will be filed with qualified banks instead of SAFE. The qualified banks will directly examine the applications and accept registrations under the supervision of SAFE. Beneficial owners of the special purpose vehicle who are PRC citizens are also required to make annual filing with the local banks regarding their overseas direct investment status. If any PRC resident shareholder of the special purpose vehicle fails to make the required registration or to update the previously filed registration, the PRC subsidiaries of the special purpose vehicle may be prohibited from distributing their profits or the proceeds from any capital reduction, share transfer, or liquidation to the special purpose vehicle, and the special purpose vehicle may also be prohibited from making additional capital contribution into its PRC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Foreign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January 5, 2023, the NDRC promulgated the Administrative Measures for Examination and Registration of Medium- and Long-term Foreign Debts of Enterprises, which came into effect on February 10, 2023. For the purpose of these measures, medium- and long-term foreign debts, or foreign debts, refer to debt instruments with a maturity of more than one year that are borrowed from overseas by enterprises within the territory of China and by overseas companies or branches controlled by them, denominated in Renminbi or a foreign currency, and with the principal repaid and interest accrued as agreed. According to these measures, before the borrowing of any foreign debts, enterprises must obtain from the NDRC the Certificate of Examination and Registration of Foreign Debts Borrowed by Enterprises and complete the formalities of examination and registration. The enterprises that have not completed such examination and registration formalities cannot borrow foreign debts. In addition, such enterprise must, within 10 business days after each borrowing of foreign debts, report the information on such borrowing of foreign debts to the NDRC.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these measures, the requirement of the examination and registration formalities also apply to the indirect borrowing of foreign debts overseas by PRC domestic enterprises. These measures also provide that if an enterprise, whose principal business activities are conducted in China, issues bonds or borrows commercial loans overseas in the name of an enterprise registered overseas, based on the equity, assets, earnings or other similar rights and interests of the PRC domestic enterprise, such conduct of the enterprise would be deemed as an indirect borrowing of foreign debts overseas by domestic enterprises. However, substantial uncertainties remain as to the implementation and interpretation of these measures. </w:t>
      </w:r>
    </w:p>
    <w:p>
      <w:pPr>
        <w:pStyle w:val="TextBody"/>
        <w:bidi w:val="0"/>
        <w:spacing w:before="240" w:after="0"/>
        <w:jc w:val="left"/>
        <w:rPr>
          <w:rFonts w:ascii="Times New Roman" w:hAnsi="Times New Roman"/>
          <w:sz w:val="20"/>
        </w:rPr>
      </w:pPr>
      <w:r>
        <w:rPr>
          <w:rFonts w:ascii="Times New Roman" w:hAnsi="Times New Roman"/>
          <w:sz w:val="20"/>
        </w:rPr>
        <w:t xml:space="preserve">On December 4, 2023, SAFE promulgated the Circular on Further Deepening the Reform to Facilitate Cross-border Trade and Investment, pursuant to which the pilot policies for facilitating cross-border financing are extended nationwide. Qualified high and new technology enterprises, specialized and sophisticated enterprises that produce new and unique products and core technologies and technology-based small and medium-sized enterprises within 14 provinces can independently borrow foreign debts within the limit of the equivalent of US$10 million, The qualified enterprises within other provinces can borrow foreign debts within the limit of the equivalent of US$5 million. </w:t>
      </w:r>
    </w:p>
    <w:p>
      <w:pPr>
        <w:pStyle w:val="TextBody"/>
        <w:bidi w:val="0"/>
        <w:spacing w:before="240" w:after="0"/>
        <w:jc w:val="left"/>
        <w:rPr>
          <w:rFonts w:ascii="Times New Roman" w:hAnsi="Times New Roman"/>
          <w:sz w:val="20"/>
        </w:rPr>
      </w:pPr>
      <w:r>
        <w:rPr>
          <w:rFonts w:ascii="Times New Roman" w:hAnsi="Times New Roman"/>
          <w:sz w:val="20"/>
          <w:u w:val="single"/>
        </w:rPr>
        <w:t>Stock Incentive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Administrative Measures for Individual Foreign Exchange, which were promulgated by the People’s Bank of China on December 25, 2006 and became effective on February 1, 2007, all foreign exchange matters involved in employee share ownership plans and share option plans in which PRC citizens participate require approval from SAFE or its authorized branch. On January 5, 2007, SAFE issued the Detailed Rules on the Implementation of the Administrative Measures for Individual Foreign Exchange, which came into effect on February 1, 2007 and were last amended on March 23, 2023. Such detailed rules, among other things, specify the approval requirements for certain capital account transactions such as a PRC citizen’s participation in the employee stock ownership plans or stock option plans of an overseas publicly-listed company. Pursuant to SAFE Circular 37, PRC residents who participate in share incentive plans in overseas non-publicly-listed companies may submit applications to SAFE or its local branches for the foreign exchange registration with respect to offshore special purpose companies. Pursuant to the Notice on Issues Concerning the Foreign Exchange Administration for Domestic Individuals Participating in Stock Incentive Plan of Overseas Publicly Listed Company, which was promulgated by SAFE on February 15, 2012, PRC residents or non-PRC citizens residing in China for a consecutive period of no less than one year, subject to a few exceptions, who are granted shares or stock options by companies listed on overseas stock exchanges based on the stock incentive plans are required to register with SAFE or its local branches. Pursuant to this notice, PRC residents participating in the stock incentive plans of overseas-listed companies must retain a qualified PRC agent, which could be a PRC subsidiary of such overseas publicly-listed company or another qualified institution selected by such PRC subsidiary, to conduct registration with SAFE and other procedures with respect to the stock incentive plans on behalf of these participants. Such participants must also retain an overseas entrusted institution to handle matters in connection with their exercise of stock options, purchase and sale of corresponding stocks or interests, and fund transfer. In addition, the PRC agents are required to amend the registration with SAFE with respect to the stock incentive plan if there is any material change to the stock incentive plan, the PRC agents, or the overseas entrusted institution, or other material changes. The PRC agents should, on behalf of these individuals who have the right to exercise the employee share options, apply to SAFE or its local branches for an annual quota for the payment of foreign currencies in connection with such individuals’ exercise of the employee share options. The foreign exchange proceeds received by such individuals from the sale of shares under the stock incentive plans granted and dividends distributed by the overseas-listed companies must be remitted into the bank accounts in China opened by the PRC agents before distribution to such individuals.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 the Circular of the State Taxation Administration on Issues Concerning Individual Income Tax in Relation to Equity Incentives promulgated and became effective on August 24, 2009 and amended on April 18, 2011 by the State Taxation Administration, listed companies and their domestic organizations will, according to the individual income tax calculation methods for “wage and salary income” and stock option income, lawfully withhold and pay individual income tax on such income.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Relating to Tax </w:t>
      </w:r>
    </w:p>
    <w:p>
      <w:pPr>
        <w:pStyle w:val="TextBody"/>
        <w:bidi w:val="0"/>
        <w:spacing w:before="120" w:after="0"/>
        <w:jc w:val="left"/>
        <w:rPr>
          <w:rFonts w:ascii="Times New Roman" w:hAnsi="Times New Roman"/>
          <w:sz w:val="20"/>
        </w:rPr>
      </w:pPr>
      <w:r>
        <w:rPr>
          <w:rFonts w:ascii="Times New Roman" w:hAnsi="Times New Roman"/>
          <w:sz w:val="20"/>
          <w:u w:val="single"/>
        </w:rPr>
        <w:t>Enterprise Income Tax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PRC enterprise income tax is calculated based on the taxable income determined under the Enterprise Income Tax Law, which became effective on January 1, 2008 and was most recently amended on December 29, 2018. The Enterprise Income Tax Law imposes a uniform enterprise income tax rate of 25% on all PRC resident enterprises, including foreign-invested enterprises. The Enterprise Income Tax Law and its implementation rules permit “high and new technology enterprises” to benefit from a preferential enterprise income tax rate of 15% subject to these high and new technology enterprises meeting certain qualification criteria. </w:t>
      </w:r>
    </w:p>
    <w:p>
      <w:pPr>
        <w:pStyle w:val="TextBody"/>
        <w:bidi w:val="0"/>
        <w:spacing w:before="240" w:after="0"/>
        <w:jc w:val="left"/>
        <w:rPr>
          <w:rFonts w:ascii="Times New Roman" w:hAnsi="Times New Roman"/>
          <w:sz w:val="20"/>
        </w:rPr>
      </w:pPr>
      <w:r>
        <w:rPr>
          <w:rFonts w:ascii="Times New Roman" w:hAnsi="Times New Roman"/>
          <w:sz w:val="20"/>
        </w:rPr>
        <w:t xml:space="preserve">Moreover, under the Enterprise Income Tax Law, enterprises organized under the laws of jurisdictions outside China with their “de facto management bodies” located within China may be considered PRC resident enterprises and are therefore subject to PRC enterprise income tax at the rate of 25% on their worldwide income. Though the implementation rules of the Enterprise Income Tax Law define “de facto management bodies” as “establishments that carry out substantial and overall management and control over the manufacturing and business operations, personnel, accounting, and properties, among others, of an enterprise,” the only detailed guidance currently available for the definition of “de facto management body” as well as the determination of offshore incorporated PRC tax resident status and its administration are set forth in STA Circular 82 and STA Bulletin 45, both issued by the State Taxation Administration, which provide guidance on the administration as well as determination of the tax residency status of a Chinese-controlled offshore-incorporated enterprise, defined as an enterprise that is incorporated under the law of a foreign country or territory and that has a PRC company or PRC corporate group as its primary controlling shareholder. </w:t>
      </w:r>
    </w:p>
    <w:p>
      <w:pPr>
        <w:pStyle w:val="TextBody"/>
        <w:bidi w:val="0"/>
        <w:spacing w:before="240" w:after="0"/>
        <w:jc w:val="left"/>
        <w:rPr>
          <w:rFonts w:ascii="Times New Roman" w:hAnsi="Times New Roman"/>
          <w:sz w:val="20"/>
        </w:rPr>
      </w:pPr>
      <w:r>
        <w:rPr>
          <w:rFonts w:ascii="Times New Roman" w:hAnsi="Times New Roman"/>
          <w:sz w:val="20"/>
        </w:rPr>
        <w:t xml:space="preserve">According to STA Circular 82, a Chinese-controlled offshore-incorporated enterprise will be regarded as a PRC tax resident by virtue of having its “de facto management body” in China and will be subject to PRC enterprise income tax on its global income only if all of the following conditions set forth in STA Circular 82 are met: (i) the primary location of the day-to-day operational management and the places where they perform their duties are in China; (ii) decisions relating to the enterprise’s financial and human resource matters are made or are subject to approval of organizations or personnel in China; (iii) the enterprise’s primary assets, accounting books and records, company seals, and board and shareholder resolutions are located or maintained in China; and (iv) 50% or more of voting board members or senior executives habitually reside in China. In addition, STA Bulletin 45 provides clarification on the resident status determination, post-determination administration, and competent tax authorities. It also specifies that when provided with a copy of a PRC resident determination certificate from a resident Chinese-controlled offshore-incorporated enterprise, the payer should not withhold 10% income tax when paying certain PRC-sourced income such as dividends, interest, and royalties to the Chinese-controlled offshore-incorporated enterprise. </w:t>
      </w:r>
    </w:p>
    <w:p>
      <w:pPr>
        <w:pStyle w:val="TextBody"/>
        <w:bidi w:val="0"/>
        <w:spacing w:before="240" w:after="0"/>
        <w:jc w:val="left"/>
        <w:rPr>
          <w:rFonts w:ascii="Times New Roman" w:hAnsi="Times New Roman"/>
          <w:sz w:val="20"/>
        </w:rPr>
      </w:pPr>
      <w:r>
        <w:rPr>
          <w:rFonts w:ascii="Times New Roman" w:hAnsi="Times New Roman"/>
          <w:sz w:val="20"/>
          <w:u w:val="single"/>
        </w:rPr>
        <w:t>Dividend Withholding Tax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Enterprise Income Tax Law and the implementation rules provide that an income tax rate of 10% will normally be applicable to dividends payable to investors that are “non-PRC resident enterprises,” and gains derived by such investors, which (i) do not have an establishment or place of business in China or (ii) have an establishment or place of business in China, but the income is not effectively connected with the establishment or place of business to the extent such dividends and gains are derived from sources within China. The State Council or a tax treaty between China and the jurisdictions in which the non-PRC investors reside may reduce such income tax. Pursuant to an Arrangement Between the Mainland China and the Hong Kong Special Administrative Region for the Avoidance of Double Taxation and the Prevention of Fiscal Evasion with respect to Taxes on Income and other applicable PRC laws, if a Hong Kong resident enterprise is determined by the competent PRC tax authority to have satisfied the conditions and requirements, the 10% withholding tax on the dividends the Hong Kong resident enterprise receives from a PRC resident enterprise may be reduced to 5%. However, based on the Notice on Certain Issues with Respect to the Enforcement of Dividend Provisions in Tax Treaties issued by the State Taxation Administration on February 20, 2009, if the PRC tax authorities determine, in their discretion, that a company benefits from such reduced income tax rate due to a structure or arrangement that is primarily tax-driven, such PRC tax authorities may adjust the preferential tax treatment. Based on the Circular on Issues concerning the “Beneficial Owner” in Tax Treaties issued by the State Taxation Administration on February 3, 2018, which became effective on April 1, 2018, a comprehensive analysis should be conducted based on the factors set out in the present article and in combination with the actual conditions of specific cases, and certain factors which will negatively affect the determination of an applicant’s status as a “beneficial owner” are provided, such as the business activities engaged in by the applicant do not constitute substantive business activities. On October 14, 2019, the State Taxation Administration promulgated the Administrative Measures for Non-resident Taxpayers to Enjoy Treatment under Treaties, which became effective on January 1, 2020. These administrative measures provide that non-PRC resident enterprises are not required to obtain pre-approval from the tax authorities in order to enjoy the reduced withholding tax. Instead, non-PRC resident enterprises and their withholding agents may, by self-assessment and on confirmation that the prescribed criteria to enjoy the tax treaty benefits are met, directly apply the reduced withholding tax rate, and include necessary forms and supporting documents in the tax filings, which will be subject to post-tax filing examinations by the tax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Indirect Transfer of Properties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February 3, 2015, the State Taxation Administration issued STA Public Notice 7. In December 2017, Article 13 and Paragraph 2 of Article 8 of STA Public Notice 7 were abolished by Decision of the State Taxation Administration on Issuing the Lists of Invalid and Abolished Tax Departmental Rules and Taxation Normative Documents effective on December 29, 2017 and the Circular on Issues concerning Withholding of Enterprise Income Tax for Non-PRC Resident Enterprises, or STA Circular 37, effective on December 1,2017, which was amended on June 15, 2018, respectively. By promulgating and implementing these notices, the PRC tax authorities have enhanced their scrutiny over the direct or indirect transfer of equity interests in a PRC resident enterprise by a non-PRC resident enterprise. Pursuant to STA Public Notice 7, as amended, in the event that a non-PRC resident enterprise indirectly transfers equities and other properties of a PRC resident enterprise to evade its obligation of paying enterprise income tax by implementing arrangements that are not for reasonable commercial purpose, such indirect transfer should be re-identified and recognized as a direct transfer of equities and other properties of the PRC resident enterprise. STA Public Notice 7, as amended, provides clear criteria for assessment of reasonable commercial purposes and has introduced safe harbors for internal group restructurings and the purchase and sale of equity through a public securities market. STA Public Notice 7 also brings challenges to both offshore transferor and transferee (or another person who is obligated to pay for the transfer) of taxable assets. Where a non-PRC resident enterprise transfers taxable assets indirectly by disposing of the equity interests of an offshore holding company, which is an indirect transfer, the non-PRC resident enterprise as either transferor or transferee, or the PRC entity that directly owns the taxable assets, may report such indirect transfer to the tax authority. Using a “substance-over-form” principle, the PRC tax authority may disregard the existence of the offshore holding company if it lacks a reasonable commercial purpose and was established for the purpose of reducing, avoiding, or deferring PRC tax. As a result, gains derived from such indirect transfer may be subject to enterprise income tax, and the transferee or another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 </w:t>
      </w:r>
    </w:p>
    <w:p>
      <w:pPr>
        <w:pStyle w:val="TextBody"/>
        <w:bidi w:val="0"/>
        <w:spacing w:before="240" w:after="0"/>
        <w:jc w:val="left"/>
        <w:rPr>
          <w:rFonts w:ascii="Times New Roman" w:hAnsi="Times New Roman"/>
          <w:sz w:val="20"/>
        </w:rPr>
      </w:pPr>
      <w:r>
        <w:rPr>
          <w:rFonts w:ascii="Times New Roman" w:hAnsi="Times New Roman"/>
          <w:sz w:val="20"/>
        </w:rPr>
        <w:t xml:space="preserve">Issues concerning the withholding of enterprise income tax of the China-sourced income, which refers to income obtained from sources within China by non-PRC resident enterprises that (a) do not have an establishment or place of business in China or (b) have an establishment or place of business in China, but the income is not effectively connected with the establishment or place of business in China, should be subject to STA Circular 37. China-sourced income includes income from equity investment such as dividend and bonus, income from interest, rental and royalties, income from the property transfer, and other income. Pursuant to STA Circular 37, non-PRC resident enterprises must pay enterprise income tax in relation to their China-sourced income, and the entities which have the direct obligation to make certain payments to a non-PRC resident enterprise should be the tax withholders for such non-PRC resident enterprise. The tax withholders must, within seven days of the day on which the withholding obligation occurs, which is the day when the payment is made in fact or becomes due, declare and remit the withholding tax to the competent tax authority. When declaring and remitting the withholding tax payable, the tax withholders must complete the Withholding Statement of China for Enterprise Income Tax. In the event that the tax withholder fails to withhold and remit the taxable enterprise income tax for a non-PRC resident enterprise, or is unable to perform its obligation mentioned above, the non-PRC resident enterprise must declare and pay the enterprise income tax to the competent tax authority, and complete the Withholding Statement of China for Enterprise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Value-added Tax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taxpayers selling goods or providing processing, repairing, or replacement labor services, sales of services, intangible assets and real property and importing goods in China must pay a value-added tax in accordance with the Provisional Regulations on Value-added Tax and its implementation rules. The Provisional Regulations on Valued-added Tax were issued by the State Council in December 1993 and last amended on November 19, 2017. The regulations applicable to the prevailing value-added tax are the Notice of the Ministry of Finance and the State Taxation Administration on Adjusting Value added Tax Rates, issued on April 4, 2018 and effective on May 1, 2018, and the Notice of the Ministry of Finance, the State Taxation Administration and the General Administration of Customs on Relevant Policies for Deepening Value Added Tax Reform, issued on March 20, 2019 and effective on April 1, 2019. The rate of value-added tax applicable to our PRC subsidiaries and the variable interest entities generally varies up to 13% depending on the product type. </w:t>
      </w:r>
    </w:p>
    <w:p>
      <w:pPr>
        <w:pStyle w:val="TextBody"/>
        <w:bidi w:val="0"/>
        <w:spacing w:before="240" w:after="0"/>
        <w:jc w:val="left"/>
        <w:rPr>
          <w:rFonts w:ascii="Times New Roman" w:hAnsi="Times New Roman"/>
          <w:sz w:val="20"/>
        </w:rPr>
      </w:pPr>
      <w:r>
        <w:rPr>
          <w:rFonts w:ascii="Times New Roman" w:hAnsi="Times New Roman"/>
          <w:sz w:val="20"/>
        </w:rPr>
        <w:t xml:space="preserve">On December 25, 2024, the SCNPC promulgated the VAT Law of the PRC, which will become effective on January 1, 2026 and will replace the Provisional Regulations on Value-added Tax. The VAT Law provides that VAT rates generally applicable are simplified as 13%, 9% and 6%, and the VAT rate for simplified tax calculation method is 3%. </w:t>
      </w:r>
    </w:p>
    <w:p>
      <w:pPr>
        <w:pStyle w:val="TextBody"/>
        <w:bidi w:val="0"/>
        <w:spacing w:before="360" w:after="0"/>
        <w:jc w:val="left"/>
        <w:rPr>
          <w:rFonts w:ascii="Times New Roman" w:hAnsi="Times New Roman"/>
          <w:i/>
          <w:sz w:val="20"/>
        </w:rPr>
      </w:pPr>
      <w:r>
        <w:rPr>
          <w:rFonts w:ascii="Times New Roman" w:hAnsi="Times New Roman"/>
          <w:i/>
          <w:sz w:val="20"/>
        </w:rPr>
        <w:t xml:space="preserve">Regulations Relating to Employment Laws </w:t>
      </w:r>
    </w:p>
    <w:p>
      <w:pPr>
        <w:pStyle w:val="TextBody"/>
        <w:bidi w:val="0"/>
        <w:spacing w:before="120" w:after="0"/>
        <w:jc w:val="left"/>
        <w:rPr>
          <w:rFonts w:ascii="Times New Roman" w:hAnsi="Times New Roman"/>
          <w:sz w:val="20"/>
        </w:rPr>
      </w:pPr>
      <w:r>
        <w:rPr>
          <w:rFonts w:ascii="Times New Roman" w:hAnsi="Times New Roman"/>
          <w:sz w:val="20"/>
        </w:rPr>
        <w:t xml:space="preserve">The PRC Labor Law, which became effective on January 1, 1995, and was amended on August 27, 2009 and December 29, 2018, and the PRC Labor Contract Law, which became effective on January 1, 2008 and was amended on December 28, 2012, provide requirements concerning employment contracts between an employer and its employees. Pursuant to the Labor Contract Law, a written labor contract is required when an employment relationship is established between an employer and an employee. An employer is obligated to sign a labor contract with an employee with an indefinite term if the employer continues to employ the employee after two consecutive fixed-term labor contracts. The Labor Contract Law and its implementation rules also require compensation to be paid upon certain terminations. Other labor-related regulations and rules of China stipulate the maximum number of working hours per day and per week as well as the minimum wages. An employer is required to set up occupational safety and sanitation systems, implement the national occupational safety and sanitation rules and standards, educate employees on occupational safety and sanitation, prevent accidents at work, and reduce occupational hazards. </w:t>
      </w:r>
    </w:p>
    <w:p>
      <w:pPr>
        <w:pStyle w:val="TextBody"/>
        <w:bidi w:val="0"/>
        <w:spacing w:before="240" w:after="0"/>
        <w:jc w:val="left"/>
        <w:rPr>
          <w:rFonts w:ascii="Times New Roman" w:hAnsi="Times New Roman"/>
          <w:sz w:val="20"/>
        </w:rPr>
      </w:pPr>
      <w:r>
        <w:rPr>
          <w:rFonts w:ascii="Times New Roman" w:hAnsi="Times New Roman"/>
          <w:sz w:val="20"/>
        </w:rPr>
        <w:t xml:space="preserve">On October 28, 2010, the Standing Committee of the National People’s Congress promulgated the PRC Social Insurance Law, which became effective on July 1, 2011 and was amended on December 29, 2018. In accordance with the PRC Social Insurance Law and other laws and regulations, China establishes a social insurance system including basic pension insurance, basic medical insurance, work-related injury insurance, unemployment insurance, and maternity insurance. An employer must pay the social insurance for its employees in accordance with the rates provided under the regulations and must withhold the social insurance that should be assumed by the employees. The authorities in charge of social insurance may request an employer’s compliance and impose sanctions if such employer fails to pay and withhold social insurance in a timely manner. Under the Regulations on the Administration of Housing Fund, which were promulgated on April 3, 1999, and were most recently amended on March 24, 2019, PRC companies must register with applicable housing fund management centers and establish a special housing fund account in an entrusted bank. Both PRC companies and their employees are required to contribute to the housing funds. An enterprise that fails to make housing fund contributions may be ordered to rectify the non-compliance and pay the required contributions within a stipulated deadline; otherwise, an application may be made to a local court for compulsory enforcement.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PRC Labor Law and Interim Provisions on Labor Dispatch, which were promulgated by the Ministry of Human Resources and Social Security on January 24, 2014 and became effective on March 1, 2014, labor dispatch employment is a supplemental form which can only be adopted for temporary, auxiliary, or alternative job positions. Temporary positions are positions subsisting for no more than six months; auxiliary positions are positions of non-major business serving for major businesses; and alternative positions are positions that can be held by dispatched laborers for a certain period of time during which the formal laborers are temporarily out of their positions for reasons. An employer is required to strictly control the number of dispatched laborers, which should not exceed 10% of the total number of its labor force.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00" w:type="dxa"/>
        <w:jc w:val="left"/>
        <w:tblInd w:w="0" w:type="dxa"/>
        <w:tblLayout w:type="fixed"/>
        <w:tblCellMar>
          <w:top w:w="0" w:type="dxa"/>
          <w:left w:w="0" w:type="dxa"/>
          <w:bottom w:w="0" w:type="dxa"/>
          <w:right w:w="0" w:type="dxa"/>
        </w:tblCellMar>
      </w:tblPr>
      <w:tblGrid>
        <w:gridCol w:w="275"/>
        <w:gridCol w:w="2225"/>
      </w:tblGrid>
      <w:tr>
        <w:trPr/>
        <w:tc>
          <w:tcPr>
            <w:tcW w:w="275" w:type="dxa"/>
            <w:tcBorders/>
            <w:vAlign w:val="center"/>
          </w:tcPr>
          <w:p>
            <w:pPr>
              <w:pStyle w:val="TableContents"/>
              <w:bidi w:val="0"/>
              <w:spacing w:before="0" w:after="283"/>
              <w:jc w:val="left"/>
              <w:rPr>
                <w:b/>
              </w:rPr>
            </w:pPr>
            <w:r>
              <w:rPr>
                <w:b/>
              </w:rPr>
              <w:t>C.</w:t>
            </w:r>
          </w:p>
        </w:tc>
        <w:tc>
          <w:tcPr>
            <w:tcW w:w="2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Organizational Structure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Corporate Structure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diagram illustrates our corporate structure, including our principal subsidiaries and the principal consolidated variable interest entity as of the date of this annual report: </w:t>
      </w:r>
    </w:p>
    <w:p>
      <w:pPr>
        <w:pStyle w:val="TextBody"/>
        <w:bidi w:val="0"/>
        <w:spacing w:before="0" w:after="0"/>
        <w:jc w:val="left"/>
        <w:rPr/>
      </w:pPr>
      <w:r>
        <w:rPr/>
        <w:t> </w:t>
      </w:r>
    </w:p>
    <w:p>
      <w:pPr>
        <w:pStyle w:val="TextBody"/>
        <w:bidi w:val="0"/>
        <w:spacing w:before="0" w:after="0"/>
        <w:jc w:val="center"/>
        <w:rPr/>
      </w:pPr>
      <w:r>
        <w:rPr/>
        <w:drawing>
          <wp:inline distT="0" distB="0" distL="0" distR="0">
            <wp:extent cx="9525000" cy="425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4257675"/>
                    </a:xfrm>
                    <a:prstGeom prst="rect">
                      <a:avLst/>
                    </a:prstGeom>
                  </pic:spPr>
                </pic:pic>
              </a:graphicData>
            </a:graphic>
          </wp:inline>
        </w:drawing>
      </w:r>
      <w:r>
        <w:rPr/>
        <w:t xml:space="preserve">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Notes: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305"/>
        <w:gridCol w:w="5330"/>
      </w:tblGrid>
      <w:tr>
        <w:trPr/>
        <w:tc>
          <w:tcPr>
            <w:tcW w:w="305" w:type="dxa"/>
            <w:tcBorders/>
            <w:vAlign w:val="center"/>
          </w:tcPr>
          <w:p>
            <w:pPr>
              <w:pStyle w:val="TableContents"/>
              <w:bidi w:val="0"/>
              <w:spacing w:before="0" w:after="283"/>
              <w:jc w:val="left"/>
              <w:rPr/>
            </w:pPr>
            <w:r>
              <w:rPr/>
              <w:t>(1)</w:t>
            </w:r>
          </w:p>
        </w:tc>
        <w:tc>
          <w:tcPr>
            <w:tcW w:w="5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Subsidiaries primarily engaged in product procurement business.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(2)</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Vipshop E-Commerce is a consolidated variable interest entity that primarily engages in e-commerce platform operation. Shareholders of Vipshop E-Commerce include Eric Ya Shen, our chairman of the board of directors and chief executive officer, and Chan Huang, our employee, holding 66.7% and 33.3% of the total equity interests in Vipshop E-Commerce, respectively. </w:t>
            </w:r>
          </w:p>
        </w:tc>
      </w:tr>
    </w:tbl>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(3)</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Vipshop Information is a consolidated variable interest entity that primarily engages in internet finance business, which represents a nominal portion of our business. Shareholders of Vipshop Information include Eric Ya Shen and Chan Huang, holding 99.2% and 0.8% of the total equity interests in Vipshop Information, respectively.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Pin Jun Tong is a consolidated variable interest entity with no substantive business. Shareholders of Pin Jun Tong include our co-founders and shareholders Eric Ya Shen and Arthur Xiaobo Hong, holding 65% and 35% of the total equity interests in Pin Jun Tong, respectively.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(5)</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Subsidiaries primarily engaged in retail businesses and warehousing services in the cities of Zhaoqing, Jianyang, Tianjin, and the regions around them. </w:t>
            </w:r>
          </w:p>
        </w:tc>
      </w:tr>
    </w:tbl>
    <w:tbl>
      <w:tblPr>
        <w:tblW w:w="7975" w:type="dxa"/>
        <w:jc w:val="left"/>
        <w:tblInd w:w="0" w:type="dxa"/>
        <w:tblLayout w:type="fixed"/>
        <w:tblCellMar>
          <w:top w:w="0" w:type="dxa"/>
          <w:left w:w="0" w:type="dxa"/>
          <w:bottom w:w="0" w:type="dxa"/>
          <w:right w:w="0" w:type="dxa"/>
        </w:tblCellMar>
      </w:tblPr>
      <w:tblGrid>
        <w:gridCol w:w="305"/>
        <w:gridCol w:w="7670"/>
      </w:tblGrid>
      <w:tr>
        <w:trPr/>
        <w:tc>
          <w:tcPr>
            <w:tcW w:w="305" w:type="dxa"/>
            <w:tcBorders/>
            <w:vAlign w:val="center"/>
          </w:tcPr>
          <w:p>
            <w:pPr>
              <w:pStyle w:val="TableContents"/>
              <w:bidi w:val="0"/>
              <w:spacing w:before="0" w:after="283"/>
              <w:jc w:val="left"/>
              <w:rPr/>
            </w:pPr>
            <w:r>
              <w:rPr/>
              <w:t>(6)</w:t>
            </w:r>
          </w:p>
        </w:tc>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Subsidiaries primarily engaged in software development and information technology support.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Foreign ownership of internet-based businesses is subject to significant restrictions under current PRC laws and regulations. The PRC government regulates internet access, the distribution of online information, and the conduct of online commerce through strict business licensing requirements and other government regulations. We are a Cayman Islands company and our PRC subsidiaries, including Vipshop China and its subsidiaries, are WFOEs. As a WFOE, Vipshop China is restricted from holding the licenses that are necessary for our online operation in China. To comply with these restrictions, our Vipshop Online Platform is operated by the consolidated variable interest entities in China. Vipshop E-Commerce currently holds the primary licenses necessary to conduct our internet-related operations in China. </w:t>
      </w:r>
    </w:p>
    <w:p>
      <w:pPr>
        <w:pStyle w:val="TextBody"/>
        <w:bidi w:val="0"/>
        <w:spacing w:before="240" w:after="0"/>
        <w:jc w:val="left"/>
        <w:rPr>
          <w:rFonts w:ascii="Times New Roman" w:hAnsi="Times New Roman"/>
          <w:sz w:val="20"/>
        </w:rPr>
      </w:pPr>
      <w:r>
        <w:rPr>
          <w:rFonts w:ascii="Times New Roman" w:hAnsi="Times New Roman"/>
          <w:sz w:val="20"/>
        </w:rPr>
        <w:t xml:space="preserve">Our PRC subsidiaries have entered into three sets of contractual arrangements with the consolidated variable interest entities and their respective shareholders. The one primary set of contractual arrangement that we currently rely on to conduct our main business is entered into by Vipshop China, Vipshop E-Commerce, and shareholders of Vipshop E-Commerce. </w:t>
      </w:r>
    </w:p>
    <w:p>
      <w:pPr>
        <w:pStyle w:val="TextBody"/>
        <w:bidi w:val="0"/>
        <w:spacing w:before="240" w:after="0"/>
        <w:jc w:val="left"/>
        <w:rPr>
          <w:rFonts w:ascii="Times New Roman" w:hAnsi="Times New Roman"/>
          <w:sz w:val="20"/>
        </w:rPr>
      </w:pPr>
      <w:r>
        <w:rPr>
          <w:rFonts w:ascii="Times New Roman" w:hAnsi="Times New Roman"/>
          <w:sz w:val="20"/>
        </w:rPr>
        <w:t xml:space="preserve">The other two sets of contractual arrangements include: (i) one set entered into by Vipshop China, Vipshop Information, and shareholders of Vipshop Information; and (ii) one set entered into by Vipshop China, Pin Jun Tong, and shareholders of Pin Jun Tong. The contractual arrangements enable us to: </w:t>
      </w:r>
    </w:p>
    <w:p>
      <w:pPr>
        <w:pStyle w:val="TextBody"/>
        <w:bidi w:val="0"/>
        <w:spacing w:before="0" w:after="0"/>
        <w:jc w:val="left"/>
        <w:rPr/>
      </w:pPr>
      <w:r>
        <w:rPr/>
        <w:t> </w:t>
      </w:r>
    </w:p>
    <w:tbl>
      <w:tblPr>
        <w:tblW w:w="6310" w:type="dxa"/>
        <w:jc w:val="left"/>
        <w:tblInd w:w="0" w:type="dxa"/>
        <w:tblLayout w:type="fixed"/>
        <w:tblCellMar>
          <w:top w:w="0" w:type="dxa"/>
          <w:left w:w="0" w:type="dxa"/>
          <w:bottom w:w="0" w:type="dxa"/>
          <w:right w:w="0" w:type="dxa"/>
        </w:tblCellMar>
      </w:tblPr>
      <w:tblGrid>
        <w:gridCol w:w="75"/>
        <w:gridCol w:w="110"/>
        <w:gridCol w:w="60"/>
        <w:gridCol w:w="6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management decisions of the consolidated variable interest entities;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receive substantially all of the economic benefits of the consolidated variable interest entities through service fees, which are equal to 100% of the consolidated variable interest entities’ net income and may be adjusted at our PRC subsidiaries’ sole discretion, in consideration for the technical and consulting services provided by our PRC subsidiaries;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an exclusive option to purchase, or designate one or more person(s) to purchase, all of the equity interests in the consolidated variable interest entities to the extent permitted under PRC laws, regulations and legal procedures.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do not have any equity interest in the consolidated variable interest entities. However, as a result of contractual arrangements, we are considered the primary beneficiary of the consolidated variable interest entities, and we treat them as the consolidated variable interest entities under U.S. GAAP. We have consolidated the financial results of the consolidated variable interest entities in our consolidated financial statements included in this annual report in accordance with U.S. GAAP. </w:t>
      </w:r>
    </w:p>
    <w:p>
      <w:pPr>
        <w:pStyle w:val="TextBody"/>
        <w:bidi w:val="0"/>
        <w:spacing w:before="240" w:after="0"/>
        <w:jc w:val="left"/>
        <w:rPr>
          <w:rFonts w:ascii="Times New Roman" w:hAnsi="Times New Roman"/>
          <w:sz w:val="20"/>
        </w:rPr>
      </w:pPr>
      <w:r>
        <w:rPr>
          <w:rFonts w:ascii="Times New Roman" w:hAnsi="Times New Roman"/>
          <w:sz w:val="20"/>
        </w:rPr>
        <w:t xml:space="preserve">We face risks with respect to the contractual arrangements with the consolidated variable interest entities and their shareholders. If the consolidated variable interest entities or their shareholders fail to perform their obligations under the contractual arrangements, our ability to enforce the contractual arrangements may be limited. If we are unable to maintain the contractual arrangements with the consolidated variable interest entities, we would not be able to continue to consolidate their financial results. The revenues generated by our directly owned subsidiaries, apart from revenues earned in respect of the contractual arrangements with the consolidated variable interest entities, are primarily derived from our product promotion activities for brands. In the years ended December 31, 2022, 2023 and 2024, our subsidiaries contributed in aggregate approximately 98.9%, 99.7% and 99.7%, respectively, of our total consolidated net revenues, excluding revenues derived from the consolidated variable interest entities. As of December 31, 2022, 2023 and 2024, our holding company and our subsidiaries accounted for an aggregate of 91.2%, 89.7% and 91.3%, respectively, of our consolidated total assets (excluding assets attributable to transactions with the consolidated variable interest entities). For a detailed description of the regulatory environment that necessitates the adoption of our corporate structure, see “Item 4. Information on the Company—B. Business Overview—Regulation.” For a detailed description of the risks associated with our corporate structure, see “Item 3. Key Information—D. Risk Factors—Risks Relating to Our Corporate Structure.”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Contractual Arrangements Relating to the Consolidated Variable Interest Entities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material provisions of the agreements for our three sets of contractual arrangements, each among our applicable WFOE, the applicable consolidated variable interest entity, and the shareholders of the applicable consolidated variable interest entity.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annual report, the equity holding structures of each of the consolidated variable interest entities are as follows: </w:t>
      </w:r>
    </w:p>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Eric Ya Shen and Chan Huang hold 66.7% and 33.3% of Vipshop E-Commerce,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020" w:type="dxa"/>
        <w:jc w:val="left"/>
        <w:tblInd w:w="0" w:type="dxa"/>
        <w:tblLayout w:type="fixed"/>
        <w:tblCellMar>
          <w:top w:w="0" w:type="dxa"/>
          <w:left w:w="0" w:type="dxa"/>
          <w:bottom w:w="0" w:type="dxa"/>
          <w:right w:w="0" w:type="dxa"/>
        </w:tblCellMar>
      </w:tblPr>
      <w:tblGrid>
        <w:gridCol w:w="75"/>
        <w:gridCol w:w="110"/>
        <w:gridCol w:w="60"/>
        <w:gridCol w:w="77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Eric Ya Shen and Chan Huang hold 99.2% and 0.8% of Vipshop Information, respectively; and </w:t>
            </w:r>
          </w:p>
        </w:tc>
      </w:tr>
    </w:tbl>
    <w:p>
      <w:pPr>
        <w:pStyle w:val="TextBody"/>
        <w:bidi w:val="0"/>
        <w:spacing w:before="0" w:after="0"/>
        <w:jc w:val="left"/>
        <w:rPr/>
      </w:pPr>
      <w:r>
        <w:rPr/>
        <w:t> </w:t>
      </w:r>
    </w:p>
    <w:tbl>
      <w:tblPr>
        <w:tblW w:w="7495" w:type="dxa"/>
        <w:jc w:val="left"/>
        <w:tblInd w:w="0" w:type="dxa"/>
        <w:tblLayout w:type="fixed"/>
        <w:tblCellMar>
          <w:top w:w="0" w:type="dxa"/>
          <w:left w:w="0" w:type="dxa"/>
          <w:bottom w:w="0" w:type="dxa"/>
          <w:right w:w="0" w:type="dxa"/>
        </w:tblCellMar>
      </w:tblPr>
      <w:tblGrid>
        <w:gridCol w:w="75"/>
        <w:gridCol w:w="110"/>
        <w:gridCol w:w="60"/>
        <w:gridCol w:w="7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Eric Ya Shen and Arthur Xiaobo Hong hold 65% and 35% of Pin Jun Tong, respectively. </w:t>
            </w:r>
          </w:p>
        </w:tc>
      </w:tr>
    </w:tbl>
    <w:p>
      <w:pPr>
        <w:pStyle w:val="TextBody"/>
        <w:bidi w:val="0"/>
        <w:spacing w:before="240" w:after="0"/>
        <w:jc w:val="left"/>
        <w:rPr>
          <w:rFonts w:ascii="Times New Roman" w:hAnsi="Times New Roman"/>
          <w:sz w:val="20"/>
        </w:rPr>
      </w:pPr>
      <w:r>
        <w:rPr>
          <w:rFonts w:ascii="Times New Roman" w:hAnsi="Times New Roman"/>
          <w:sz w:val="20"/>
          <w:u w:val="single"/>
        </w:rPr>
        <w:t>Equity Interest Pledge Agreements</w:t>
      </w:r>
      <w:r>
        <w:rPr>
          <w:rFonts w:ascii="Times New Roman" w:hAnsi="Times New Roman"/>
          <w:sz w:val="20"/>
        </w:rPr>
        <w:t xml:space="preserve">. Under each equity interest pledge agreement among our applicable WFOE, the applicable consolidated variable interest entity, and the shareholders of the applicable consolidated variable interest entity, the shareholders of the applicable consolidated variable interest entity pledge all of their equity interests in the applicable consolidated variable interest entity to the applicable WFOE to guarantee the applicable consolidated variable interest entity’s and its shareholders’ performance of the obligations under the exclusive business cooperation agreement, exclusive option agreement, and loan agreement. If any stipulated event of default occurs, including the failure by the applicable consolidated variable interest entity or its shareholders to perform the contractual obligations under the exclusive business cooperation agreement, exclusive option agreement, or loan agreement, the applicable WFOE, as pledgee, will be entitled to certain rights, including the right to dispose of the pledged equity interests. Without the applicable WFOE’s prior written consent, shareholders of the applicable consolidated variable interest entity cannot transfer or otherwise dispose of, or create or allow the creation of, any encumbrance on the pledged equity interests. The equity interest pledge agreement will remain in full force and effect until all of the obligations of the applicable consolidated variable interest entity and its shareholders under the exclusive business cooperation agreement, exclusive option agreement, and loan agreement have been duly performed or terminated. We have completed registering the pledge of the equity interests in the consolidated variable interest entities with the local branches of the SAMR. </w:t>
      </w:r>
    </w:p>
    <w:p>
      <w:pPr>
        <w:pStyle w:val="TextBody"/>
        <w:bidi w:val="0"/>
        <w:spacing w:before="240" w:after="0"/>
        <w:jc w:val="left"/>
        <w:rPr>
          <w:rFonts w:ascii="Times New Roman" w:hAnsi="Times New Roman"/>
          <w:sz w:val="20"/>
        </w:rPr>
      </w:pPr>
      <w:r>
        <w:rPr>
          <w:rFonts w:ascii="Times New Roman" w:hAnsi="Times New Roman"/>
          <w:sz w:val="20"/>
          <w:u w:val="single"/>
        </w:rPr>
        <w:t>Exclusive Option Agreements</w:t>
      </w:r>
      <w:r>
        <w:rPr>
          <w:rFonts w:ascii="Times New Roman" w:hAnsi="Times New Roman"/>
          <w:sz w:val="20"/>
        </w:rPr>
        <w:t xml:space="preserve">. Under each exclusive option agreement among our applicable WFOE, the applicable consolidated variable interest entity, and the shareholders of the applicable consolidated variable interest entity, the shareholders of the applicable consolidated variable interest entity grant the applicable WFOE an exclusive option to purchase, or designate one or more person(s) to purchase, all or part of their respective equity interests in the applicable consolidated variable interest entity at a purchase price equal to the higher of: (i) the amount of registered capital actually contributed by the shareholders; or (ii) a minimum price permitted by applicable PRC laws. The applicable WFOE may exercise the option by issuing a written notice to the shareholders of the applicable consolidated variable interest entity. Without the applicable WFOE’s written consent, the applicable consolidated variable interest entity and its shareholders may not transfer, sell, pledge, or otherwise dispose of, or create any encumbrance on, any assets, business, or equity or beneficiary interests of the applicable consolidated variable interest entity. This agreement will remain in full force and effect for a term of ten years from the date of execution, and may be extended for a period to be determined by the applicable WFOE. </w:t>
      </w:r>
    </w:p>
    <w:p>
      <w:pPr>
        <w:pStyle w:val="TextBody"/>
        <w:bidi w:val="0"/>
        <w:spacing w:before="240" w:after="0"/>
        <w:jc w:val="left"/>
        <w:rPr>
          <w:rFonts w:ascii="Times New Roman" w:hAnsi="Times New Roman"/>
          <w:sz w:val="20"/>
        </w:rPr>
      </w:pPr>
      <w:r>
        <w:rPr>
          <w:rFonts w:ascii="Times New Roman" w:hAnsi="Times New Roman"/>
          <w:sz w:val="20"/>
          <w:u w:val="single"/>
        </w:rPr>
        <w:t>Powers of Attorney</w:t>
      </w:r>
      <w:r>
        <w:rPr>
          <w:rFonts w:ascii="Times New Roman" w:hAnsi="Times New Roman"/>
          <w:sz w:val="20"/>
        </w:rPr>
        <w:t xml:space="preserve">. Each shareholder of the consolidated variable interest entity has signed an irrevocable power of attorney. Under the powers of attorney, each shareholder of the consolidated variable interest entity has irrevocably appointed the applicable WFOE as his attorney-in-fact to act on his behalf and exercise all of his rights as a shareholder of the applicable consolidated variable interest entity, including the right to attend shareholder meetings, to exercise voting rights, to appoint directors and senior management of the applicable consolidated variable interest entity, and to effect transfers of all or part of his equity interests in the applicable consolidated variable interest entity pursuant to the equity interest pledge agreements and the exclusive option agreements. The applicable WFOE has the right to appoint any individual or entity to exercise the power of attorney on its behalf. Each power of attorney will remain in full force and effect until the shareholder ceases to hold any equity interests in the applicable consolidated variable interest entity. </w:t>
      </w:r>
    </w:p>
    <w:p>
      <w:pPr>
        <w:pStyle w:val="TextBody"/>
        <w:bidi w:val="0"/>
        <w:spacing w:before="240" w:after="0"/>
        <w:jc w:val="left"/>
        <w:rPr>
          <w:rFonts w:ascii="Times New Roman" w:hAnsi="Times New Roman"/>
          <w:sz w:val="20"/>
        </w:rPr>
      </w:pPr>
      <w:r>
        <w:rPr>
          <w:rFonts w:ascii="Times New Roman" w:hAnsi="Times New Roman"/>
          <w:sz w:val="20"/>
          <w:u w:val="single"/>
        </w:rPr>
        <w:t>Exclusive Business Cooperation Agreements</w:t>
      </w:r>
      <w:r>
        <w:rPr>
          <w:rFonts w:ascii="Times New Roman" w:hAnsi="Times New Roman"/>
          <w:sz w:val="20"/>
        </w:rPr>
        <w:t xml:space="preserve">. Under each exclusive business cooperation agreement between the applicable WFOE and the applicable consolidated variable interest entity, the applicable consolidated variable interest entity agrees to engage the applicable WFOE as its exclusive provider of technical, consulting, and other services in relation to its business operations. In consideration of such services, the applicable consolidated variable interest entity will pay to the applicable WFOE service fees that amount to all of the applicable consolidated variable interest entity’s net income. The service fees may be adjusted at the applicable WFOE’s sole discretion based on the services rendered and the operational needs of the applicable consolidated variable interest entity. The applicable WFOE will exclusively own any intellectual property arising from the performance of the exclusive business cooperation agreement. The term of this agreement is ten years from the date of execution, and may be extended for a period to be determined by the applicable WFOE. The applicable WFOE may terminate this agreement at any time by giving 30 days’ prior written notice. Generally, the applicable consolidated variable interest entity has no right to terminate this agreement unless the applicable WFOE commits gross negligence or fraud.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Loan Agreements</w:t>
      </w:r>
      <w:r>
        <w:rPr>
          <w:rFonts w:ascii="Times New Roman" w:hAnsi="Times New Roman"/>
          <w:sz w:val="20"/>
        </w:rPr>
        <w:t xml:space="preserve">. Under each loan agreement between the applicable WFOE and the shareholders of the applicable consolidated variable interest entity, the applicable WFOE provided loans to the shareholders of the applicable consolidated variable interest entity solely for the purpose of contribution or increase of registered capital or working capital of the applicable consolidated variable interest entity. The applicable WFOE has the sole discretion to determine the method of repayment, including requiring the shareholders of the applicable consolidated variable interest entity to transfer their equity interests in the applicable consolidated variable interest entity to the applicable WFOE or its designated person. </w:t>
      </w:r>
    </w:p>
    <w:p>
      <w:pPr>
        <w:pStyle w:val="TextBody"/>
        <w:bidi w:val="0"/>
        <w:spacing w:before="240" w:after="0"/>
        <w:jc w:val="left"/>
        <w:rPr>
          <w:rFonts w:ascii="Times New Roman" w:hAnsi="Times New Roman"/>
          <w:sz w:val="20"/>
        </w:rPr>
      </w:pPr>
      <w:r>
        <w:rPr>
          <w:rFonts w:ascii="Times New Roman" w:hAnsi="Times New Roman"/>
          <w:sz w:val="20"/>
        </w:rPr>
        <w:t xml:space="preserve">In the opinion of Han Kun Law Offices, our PRC legal counsel: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of this annual report, the ownership structures of our PRC subsidiaries and the consolidated variable interest entities, as described in this annual report, are not in violation of any applicable PRC laws and regulations currently in effect;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of this annual report, the contractual arrangements among our PRC subsidiaries, the consolidated variable interest entities and their respective shareholders that are governed by PRC laws are valid, binding and enforceable, and are not in any violation of applicable PRC laws or regulations currently in effect;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of the date of this annual report, each of our PRC subsidiaries and the consolidated variable interest entities, as described in this annual report, (i) has all necessary corporate power and authority to conduct its business as described in its business scope under its business license; (ii) has its business license in full force and effect; and (iii) is capable of suing and being sued and may be the subject of any legal proceedings in PRC courts. To the best of Han Kun Law Offices’ knowledge after due inquires, none of our PRC subsidiaries, the consolidated variable interest entities or their respective assets is entitled to any immunity, on the grounds of sovereignty, from any action, suit or other legal proceedings; or from enforcement, execution or attachment.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been advised by our PRC legal counsel, however, that there are substantial uncertainties regarding the interpretation and application of current and future PRC laws, regulations, and rules. Accordingly, the PRC regulatory authorities may in the future take a view that is contrary to the above opinion of our PRC legal counsel. We have been further advised by our PRC legal counsel that if the PRC government finds that the agreements that establish the structure for operating our online commerce and the distribution of internet content in China do not comply with the PRC government restrictions on foreign investment in value-added telecommunication, we could be subject to severe penalties, including being prohibited from continuing operations. See “Item 3. Key Information—D. Risk Factors—Risks Relating to Our Corporate Structure—Substantial uncertainties and restrictions exist with respect to the interpretation and application of PRC laws and regulations relating to online commerce and provision of internet content in China. If the PRC government finds that the structure we have adopted for our business operations does not comply with PRC laws and regulations, we could be subject to severe penalties, including shut-down of our Vipshop Online Platform” and “Item 3. Key Information—D. Risk Factors—Risks Relating to Doing Business in China—Uncertainties with respect to the PRC legal system could adversely affect us.”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75"/>
        <w:gridCol w:w="2795"/>
      </w:tblGrid>
      <w:tr>
        <w:trPr/>
        <w:tc>
          <w:tcPr>
            <w:tcW w:w="275" w:type="dxa"/>
            <w:tcBorders/>
            <w:vAlign w:val="center"/>
          </w:tcPr>
          <w:p>
            <w:pPr>
              <w:pStyle w:val="TableContents"/>
              <w:bidi w:val="0"/>
              <w:spacing w:before="0" w:after="283"/>
              <w:jc w:val="left"/>
              <w:rPr>
                <w:b/>
              </w:rPr>
            </w:pPr>
            <w:r>
              <w:rPr>
                <w:b/>
              </w:rPr>
              <w:t>D.</w:t>
            </w:r>
          </w:p>
        </w:tc>
        <w:tc>
          <w:tcPr>
            <w:tcW w:w="27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Plants and Equipment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headquartered in Guangzhou. In addition to the office headquarters in Guangzhou, as of the date of this annual report, we had over 45,000 square meters of office space and 3.7 million square meters of warehouse space across China, of which 3.68 million square meters of warehouse space is owned by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summary of our owned and leased properties as of the date of this annual report is shown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6"/>
        <w:gridCol w:w="120"/>
        <w:gridCol w:w="63"/>
        <w:gridCol w:w="1755"/>
        <w:gridCol w:w="60"/>
        <w:gridCol w:w="120"/>
        <w:gridCol w:w="5531"/>
      </w:tblGrid>
      <w:tr>
        <w:trPr/>
        <w:tc>
          <w:tcPr>
            <w:tcW w:w="25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31" w:type="dxa"/>
            <w:tcBorders/>
            <w:vAlign w:val="center"/>
          </w:tcPr>
          <w:p>
            <w:pPr>
              <w:pStyle w:val="TableContents"/>
              <w:bidi w:val="0"/>
              <w:spacing w:before="0" w:after="283"/>
              <w:jc w:val="left"/>
              <w:rPr>
                <w:sz w:val="4"/>
                <w:szCs w:val="4"/>
              </w:rPr>
            </w:pPr>
            <w:r>
              <w:rPr>
                <w:sz w:val="4"/>
                <w:szCs w:val="4"/>
              </w:rPr>
            </w:r>
          </w:p>
        </w:tc>
      </w:tr>
      <w:tr>
        <w:trPr/>
        <w:tc>
          <w:tcPr>
            <w:tcW w:w="2556"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Location/Business</w:t>
            </w:r>
          </w:p>
        </w:tc>
        <w:tc>
          <w:tcPr>
            <w:tcW w:w="120" w:type="dxa"/>
            <w:tcBorders/>
            <w:vAlign w:val="center"/>
          </w:tcPr>
          <w:p>
            <w:pPr>
              <w:pStyle w:val="TableContents"/>
              <w:bidi w:val="0"/>
              <w:spacing w:before="0" w:after="283"/>
              <w:jc w:val="left"/>
              <w:rPr/>
            </w:pPr>
            <w:r>
              <w:rPr/>
              <w:t>  </w:t>
            </w:r>
          </w:p>
        </w:tc>
        <w:tc>
          <w:tcPr>
            <w:tcW w:w="18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Space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Usage of Property</w:t>
            </w:r>
          </w:p>
        </w:tc>
      </w:tr>
      <w:tr>
        <w:trPr/>
        <w:tc>
          <w:tcPr>
            <w:tcW w:w="255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18" w:type="dxa"/>
            <w:gridSpan w:val="2"/>
            <w:tcBorders/>
            <w:vAlign w:val="center"/>
          </w:tcPr>
          <w:p>
            <w:pPr>
              <w:pStyle w:val="TableContents"/>
              <w:bidi w:val="0"/>
              <w:spacing w:before="0" w:after="283"/>
              <w:jc w:val="center"/>
              <w:rPr>
                <w:b/>
              </w:rPr>
            </w:pPr>
            <w:r>
              <w:rPr>
                <w:b/>
              </w:rPr>
              <w:t>(in square meters)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r>
              <w:rPr/>
              <w:t> </w:t>
            </w:r>
          </w:p>
        </w:tc>
      </w:tr>
      <w:tr>
        <w:trPr/>
        <w:tc>
          <w:tcPr>
            <w:tcW w:w="25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Guangzhou—Owned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       </w:t>
            </w:r>
            <w:r>
              <w:rPr/>
              <w:t>168,519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r>
              <w:rPr/>
              <w:t>Office space</w:t>
            </w:r>
          </w:p>
        </w:tc>
      </w:tr>
      <w:tr>
        <w:trPr/>
        <w:tc>
          <w:tcPr>
            <w:tcW w:w="25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Guangzhou—Leased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9,047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r>
              <w:rPr/>
              <w:t>Office space</w:t>
            </w:r>
          </w:p>
        </w:tc>
      </w:tr>
      <w:tr>
        <w:trPr/>
        <w:tc>
          <w:tcPr>
            <w:tcW w:w="25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Shanghai—Owned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18,359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r>
              <w:rPr/>
              <w:t>Office space</w:t>
            </w:r>
          </w:p>
        </w:tc>
      </w:tr>
      <w:tr>
        <w:trPr/>
        <w:tc>
          <w:tcPr>
            <w:tcW w:w="25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cities in China—Owned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        </w:t>
            </w:r>
            <w:r>
              <w:rPr/>
              <w:t>14,980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r>
              <w:rPr/>
              <w:t>Office space</w:t>
            </w:r>
          </w:p>
        </w:tc>
      </w:tr>
      <w:tr>
        <w:trPr/>
        <w:tc>
          <w:tcPr>
            <w:tcW w:w="25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cities in China—Leased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2,951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r>
              <w:rPr/>
              <w:t>Office space</w:t>
            </w:r>
          </w:p>
        </w:tc>
      </w:tr>
      <w:tr>
        <w:trPr/>
        <w:tc>
          <w:tcPr>
            <w:tcW w:w="25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75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sz w:val="4"/>
                <w:szCs w:val="4"/>
              </w:rPr>
            </w:pPr>
            <w:r>
              <w:rPr>
                <w:sz w:val="4"/>
                <w:szCs w:val="4"/>
              </w:rPr>
            </w:r>
          </w:p>
        </w:tc>
      </w:tr>
      <w:tr>
        <w:trPr/>
        <w:tc>
          <w:tcPr>
            <w:tcW w:w="2556"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Sub-total</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213,855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sz w:val="4"/>
                <w:szCs w:val="4"/>
              </w:rPr>
            </w:pPr>
            <w:r>
              <w:rPr>
                <w:sz w:val="4"/>
                <w:szCs w:val="4"/>
              </w:rPr>
            </w:r>
          </w:p>
        </w:tc>
      </w:tr>
      <w:tr>
        <w:trPr/>
        <w:tc>
          <w:tcPr>
            <w:tcW w:w="2556" w:type="dxa"/>
            <w:tcBorders/>
            <w:vAlign w:val="center"/>
          </w:tcPr>
          <w:p>
            <w:pPr>
              <w:pStyle w:val="TableContents"/>
              <w:bidi w:val="0"/>
              <w:spacing w:before="0" w:after="283"/>
              <w:jc w:val="left"/>
              <w:rPr>
                <w:sz w:val="4"/>
                <w:szCs w:val="4"/>
              </w:rPr>
            </w:pPr>
            <w:r>
              <w:rPr>
                <w:sz w:val="4"/>
                <w:szCs w:val="4"/>
              </w:rPr>
            </w:r>
          </w:p>
        </w:tc>
        <w:tc>
          <w:tcPr>
            <w:tcW w:w="1998" w:type="dxa"/>
            <w:gridSpan w:val="4"/>
            <w:tcBorders/>
            <w:vAlign w:val="center"/>
          </w:tcPr>
          <w:p>
            <w:pPr>
              <w:pStyle w:val="TableContents"/>
              <w:bidi w:val="0"/>
              <w:spacing w:before="0" w:after="283"/>
              <w:jc w:val="left"/>
              <w:rPr>
                <w:sz w:val="4"/>
                <w:szCs w:val="4"/>
              </w:rPr>
            </w:pPr>
            <w:r>
              <w:rPr>
                <w:sz w:val="4"/>
                <w:szCs w:val="4"/>
              </w:rPr>
            </w:r>
          </w:p>
        </w:tc>
        <w:tc>
          <w:tcPr>
            <w:tcW w:w="565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China—Domestic-Owned(1)</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3,675,183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r>
              <w:rPr/>
              <w:t>Logistics centers</w:t>
            </w:r>
          </w:p>
        </w:tc>
      </w:tr>
      <w:tr>
        <w:trPr/>
        <w:tc>
          <w:tcPr>
            <w:tcW w:w="25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China—Domestic-Leased(1)</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31,975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r>
              <w:rPr/>
              <w:t>Logistics centers</w:t>
            </w:r>
          </w:p>
        </w:tc>
      </w:tr>
      <w:tr>
        <w:trPr/>
        <w:tc>
          <w:tcPr>
            <w:tcW w:w="25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75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sz w:val="4"/>
                <w:szCs w:val="4"/>
              </w:rPr>
            </w:pPr>
            <w:r>
              <w:rPr>
                <w:sz w:val="4"/>
                <w:szCs w:val="4"/>
              </w:rPr>
            </w:r>
          </w:p>
        </w:tc>
      </w:tr>
      <w:tr>
        <w:trPr/>
        <w:tc>
          <w:tcPr>
            <w:tcW w:w="2556"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Sub-total</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3,707,157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sz w:val="4"/>
                <w:szCs w:val="4"/>
              </w:rPr>
            </w:pPr>
            <w:r>
              <w:rPr>
                <w:sz w:val="4"/>
                <w:szCs w:val="4"/>
              </w:rPr>
            </w:r>
          </w:p>
        </w:tc>
      </w:tr>
      <w:tr>
        <w:trPr/>
        <w:tc>
          <w:tcPr>
            <w:tcW w:w="2556" w:type="dxa"/>
            <w:tcBorders/>
            <w:vAlign w:val="center"/>
          </w:tcPr>
          <w:p>
            <w:pPr>
              <w:pStyle w:val="TableContents"/>
              <w:bidi w:val="0"/>
              <w:spacing w:before="0" w:after="283"/>
              <w:jc w:val="left"/>
              <w:rPr>
                <w:sz w:val="4"/>
                <w:szCs w:val="4"/>
              </w:rPr>
            </w:pPr>
            <w:r>
              <w:rPr>
                <w:sz w:val="4"/>
                <w:szCs w:val="4"/>
              </w:rPr>
            </w:r>
          </w:p>
        </w:tc>
        <w:tc>
          <w:tcPr>
            <w:tcW w:w="1998" w:type="dxa"/>
            <w:gridSpan w:val="4"/>
            <w:tcBorders/>
            <w:vAlign w:val="center"/>
          </w:tcPr>
          <w:p>
            <w:pPr>
              <w:pStyle w:val="TableContents"/>
              <w:bidi w:val="0"/>
              <w:spacing w:before="0" w:after="283"/>
              <w:jc w:val="left"/>
              <w:rPr>
                <w:sz w:val="4"/>
                <w:szCs w:val="4"/>
              </w:rPr>
            </w:pPr>
            <w:r>
              <w:rPr>
                <w:sz w:val="4"/>
                <w:szCs w:val="4"/>
              </w:rPr>
            </w:r>
          </w:p>
        </w:tc>
        <w:tc>
          <w:tcPr>
            <w:tcW w:w="565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China—Domestic-Owned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2,071,930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r>
              <w:rPr/>
              <w:t>Retail property for Shan Shan Outlets</w:t>
            </w:r>
          </w:p>
        </w:tc>
      </w:tr>
      <w:tr>
        <w:trPr/>
        <w:tc>
          <w:tcPr>
            <w:tcW w:w="25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China—Domestic-Leased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270,501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r>
              <w:rPr/>
              <w:t>Retail property, office space and warehouses for Shan Shan Outlets and other offline stores</w:t>
            </w:r>
          </w:p>
        </w:tc>
      </w:tr>
      <w:tr>
        <w:trPr/>
        <w:tc>
          <w:tcPr>
            <w:tcW w:w="255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pBdr>
                <w:top w:val="single" w:sz="2" w:space="1" w:color="000000"/>
              </w:pBdr>
              <w:bidi w:val="0"/>
              <w:spacing w:before="0" w:after="0"/>
              <w:jc w:val="left"/>
              <w:rPr/>
            </w:pPr>
            <w:r>
              <w:rPr/>
              <w:t> </w:t>
            </w:r>
          </w:p>
        </w:tc>
        <w:tc>
          <w:tcPr>
            <w:tcW w:w="175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sz w:val="4"/>
                <w:szCs w:val="4"/>
              </w:rPr>
            </w:pPr>
            <w:r>
              <w:rPr>
                <w:sz w:val="4"/>
                <w:szCs w:val="4"/>
              </w:rPr>
            </w:r>
          </w:p>
        </w:tc>
      </w:tr>
      <w:tr>
        <w:trPr/>
        <w:tc>
          <w:tcPr>
            <w:tcW w:w="2556"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Sub-total</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2,342,431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sz w:val="4"/>
                <w:szCs w:val="4"/>
              </w:rPr>
            </w:pPr>
            <w:r>
              <w:rPr>
                <w:sz w:val="4"/>
                <w:szCs w:val="4"/>
              </w:rPr>
            </w:r>
          </w:p>
        </w:tc>
      </w:tr>
      <w:tr>
        <w:trPr/>
        <w:tc>
          <w:tcPr>
            <w:tcW w:w="2556" w:type="dxa"/>
            <w:tcBorders/>
            <w:vAlign w:val="center"/>
          </w:tcPr>
          <w:p>
            <w:pPr>
              <w:pStyle w:val="TableContents"/>
              <w:bidi w:val="0"/>
              <w:spacing w:before="0" w:after="283"/>
              <w:jc w:val="left"/>
              <w:rPr>
                <w:sz w:val="4"/>
                <w:szCs w:val="4"/>
              </w:rPr>
            </w:pPr>
            <w:r>
              <w:rPr>
                <w:sz w:val="4"/>
                <w:szCs w:val="4"/>
              </w:rPr>
            </w:r>
          </w:p>
        </w:tc>
        <w:tc>
          <w:tcPr>
            <w:tcW w:w="1998" w:type="dxa"/>
            <w:gridSpan w:val="4"/>
            <w:tcBorders/>
            <w:vAlign w:val="center"/>
          </w:tcPr>
          <w:p>
            <w:pPr>
              <w:pStyle w:val="TableContents"/>
              <w:bidi w:val="0"/>
              <w:spacing w:before="0" w:after="283"/>
              <w:jc w:val="left"/>
              <w:rPr>
                <w:sz w:val="4"/>
                <w:szCs w:val="4"/>
              </w:rPr>
            </w:pPr>
            <w:r>
              <w:rPr>
                <w:sz w:val="4"/>
                <w:szCs w:val="4"/>
              </w:rPr>
            </w:r>
          </w:p>
        </w:tc>
        <w:tc>
          <w:tcPr>
            <w:tcW w:w="5651" w:type="dxa"/>
            <w:gridSpan w:val="2"/>
            <w:tcBorders/>
            <w:vAlign w:val="center"/>
          </w:tcPr>
          <w:p>
            <w:pPr>
              <w:pStyle w:val="TableContents"/>
              <w:bidi w:val="0"/>
              <w:spacing w:before="0" w:after="283"/>
              <w:jc w:val="left"/>
              <w:rPr>
                <w:sz w:val="4"/>
                <w:szCs w:val="4"/>
              </w:rPr>
            </w:pPr>
            <w:r>
              <w:rPr>
                <w:sz w:val="4"/>
                <w:szCs w:val="4"/>
              </w:rPr>
            </w:r>
          </w:p>
        </w:tc>
      </w:tr>
      <w:tr>
        <w:trPr/>
        <w:tc>
          <w:tcPr>
            <w:tcW w:w="25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China Domestic-Leased &amp; Owned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755" w:type="dxa"/>
            <w:tcBorders/>
            <w:vAlign w:val="center"/>
          </w:tcPr>
          <w:p>
            <w:pPr>
              <w:pStyle w:val="TableContents"/>
              <w:bidi w:val="0"/>
              <w:spacing w:before="0" w:after="283"/>
              <w:jc w:val="right"/>
              <w:rPr/>
            </w:pPr>
            <w:r>
              <w:rPr/>
              <w:t>167,602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531" w:type="dxa"/>
            <w:tcBorders/>
            <w:vAlign w:val="center"/>
          </w:tcPr>
          <w:p>
            <w:pPr>
              <w:pStyle w:val="TableContents"/>
              <w:bidi w:val="0"/>
              <w:spacing w:before="0" w:after="283"/>
              <w:jc w:val="left"/>
              <w:rPr/>
            </w:pPr>
            <w:r>
              <w:rPr/>
              <w:t>General operational purposes</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6"/>
        </w:rPr>
      </w:pPr>
      <w:r>
        <w:rPr>
          <w:rFonts w:ascii="Times New Roman" w:hAnsi="Times New Roman"/>
          <w:sz w:val="16"/>
        </w:rPr>
        <w:t xml:space="preserve">Note: </w:t>
      </w:r>
    </w:p>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305"/>
        <w:gridCol w:w="5405"/>
      </w:tblGrid>
      <w:tr>
        <w:trPr/>
        <w:tc>
          <w:tcPr>
            <w:tcW w:w="305" w:type="dxa"/>
            <w:tcBorders/>
            <w:vAlign w:val="center"/>
          </w:tcPr>
          <w:p>
            <w:pPr>
              <w:pStyle w:val="TableContents"/>
              <w:bidi w:val="0"/>
              <w:spacing w:before="0" w:after="283"/>
              <w:jc w:val="left"/>
              <w:rPr/>
            </w:pPr>
            <w:r>
              <w:rPr/>
              <w:t>(1)</w:t>
            </w:r>
          </w:p>
        </w:tc>
        <w:tc>
          <w:tcPr>
            <w:tcW w:w="5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Includes bonded warehouses under customs supervision in China.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servers are hosted at leased internet data centers owned by leading PRC telecommunications carriers. We typically enter into leasing and hosting service agreements that are renewable from year to year. We believe that our existing facilities are sufficient for our near term needs. </w:t>
      </w:r>
    </w:p>
    <w:p>
      <w:pPr>
        <w:pStyle w:val="TextBody"/>
        <w:bidi w:val="0"/>
        <w:spacing w:before="240" w:after="0"/>
        <w:jc w:val="left"/>
        <w:rPr>
          <w:rFonts w:ascii="Times New Roman" w:hAnsi="Times New Roman"/>
          <w:sz w:val="20"/>
        </w:rPr>
      </w:pPr>
      <w:r>
        <w:rPr>
          <w:rFonts w:ascii="Times New Roman" w:hAnsi="Times New Roman"/>
          <w:sz w:val="20"/>
        </w:rPr>
        <w:t xml:space="preserve">The Group leases office space, offline stores. apartments and certain equipment under operating leases for term is ranging from short-term (under 12 months) to 16 years. The Group has options to extend or terminate leases, but the renewals or terminations of these leases are on negotiation basis. </w:t>
      </w:r>
    </w:p>
    <w:p>
      <w:pPr>
        <w:pStyle w:val="TextBody"/>
        <w:bidi w:val="0"/>
        <w:spacing w:before="0" w:after="0"/>
        <w:jc w:val="left"/>
        <w:rPr/>
      </w:pPr>
      <w:r>
        <w:rPr/>
        <w:t> </w:t>
      </w:r>
    </w:p>
    <w:tbl>
      <w:tblPr>
        <w:tblW w:w="4300" w:type="dxa"/>
        <w:jc w:val="left"/>
        <w:tblInd w:w="0" w:type="dxa"/>
        <w:tblLayout w:type="fixed"/>
        <w:tblCellMar>
          <w:top w:w="0" w:type="dxa"/>
          <w:left w:w="0" w:type="dxa"/>
          <w:bottom w:w="0" w:type="dxa"/>
          <w:right w:w="0" w:type="dxa"/>
        </w:tblCellMar>
      </w:tblPr>
      <w:tblGrid>
        <w:gridCol w:w="1025"/>
        <w:gridCol w:w="3275"/>
      </w:tblGrid>
      <w:tr>
        <w:trPr/>
        <w:tc>
          <w:tcPr>
            <w:tcW w:w="1025" w:type="dxa"/>
            <w:tcBorders/>
            <w:vAlign w:val="center"/>
          </w:tcPr>
          <w:p>
            <w:pPr>
              <w:pStyle w:val="TableContents"/>
              <w:bidi w:val="0"/>
              <w:spacing w:before="0" w:after="283"/>
              <w:jc w:val="left"/>
              <w:rPr>
                <w:b/>
              </w:rPr>
            </w:pPr>
            <w:bookmarkStart w:id="10" w:name="toc907177_7"/>
            <w:bookmarkEnd w:id="10"/>
            <w:r>
              <w:rPr>
                <w:b/>
              </w:rPr>
              <w:t>ITEM 4A</w:t>
            </w:r>
          </w:p>
        </w:tc>
        <w:tc>
          <w:tcPr>
            <w:tcW w:w="32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UNRESOLVED STAFF COMMENTS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6220" w:type="dxa"/>
        <w:jc w:val="left"/>
        <w:tblInd w:w="0" w:type="dxa"/>
        <w:tblLayout w:type="fixed"/>
        <w:tblCellMar>
          <w:top w:w="0" w:type="dxa"/>
          <w:left w:w="0" w:type="dxa"/>
          <w:bottom w:w="0" w:type="dxa"/>
          <w:right w:w="0" w:type="dxa"/>
        </w:tblCellMar>
      </w:tblPr>
      <w:tblGrid>
        <w:gridCol w:w="905"/>
        <w:gridCol w:w="5315"/>
      </w:tblGrid>
      <w:tr>
        <w:trPr/>
        <w:tc>
          <w:tcPr>
            <w:tcW w:w="905" w:type="dxa"/>
            <w:tcBorders/>
            <w:vAlign w:val="center"/>
          </w:tcPr>
          <w:p>
            <w:pPr>
              <w:pStyle w:val="TableContents"/>
              <w:bidi w:val="0"/>
              <w:spacing w:before="0" w:after="283"/>
              <w:jc w:val="left"/>
              <w:rPr>
                <w:b/>
              </w:rPr>
            </w:pPr>
            <w:bookmarkStart w:id="11" w:name="toc907177_8"/>
            <w:bookmarkEnd w:id="11"/>
            <w:r>
              <w:rPr>
                <w:b/>
              </w:rPr>
              <w:t>ITEM 5.</w:t>
            </w:r>
          </w:p>
        </w:tc>
        <w:tc>
          <w:tcPr>
            <w:tcW w:w="53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AND FINANCIAL REVIEW AND PROSPECTS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You should read the following discussion and analysis of our financial condition and results of operations in conjunction with our consolidated financial statements and the related notes included elsewhere in this annual report on Form 20-F.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 </w:t>
      </w:r>
    </w:p>
    <w:p>
      <w:pPr>
        <w:pStyle w:val="TextBody"/>
        <w:bidi w:val="0"/>
        <w:spacing w:before="0" w:after="0"/>
        <w:jc w:val="left"/>
        <w:rPr/>
      </w:pPr>
      <w:r>
        <w:rPr/>
        <w:t> </w:t>
      </w:r>
    </w:p>
    <w:tbl>
      <w:tblPr>
        <w:tblW w:w="1810" w:type="dxa"/>
        <w:jc w:val="left"/>
        <w:tblInd w:w="0" w:type="dxa"/>
        <w:tblLayout w:type="fixed"/>
        <w:tblCellMar>
          <w:top w:w="0" w:type="dxa"/>
          <w:left w:w="0" w:type="dxa"/>
          <w:bottom w:w="0" w:type="dxa"/>
          <w:right w:w="0" w:type="dxa"/>
        </w:tblCellMar>
      </w:tblPr>
      <w:tblGrid>
        <w:gridCol w:w="215"/>
        <w:gridCol w:w="1595"/>
      </w:tblGrid>
      <w:tr>
        <w:trPr/>
        <w:tc>
          <w:tcPr>
            <w:tcW w:w="215" w:type="dxa"/>
            <w:tcBorders/>
            <w:vAlign w:val="center"/>
          </w:tcPr>
          <w:p>
            <w:pPr>
              <w:pStyle w:val="TableContents"/>
              <w:bidi w:val="0"/>
              <w:spacing w:before="0" w:after="283"/>
              <w:jc w:val="left"/>
              <w:rPr>
                <w:b/>
              </w:rPr>
            </w:pPr>
            <w:r>
              <w:rPr>
                <w:b/>
              </w:rPr>
              <w:t>A</w:t>
            </w:r>
          </w:p>
        </w:tc>
        <w:tc>
          <w:tcPr>
            <w:tcW w:w="15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Results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began our operations in August 2008 and have grown significantly since then. In 2022, 2023 and 2024, we fulfilled approximately 739.5 million, 812.3 million and 757.5 million customer orders, respectively, and we generated total net revenues of RMB103.15 billion, RMB112.86 billion and RMB108.42 billion (US$14.9 billion), respectively. In 2022, 2023 and 2024, we generated net income of RMB6.31 billion, RMB8.20 billion and RMB7.84 billion (US$1.07 billion), respectively. Our net income in 2022, 2023 and 2024 reflected share-based compensation expenses in an aggregate amount of RMB1,207.6 million, RMB1,509.8 million and RMB1,537.7 million (US$210.7 million), respectively. </w:t>
      </w:r>
    </w:p>
    <w:p>
      <w:pPr>
        <w:pStyle w:val="TextBody"/>
        <w:bidi w:val="0"/>
        <w:spacing w:before="240" w:after="0"/>
        <w:jc w:val="left"/>
        <w:rPr>
          <w:rFonts w:ascii="Times New Roman" w:hAnsi="Times New Roman"/>
          <w:sz w:val="20"/>
        </w:rPr>
      </w:pPr>
      <w:r>
        <w:rPr>
          <w:rFonts w:ascii="Times New Roman" w:hAnsi="Times New Roman"/>
          <w:sz w:val="20"/>
        </w:rPr>
        <w:t xml:space="preserve">Our business and operating results are affected by general factors affecting the online retail market in China, including China’s overall economic growth, the increase in per capita disposable income, the growth in consumer spending and retail industry and the expansion of internet penetration. Unfavorable changes in any of these general factors could affect the demand for products we sell and could materially and adversely affect our results of operations. </w:t>
      </w:r>
    </w:p>
    <w:p>
      <w:pPr>
        <w:pStyle w:val="TextBody"/>
        <w:bidi w:val="0"/>
        <w:spacing w:before="240" w:after="0"/>
        <w:jc w:val="left"/>
        <w:rPr>
          <w:rFonts w:ascii="Times New Roman" w:hAnsi="Times New Roman"/>
          <w:sz w:val="20"/>
        </w:rPr>
      </w:pPr>
      <w:r>
        <w:rPr>
          <w:rFonts w:ascii="Times New Roman" w:hAnsi="Times New Roman"/>
          <w:sz w:val="20"/>
        </w:rPr>
        <w:t xml:space="preserve">Our results of operations are also affected by the regulations and industry policies relating to the online retail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Substantially all of our revenues and workforce are concentrated in China. Our results of operations from 2020 to 2022 were adversely affected by the COVID-19 pandemic. The pandemic resulted in quarantines, travel restrictions, and the temporary closure of business venues and facilities, and some of the warehousing and logistics networks that we rely on experienced disruptions or delays. Our business and results of operations have been normalized since the beginning of 2023.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we had cash and cash equivalents and restricted cash of RMB26.95 billion (US$3.69 billion) and short-term investments of RMB1.87 billion (US$256.6 million). Our short-term investments consist primarily of investments in financial products offered by commercial banks in China with fixed maturity dates ranging from three months to one year. We believe this level of liquidity is sufficient to successfully navigate an extended period of uncertainty. </w:t>
      </w:r>
    </w:p>
    <w:p>
      <w:pPr>
        <w:pStyle w:val="TextBody"/>
        <w:bidi w:val="0"/>
        <w:spacing w:before="240" w:after="0"/>
        <w:jc w:val="left"/>
        <w:rPr>
          <w:rFonts w:ascii="Times New Roman" w:hAnsi="Times New Roman"/>
          <w:sz w:val="20"/>
        </w:rPr>
      </w:pPr>
      <w:r>
        <w:rPr>
          <w:rFonts w:ascii="Times New Roman" w:hAnsi="Times New Roman"/>
          <w:sz w:val="20"/>
        </w:rPr>
        <w:t xml:space="preserve">The major factors affecting our results of operations and financial condition are discussed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Key Components of Our Results of Operations </w:t>
      </w:r>
    </w:p>
    <w:p>
      <w:pPr>
        <w:pStyle w:val="TextBody"/>
        <w:bidi w:val="0"/>
        <w:spacing w:before="120" w:after="0"/>
        <w:jc w:val="left"/>
        <w:rPr>
          <w:rFonts w:ascii="Times New Roman" w:hAnsi="Times New Roman"/>
          <w:i/>
          <w:sz w:val="20"/>
        </w:rPr>
      </w:pPr>
      <w:r>
        <w:rPr>
          <w:rFonts w:ascii="Times New Roman" w:hAnsi="Times New Roman"/>
          <w:i/>
          <w:sz w:val="20"/>
        </w:rPr>
        <w:t xml:space="preserve">Net Revenues </w:t>
      </w:r>
    </w:p>
    <w:p>
      <w:pPr>
        <w:pStyle w:val="TextBody"/>
        <w:bidi w:val="0"/>
        <w:spacing w:before="120" w:after="0"/>
        <w:jc w:val="left"/>
        <w:rPr>
          <w:rFonts w:ascii="Times New Roman" w:hAnsi="Times New Roman"/>
          <w:sz w:val="20"/>
        </w:rPr>
      </w:pPr>
      <w:r>
        <w:rPr>
          <w:rFonts w:ascii="Times New Roman" w:hAnsi="Times New Roman"/>
          <w:sz w:val="20"/>
        </w:rPr>
        <w:t xml:space="preserve">We derive revenues primarily from the sale of products offered on our Vipshop Online Platform. Generally, we offer our customers a right to return products purchased online for a period of seven days upon receipt of products. The associated revenues are recognized at the point of time when the goods have been accepted by the customers. Our net revenues are recorded net of value-added taxes, related surcharges, and sales tax on cross-border revenues.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key factors that directly affect our net revenues for the periods indicated: </w:t>
      </w:r>
    </w:p>
    <w:p>
      <w:pPr>
        <w:pStyle w:val="TextBody"/>
        <w:bidi w:val="0"/>
        <w:spacing w:before="0" w:after="0"/>
        <w:jc w:val="left"/>
        <w:rPr/>
      </w:pPr>
      <w:r>
        <w:rPr/>
        <w:t> </w:t>
      </w:r>
    </w:p>
    <w:tbl>
      <w:tblPr>
        <w:tblW w:w="7625" w:type="dxa"/>
        <w:jc w:val="left"/>
        <w:tblInd w:w="0" w:type="dxa"/>
        <w:tblLayout w:type="fixed"/>
        <w:tblCellMar>
          <w:top w:w="0" w:type="dxa"/>
          <w:left w:w="0" w:type="dxa"/>
          <w:bottom w:w="0" w:type="dxa"/>
          <w:right w:w="0" w:type="dxa"/>
        </w:tblCellMar>
      </w:tblPr>
      <w:tblGrid>
        <w:gridCol w:w="3230"/>
        <w:gridCol w:w="120"/>
        <w:gridCol w:w="60"/>
        <w:gridCol w:w="1220"/>
        <w:gridCol w:w="60"/>
        <w:gridCol w:w="120"/>
        <w:gridCol w:w="60"/>
        <w:gridCol w:w="1220"/>
        <w:gridCol w:w="60"/>
        <w:gridCol w:w="120"/>
        <w:gridCol w:w="60"/>
        <w:gridCol w:w="1220"/>
        <w:gridCol w:w="75"/>
      </w:tblGrid>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net revenues (RMB in thousands)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103,152,489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112,856,020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108,420,832</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Active customers (in millions)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84.1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84.7</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orders (in millions)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739.5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812.3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757.5</w:t>
            </w:r>
          </w:p>
        </w:tc>
        <w:tc>
          <w:tcPr>
            <w:tcW w:w="7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Average orders per active customer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8.9</w:t>
            </w:r>
          </w:p>
        </w:tc>
        <w:tc>
          <w:tcPr>
            <w:tcW w:w="7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GMV (RMB in billions)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Cost of Revenues </w:t>
      </w:r>
    </w:p>
    <w:p>
      <w:pPr>
        <w:pStyle w:val="TextBody"/>
        <w:bidi w:val="0"/>
        <w:spacing w:before="120" w:after="0"/>
        <w:jc w:val="left"/>
        <w:rPr>
          <w:rFonts w:ascii="Times New Roman" w:hAnsi="Times New Roman"/>
          <w:sz w:val="20"/>
        </w:rPr>
      </w:pPr>
      <w:r>
        <w:rPr>
          <w:rFonts w:ascii="Times New Roman" w:hAnsi="Times New Roman"/>
          <w:sz w:val="20"/>
        </w:rPr>
        <w:t xml:space="preserve">Our cost of revenues consists primarily of cost of merchandise sold and inventory write-down. We procure inventory from our brand partners and our inventory is recorded at the lower of cost or net realizable value. Cost of inventory is determined using the weighted average cost method. </w:t>
      </w:r>
    </w:p>
    <w:p>
      <w:pPr>
        <w:pStyle w:val="TextBody"/>
        <w:bidi w:val="0"/>
        <w:spacing w:before="360" w:after="0"/>
        <w:jc w:val="left"/>
        <w:rPr>
          <w:rFonts w:ascii="Times New Roman" w:hAnsi="Times New Roman"/>
          <w:i/>
          <w:sz w:val="20"/>
        </w:rPr>
      </w:pPr>
      <w:r>
        <w:rPr>
          <w:rFonts w:ascii="Times New Roman" w:hAnsi="Times New Roman"/>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Our operating expenses consist of (i) fulfillment expenses, (ii) marketing expenses, (iii) technology and content expenses, and (iv) general and administrative expenses. The following table sets forth the components of our operating expenses both in absolute amount and as a percentage of total net revenues for the periods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0"/>
        <w:gridCol w:w="120"/>
        <w:gridCol w:w="60"/>
        <w:gridCol w:w="1100"/>
        <w:gridCol w:w="60"/>
        <w:gridCol w:w="120"/>
        <w:gridCol w:w="60"/>
        <w:gridCol w:w="440"/>
        <w:gridCol w:w="60"/>
        <w:gridCol w:w="120"/>
        <w:gridCol w:w="60"/>
        <w:gridCol w:w="1100"/>
        <w:gridCol w:w="60"/>
        <w:gridCol w:w="120"/>
        <w:gridCol w:w="60"/>
        <w:gridCol w:w="440"/>
        <w:gridCol w:w="60"/>
        <w:gridCol w:w="120"/>
        <w:gridCol w:w="60"/>
        <w:gridCol w:w="1100"/>
        <w:gridCol w:w="60"/>
        <w:gridCol w:w="120"/>
        <w:gridCol w:w="60"/>
        <w:gridCol w:w="980"/>
        <w:gridCol w:w="60"/>
        <w:gridCol w:w="120"/>
        <w:gridCol w:w="60"/>
        <w:gridCol w:w="440"/>
        <w:gridCol w:w="75"/>
      </w:tblGrid>
      <w:tr>
        <w:trPr/>
        <w:tc>
          <w:tcPr>
            <w:tcW w:w="2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100" w:type="dxa"/>
            <w:gridSpan w:val="26"/>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2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0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2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Fulfillment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7,247,210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8,262,004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7.3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8,346,864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1,143,516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7.7</w:t>
            </w:r>
          </w:p>
        </w:tc>
        <w:tc>
          <w:tcPr>
            <w:tcW w:w="75" w:type="dxa"/>
            <w:tcBorders/>
            <w:shd w:fill="CCEEFF" w:val="clear"/>
            <w:vAlign w:val="center"/>
          </w:tcPr>
          <w:p>
            <w:pPr>
              <w:pStyle w:val="TableContents"/>
              <w:bidi w:val="0"/>
              <w:spacing w:before="0" w:after="283"/>
              <w:jc w:val="left"/>
              <w:rPr/>
            </w:pPr>
            <w:r>
              <w:rPr/>
              <w:t> </w:t>
            </w:r>
          </w:p>
        </w:tc>
      </w:tr>
      <w:tr>
        <w:trPr/>
        <w:tc>
          <w:tcPr>
            <w:tcW w:w="2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2,831,316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3,242,215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2,979,654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408,211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2.8</w:t>
            </w:r>
          </w:p>
        </w:tc>
        <w:tc>
          <w:tcPr>
            <w:tcW w:w="75" w:type="dxa"/>
            <w:tcBorders/>
            <w:vAlign w:val="center"/>
          </w:tcPr>
          <w:p>
            <w:pPr>
              <w:pStyle w:val="TableContents"/>
              <w:bidi w:val="0"/>
              <w:spacing w:before="0" w:after="283"/>
              <w:jc w:val="left"/>
              <w:rPr/>
            </w:pPr>
            <w:r>
              <w:rPr/>
              <w:t> </w:t>
            </w:r>
          </w:p>
        </w:tc>
      </w:tr>
      <w:tr>
        <w:trPr/>
        <w:tc>
          <w:tcPr>
            <w:tcW w:w="2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Technology and content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1,605,422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1,767,530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1,892,434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259,262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1.7</w:t>
            </w:r>
          </w:p>
        </w:tc>
        <w:tc>
          <w:tcPr>
            <w:tcW w:w="75" w:type="dxa"/>
            <w:tcBorders/>
            <w:shd w:fill="CCEEFF" w:val="clear"/>
            <w:vAlign w:val="center"/>
          </w:tcPr>
          <w:p>
            <w:pPr>
              <w:pStyle w:val="TableContents"/>
              <w:bidi w:val="0"/>
              <w:spacing w:before="0" w:after="283"/>
              <w:jc w:val="left"/>
              <w:rPr/>
            </w:pPr>
            <w:r>
              <w:rPr/>
              <w:t> </w:t>
            </w:r>
          </w:p>
        </w:tc>
      </w:tr>
      <w:tr>
        <w:trPr/>
        <w:tc>
          <w:tcPr>
            <w:tcW w:w="2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4,459,518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4,146,568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3,992,657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546,992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2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44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2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16,143,466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17,418,317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17,211,609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2,357,981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15.9</w:t>
            </w:r>
          </w:p>
        </w:tc>
        <w:tc>
          <w:tcPr>
            <w:tcW w:w="75" w:type="dxa"/>
            <w:tcBorders/>
            <w:shd w:fill="CCEEFF" w:val="clear"/>
            <w:vAlign w:val="center"/>
          </w:tcPr>
          <w:p>
            <w:pPr>
              <w:pStyle w:val="TableContents"/>
              <w:bidi w:val="0"/>
              <w:spacing w:before="0" w:after="283"/>
              <w:jc w:val="left"/>
              <w:rPr/>
            </w:pPr>
            <w:r>
              <w:rPr/>
              <w:t> </w:t>
            </w:r>
          </w:p>
        </w:tc>
      </w:tr>
      <w:tr>
        <w:trPr/>
        <w:tc>
          <w:tcPr>
            <w:tcW w:w="2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4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44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44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Fulfillment expenses</w:t>
      </w:r>
      <w:r>
        <w:rPr>
          <w:rFonts w:ascii="Times New Roman" w:hAnsi="Times New Roman"/>
          <w:sz w:val="20"/>
        </w:rPr>
        <w:t xml:space="preserve">. Fulfillment expenses primarily consist of shipping and handling expenses, packaging expenses, depreciation and amortization of warehouse and logistics equipment, compensation and benefits of our logistics and client service cost. Our shipping and handling expenses were RMB5.06 billion, RMB5.84 billion and RMB5.82 billion (US$797.7 million) in 2022, 2023 and 2024, respectively. Our fulfillment services utilize regional logistics hubs and rely on high-quality delivery service providers with national coverage. We expect our fulfillment expenses as a percentage of our total net revenues to increase slightly in the foreseeable future due to continuous increase in sales return rate. </w:t>
      </w:r>
    </w:p>
    <w:p>
      <w:pPr>
        <w:pStyle w:val="TextBody"/>
        <w:bidi w:val="0"/>
        <w:spacing w:before="240" w:after="0"/>
        <w:jc w:val="left"/>
        <w:rPr>
          <w:rFonts w:ascii="Times New Roman" w:hAnsi="Times New Roman"/>
          <w:sz w:val="20"/>
        </w:rPr>
      </w:pPr>
      <w:r>
        <w:rPr>
          <w:rFonts w:ascii="Times New Roman" w:hAnsi="Times New Roman"/>
          <w:sz w:val="20"/>
          <w:u w:val="single"/>
        </w:rPr>
        <w:t>Marketing expenses</w:t>
      </w:r>
      <w:r>
        <w:rPr>
          <w:rFonts w:ascii="Times New Roman" w:hAnsi="Times New Roman"/>
          <w:sz w:val="20"/>
        </w:rPr>
        <w:t xml:space="preserve">. Marketing expenses primarily represent advertising expenses incurred in connection with our brand promotional activities, as well as compensation and benefits of our marketing staff. In the foreseeable future, we expect our customer acquisition costs will remain at a manageable level, with relatively balanced spending in new and existing customer acquisition and retention. </w:t>
      </w:r>
    </w:p>
    <w:p>
      <w:pPr>
        <w:pStyle w:val="TextBody"/>
        <w:bidi w:val="0"/>
        <w:spacing w:before="240" w:after="0"/>
        <w:jc w:val="left"/>
        <w:rPr>
          <w:rFonts w:ascii="Times New Roman" w:hAnsi="Times New Roman"/>
          <w:sz w:val="20"/>
        </w:rPr>
      </w:pPr>
      <w:r>
        <w:rPr>
          <w:rFonts w:ascii="Times New Roman" w:hAnsi="Times New Roman"/>
          <w:sz w:val="20"/>
          <w:u w:val="single"/>
        </w:rPr>
        <w:t>Technology and content expenses</w:t>
      </w:r>
      <w:r>
        <w:rPr>
          <w:rFonts w:ascii="Times New Roman" w:hAnsi="Times New Roman"/>
          <w:sz w:val="20"/>
        </w:rPr>
        <w:t xml:space="preserve">. Technology and content expenses primarily consist of the compensation and benefits of our IT staff, depreciation of IT equipment’s, telecommunications expenses, and expenses incurred in creating content for our sales events on our platform. In the foreseeable future, we expect to make continues investment in large model and AIGC to enhance user experience, improve operating efficiency and reduce the overall cost. </w:t>
      </w:r>
    </w:p>
    <w:p>
      <w:pPr>
        <w:pStyle w:val="TextBody"/>
        <w:bidi w:val="0"/>
        <w:spacing w:before="240" w:after="0"/>
        <w:jc w:val="left"/>
        <w:rPr>
          <w:rFonts w:ascii="Times New Roman" w:hAnsi="Times New Roman"/>
          <w:sz w:val="20"/>
        </w:rPr>
      </w:pPr>
      <w:r>
        <w:rPr>
          <w:rFonts w:ascii="Times New Roman" w:hAnsi="Times New Roman"/>
          <w:sz w:val="20"/>
          <w:u w:val="single"/>
        </w:rPr>
        <w:t>General and administrative expenses</w:t>
      </w:r>
      <w:r>
        <w:rPr>
          <w:rFonts w:ascii="Times New Roman" w:hAnsi="Times New Roman"/>
          <w:sz w:val="20"/>
        </w:rPr>
        <w:t xml:space="preserve">. General and administrative expenses primarily consist of compensation and benefits of our headquarters and administrative staff, payment processing fees, depreciations, rental expenses, and other administrative and overhead expenses. We expect our general and administrative expenses to remain relatively stable in the foreseeable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Seasonality </w:t>
      </w:r>
    </w:p>
    <w:p>
      <w:pPr>
        <w:pStyle w:val="TextBody"/>
        <w:bidi w:val="0"/>
        <w:spacing w:before="120" w:after="0"/>
        <w:jc w:val="left"/>
        <w:rPr>
          <w:rFonts w:ascii="Times New Roman" w:hAnsi="Times New Roman"/>
          <w:sz w:val="20"/>
        </w:rPr>
      </w:pPr>
      <w:r>
        <w:rPr>
          <w:rFonts w:ascii="Times New Roman" w:hAnsi="Times New Roman"/>
          <w:sz w:val="20"/>
        </w:rPr>
        <w:t xml:space="preserve">Our results of operations are subject to seasonal fluctuations, reflecting a combination of seasonal fluctuations in internet usage, traditional retail seasonality patterns, and seasonal buying patterns in certain categories such as apparel. For example, we generally experience less user traffic and fewer purchase orders during holidays in China, particularly during the Chinese New Year period that occurs in the first quarter of the year, when customers tend to shop less. Furthermore, sales in the retail industry are typically significantly higher in the fourth quarter of the year than in the preceding three quarters. E-commerce companies in China hold special promotional campaigns on November 11 and December 12 each year that boost sales in the fourth quarter relative to other quarters, and we hold a special promotional campaign in the fourth quarter of each year to celebrate the anniversary of the founding of our platform. The seasonal trends that we have experienced in the past may not apply to, or be indicative of, our future operating results.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Taxation </w:t>
      </w:r>
    </w:p>
    <w:p>
      <w:pPr>
        <w:pStyle w:val="TextBody"/>
        <w:bidi w:val="0"/>
        <w:spacing w:before="120" w:after="0"/>
        <w:jc w:val="left"/>
        <w:rPr>
          <w:rFonts w:ascii="Times New Roman" w:hAnsi="Times New Roman"/>
          <w:i/>
          <w:sz w:val="20"/>
        </w:rPr>
      </w:pPr>
      <w:r>
        <w:rPr>
          <w:rFonts w:ascii="Times New Roman" w:hAnsi="Times New Roman"/>
          <w:i/>
          <w:sz w:val="20"/>
        </w:rPr>
        <w:t xml:space="preserve">Cayman Islands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in the Cayman Islands. Under the current law of the Cayman Islands, we are not subject to income or capital gains tax in the Cayman Islands. </w:t>
      </w:r>
    </w:p>
    <w:p>
      <w:pPr>
        <w:pStyle w:val="TextBody"/>
        <w:bidi w:val="0"/>
        <w:spacing w:before="360" w:after="0"/>
        <w:jc w:val="left"/>
        <w:rPr>
          <w:rFonts w:ascii="Times New Roman" w:hAnsi="Times New Roman"/>
          <w:i/>
          <w:sz w:val="20"/>
        </w:rPr>
      </w:pPr>
      <w:r>
        <w:rPr>
          <w:rFonts w:ascii="Times New Roman" w:hAnsi="Times New Roman"/>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Our subsidiary incorporated in Hong Kong is subject to a two-tiered income tax rate for taxable income earned in Hong Kong, effective on April 1, 2018. The first two million Hong Kong dollars of profits it earns are subject to an income tax rate of 8.25%, while the remaining profits continue to be taxed at the existing tax rate, 16.5%. Under Hong Kong tax law, our subsidiary incorporated in Hong Kong is exempted from the Hong Kong income tax on its foreign-derived income and there are no withholding taxes in Hong Kong on the remittance of dividends. </w:t>
      </w:r>
    </w:p>
    <w:p>
      <w:pPr>
        <w:pStyle w:val="TextBody"/>
        <w:bidi w:val="0"/>
        <w:spacing w:before="360" w:after="0"/>
        <w:jc w:val="left"/>
        <w:rPr>
          <w:rFonts w:ascii="Times New Roman" w:hAnsi="Times New Roman"/>
          <w:i/>
          <w:sz w:val="20"/>
        </w:rPr>
      </w:pPr>
      <w:r>
        <w:rPr>
          <w:rFonts w:ascii="Times New Roman" w:hAnsi="Times New Roman"/>
          <w:i/>
          <w:sz w:val="20"/>
        </w:rPr>
        <w:t xml:space="preserve">Mainland China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Enterprise Income Tax Law, companies established in China are generally subject to enterprise income tax at a statutory rate of 25%. The 25% rate applies to most of our subsidiaries and the VIEs established in China. Four of our significant PRC subsidiaries are entitled to enjoy preferential tax treatment on an annual renewal basis. Four of our significant PRC subsidiaries benefit from a preferential tax rate of 15% by either qualifying as a high and new technology enterprise or as an encouraged enterprise in the western regions in an industry sector encouraged by the PRC government. One of our significant PRC subsidiaries, Vipshop (Guangzhou) Software Co., Ltd., is currently classified as a “software enterprise” by the local software industry association, which remains valid for one year and will be renewed every year. This subsidiary is entitled to enjoy a preferential enterprise income tax policy of “exemption for the first two years and 50% deduction of income tax (i.e., entitled to a favorable tax rate at 12.5%) for the subsequent three years” from the first profit making year. The first profit making year for this subsidiary was 2021.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evaluate the level of authority for each uncertain tax position (including the potential application of interest and penalties) based on the technical merits, and measure the unrecognized benefits associated with the tax positions. As of December 31, 2022, 2023 and 2024, we did not have any unrecognized tax benefits. We do not anticipate any significant increase to our liability for unrecognized tax benefit within the next 12 months. We will classify interest and penalties relating to income tax matters, if any, in income tax expense. </w:t>
      </w:r>
    </w:p>
    <w:p>
      <w:pPr>
        <w:pStyle w:val="TextBody"/>
        <w:bidi w:val="0"/>
        <w:spacing w:before="240" w:after="0"/>
        <w:jc w:val="left"/>
        <w:rPr>
          <w:rFonts w:ascii="Times New Roman" w:hAnsi="Times New Roman"/>
          <w:sz w:val="20"/>
        </w:rPr>
      </w:pPr>
      <w:r>
        <w:rPr>
          <w:rFonts w:ascii="Times New Roman" w:hAnsi="Times New Roman"/>
          <w:sz w:val="20"/>
        </w:rPr>
        <w:t xml:space="preserve">The amount of tax loss carry forwards of our certain subsidiaries was RMB2.16 billion, RMB2.20 billion and RMB2.22 billion (US$304.5 million) as of December 31, 2022, 2023 and 2024, respectively. We provided a valuation allowance for the deferred tax assets relating to the future benefit of net operating loss carry forwards and other deferred tax assets of certain subsidiaries as of December 31, 2022, 2023 and 2024, respectively, as our management is not able to conclude that the future realization of some of such net operating loss carry forwards is more likely than not.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2022, 2023 and 2024, we had value-added tax recoverable of approximately RMB668.2 million, RMB409.5 million and RMB687.3 million (US$94.2 million), respectively. Value-added tax recoverable occurs due to timing difference on operation of certain entities, as we record the revenue and value-added tax output when goods are delivered, but value-added tax input invoice from suppliers may be delayed. We also had value-added tax payable of RMB256.9 million, RMB189.4 million and RMB193.5 million (US$26.5 million) as of December 31, 2022, 2023 and 2024, respectively, included as accrued expenses and other current liabilities. We do not net off value-added tax recoverable and payable from different entities within our group companies.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PRC tax regulations, see “Item 4. Information on the Company—B. Business Overview—Regulation—Regulations Relating to Tax” and “Item 10. Additional Information—E. Taxation—People’s Republic of China Taxation.”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 summary of our consolidated results of operations for the periods indicated. This information should be read together with our consolidated financial statements and related notes included elsewhere in this annual report. The results of operations in any period are not necessarily indicative of the results that may be expected for any future period.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15"/>
        <w:gridCol w:w="120"/>
        <w:gridCol w:w="60"/>
        <w:gridCol w:w="1220"/>
        <w:gridCol w:w="155"/>
        <w:gridCol w:w="120"/>
        <w:gridCol w:w="60"/>
        <w:gridCol w:w="1220"/>
        <w:gridCol w:w="155"/>
        <w:gridCol w:w="120"/>
        <w:gridCol w:w="60"/>
        <w:gridCol w:w="1220"/>
        <w:gridCol w:w="155"/>
        <w:gridCol w:w="120"/>
        <w:gridCol w:w="60"/>
        <w:gridCol w:w="1175"/>
        <w:gridCol w:w="170"/>
      </w:tblGrid>
      <w:tr>
        <w:trPr/>
        <w:tc>
          <w:tcPr>
            <w:tcW w:w="4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0" w:type="dxa"/>
            <w:gridSpan w:val="14"/>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4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Product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97,250,078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105,613,485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100,734,550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13,800,577</w:t>
            </w:r>
          </w:p>
        </w:tc>
        <w:tc>
          <w:tcPr>
            <w:tcW w:w="170" w:type="dxa"/>
            <w:tcBorders/>
            <w:shd w:fill="CCEEFF" w:val="clear"/>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5,902,411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7,242,535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7,686,282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1,053,016</w:t>
            </w:r>
          </w:p>
        </w:tc>
        <w:tc>
          <w:tcPr>
            <w:tcW w:w="170" w:type="dxa"/>
            <w:tcBorders/>
            <w:vAlign w:val="center"/>
          </w:tcPr>
          <w:p>
            <w:pPr>
              <w:pStyle w:val="TableContents"/>
              <w:bidi w:val="0"/>
              <w:spacing w:before="0" w:after="283"/>
              <w:jc w:val="left"/>
              <w:rPr/>
            </w:pPr>
            <w:r>
              <w:rPr/>
              <w:t> </w:t>
            </w:r>
          </w:p>
        </w:tc>
      </w:tr>
      <w:tr>
        <w:trPr/>
        <w:tc>
          <w:tcPr>
            <w:tcW w:w="4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net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103,152,489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112,856,020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108,420,832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14,853,593</w:t>
            </w:r>
          </w:p>
        </w:tc>
        <w:tc>
          <w:tcPr>
            <w:tcW w:w="170" w:type="dxa"/>
            <w:tcBorders/>
            <w:shd w:fill="CCEEFF" w:val="clear"/>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(81,536,409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(87,135,128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(82,951,178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(11,364,265</w:t>
            </w:r>
          </w:p>
        </w:tc>
        <w:tc>
          <w:tcPr>
            <w:tcW w:w="170" w:type="dxa"/>
            <w:tcBorders/>
            <w:vAlign w:val="center"/>
          </w:tcPr>
          <w:p>
            <w:pPr>
              <w:pStyle w:val="TableContents"/>
              <w:bidi w:val="0"/>
              <w:spacing w:before="0" w:after="283"/>
              <w:jc w:val="left"/>
              <w:rPr/>
            </w:pPr>
            <w:r>
              <w:rPr/>
              <w:t>) </w:t>
            </w:r>
          </w:p>
        </w:tc>
      </w:tr>
      <w:tr>
        <w:trPr/>
        <w:tc>
          <w:tcPr>
            <w:tcW w:w="4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21,616,080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25,720,892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25,469,654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3,489,328</w:t>
            </w:r>
          </w:p>
        </w:tc>
        <w:tc>
          <w:tcPr>
            <w:tcW w:w="170" w:type="dxa"/>
            <w:tcBorders/>
            <w:shd w:fill="CCEEFF" w:val="clear"/>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015" w:type="dxa"/>
            <w:tcBorders/>
            <w:shd w:fill="CCEEFF" w:val="clear"/>
            <w:vAlign w:val="center"/>
          </w:tcPr>
          <w:p>
            <w:pPr>
              <w:pStyle w:val="TableContents"/>
              <w:bidi w:val="0"/>
              <w:spacing w:before="0" w:after="0"/>
              <w:jc w:val="left"/>
              <w:rPr/>
            </w:pPr>
            <w:r>
              <w:rPr/>
              <w:t>—</w:t>
            </w:r>
            <w:r>
              <w:rPr>
                <w:rFonts w:ascii="Times New Roman" w:hAnsi="Times New Roman"/>
                <w:sz w:val="20"/>
              </w:rPr>
              <w:t>Fulfillment expenses(3)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(7,247,210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(8,262,004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(8,346,864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(1,143,516</w:t>
            </w:r>
          </w:p>
        </w:tc>
        <w:tc>
          <w:tcPr>
            <w:tcW w:w="170" w:type="dxa"/>
            <w:tcBorders/>
            <w:shd w:fill="CCEEFF" w:val="clear"/>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0"/>
              <w:jc w:val="left"/>
              <w:rPr/>
            </w:pPr>
            <w:r>
              <w:rPr/>
              <w:t>—</w:t>
            </w:r>
            <w:r>
              <w:rPr>
                <w:rFonts w:ascii="Times New Roman" w:hAnsi="Times New Roman"/>
                <w:sz w:val="20"/>
              </w:rPr>
              <w:t>Marketing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(2,831,316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(3,242,215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(2,979,654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(408,211</w:t>
            </w:r>
          </w:p>
        </w:tc>
        <w:tc>
          <w:tcPr>
            <w:tcW w:w="170" w:type="dxa"/>
            <w:tcBorders/>
            <w:vAlign w:val="center"/>
          </w:tcPr>
          <w:p>
            <w:pPr>
              <w:pStyle w:val="TableContents"/>
              <w:bidi w:val="0"/>
              <w:spacing w:before="0" w:after="283"/>
              <w:jc w:val="left"/>
              <w:rPr/>
            </w:pPr>
            <w:r>
              <w:rPr/>
              <w:t>) </w:t>
            </w:r>
          </w:p>
        </w:tc>
      </w:tr>
      <w:tr>
        <w:trPr/>
        <w:tc>
          <w:tcPr>
            <w:tcW w:w="4015" w:type="dxa"/>
            <w:tcBorders/>
            <w:shd w:fill="CCEEFF" w:val="clear"/>
            <w:vAlign w:val="center"/>
          </w:tcPr>
          <w:p>
            <w:pPr>
              <w:pStyle w:val="TableContents"/>
              <w:bidi w:val="0"/>
              <w:spacing w:before="0" w:after="0"/>
              <w:jc w:val="left"/>
              <w:rPr/>
            </w:pPr>
            <w:r>
              <w:rPr/>
              <w:t>—</w:t>
            </w:r>
            <w:r>
              <w:rPr>
                <w:rFonts w:ascii="Times New Roman" w:hAnsi="Times New Roman"/>
                <w:sz w:val="20"/>
              </w:rPr>
              <w:t>Technology and content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(1,605,422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(1,767,530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(1,892,434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(259,262</w:t>
            </w:r>
          </w:p>
        </w:tc>
        <w:tc>
          <w:tcPr>
            <w:tcW w:w="170" w:type="dxa"/>
            <w:tcBorders/>
            <w:shd w:fill="CCEEFF" w:val="clear"/>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0"/>
              <w:jc w:val="left"/>
              <w:rPr/>
            </w:pPr>
            <w:r>
              <w:rPr/>
              <w:t>—</w:t>
            </w:r>
            <w:r>
              <w:rPr>
                <w:rFonts w:ascii="Times New Roman" w:hAnsi="Times New Roman"/>
                <w:sz w:val="20"/>
              </w:rPr>
              <w:t>General and administrative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(4,459,518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(4,146,568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(3,992,657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(546,992</w:t>
            </w:r>
          </w:p>
        </w:tc>
        <w:tc>
          <w:tcPr>
            <w:tcW w:w="170" w:type="dxa"/>
            <w:tcBorders/>
            <w:vAlign w:val="center"/>
          </w:tcPr>
          <w:p>
            <w:pPr>
              <w:pStyle w:val="TableContents"/>
              <w:bidi w:val="0"/>
              <w:spacing w:before="0" w:after="283"/>
              <w:jc w:val="left"/>
              <w:rPr/>
            </w:pPr>
            <w:r>
              <w:rPr/>
              <w:t>) </w:t>
            </w:r>
          </w:p>
        </w:tc>
      </w:tr>
      <w:tr>
        <w:trPr/>
        <w:tc>
          <w:tcPr>
            <w:tcW w:w="4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(16,143,466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(17,418,317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(17,211,609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(2,357,981</w:t>
            </w:r>
          </w:p>
        </w:tc>
        <w:tc>
          <w:tcPr>
            <w:tcW w:w="170" w:type="dxa"/>
            <w:tcBorders/>
            <w:shd w:fill="CCEEFF" w:val="clear"/>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724,832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801,560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915,208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125,383</w:t>
            </w:r>
          </w:p>
        </w:tc>
        <w:tc>
          <w:tcPr>
            <w:tcW w:w="170" w:type="dxa"/>
            <w:tcBorders/>
            <w:vAlign w:val="center"/>
          </w:tcPr>
          <w:p>
            <w:pPr>
              <w:pStyle w:val="TableContents"/>
              <w:bidi w:val="0"/>
              <w:spacing w:before="0" w:after="283"/>
              <w:jc w:val="left"/>
              <w:rPr/>
            </w:pPr>
            <w:r>
              <w:rPr/>
              <w:t> </w:t>
            </w:r>
          </w:p>
        </w:tc>
      </w:tr>
      <w:tr>
        <w:trPr/>
        <w:tc>
          <w:tcPr>
            <w:tcW w:w="4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6,197,446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9,104,135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9,173,253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1,256,730</w:t>
            </w:r>
          </w:p>
        </w:tc>
        <w:tc>
          <w:tcPr>
            <w:tcW w:w="170" w:type="dxa"/>
            <w:tcBorders/>
            <w:shd w:fill="CCEEFF" w:val="clear"/>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loss of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(93,904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(19,105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(61,246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(8,391</w:t>
            </w:r>
          </w:p>
        </w:tc>
        <w:tc>
          <w:tcPr>
            <w:tcW w:w="170" w:type="dxa"/>
            <w:tcBorders/>
            <w:vAlign w:val="center"/>
          </w:tcPr>
          <w:p>
            <w:pPr>
              <w:pStyle w:val="TableContents"/>
              <w:bidi w:val="0"/>
              <w:spacing w:before="0" w:after="283"/>
              <w:jc w:val="left"/>
              <w:rPr/>
            </w:pPr>
            <w:r>
              <w:rPr/>
              <w:t>) </w:t>
            </w:r>
          </w:p>
        </w:tc>
      </w:tr>
      <w:tr>
        <w:trPr/>
        <w:tc>
          <w:tcPr>
            <w:tcW w:w="4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(24,258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(22,932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(57,676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(7,902</w:t>
            </w:r>
          </w:p>
        </w:tc>
        <w:tc>
          <w:tcPr>
            <w:tcW w:w="170" w:type="dxa"/>
            <w:tcBorders/>
            <w:shd w:fill="CCEEFF" w:val="clear"/>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764,018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780,292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809,792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110,941</w:t>
            </w:r>
          </w:p>
        </w:tc>
        <w:tc>
          <w:tcPr>
            <w:tcW w:w="170" w:type="dxa"/>
            <w:tcBorders/>
            <w:vAlign w:val="center"/>
          </w:tcPr>
          <w:p>
            <w:pPr>
              <w:pStyle w:val="TableContents"/>
              <w:bidi w:val="0"/>
              <w:spacing w:before="0" w:after="283"/>
              <w:jc w:val="left"/>
              <w:rPr/>
            </w:pPr>
            <w:r>
              <w:rPr/>
              <w:t> </w:t>
            </w:r>
          </w:p>
        </w:tc>
      </w:tr>
      <w:tr>
        <w:trPr/>
        <w:tc>
          <w:tcPr>
            <w:tcW w:w="4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Exchange gain/(loss)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687,871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162,666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(24,813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(3,399</w:t>
            </w:r>
          </w:p>
        </w:tc>
        <w:tc>
          <w:tcPr>
            <w:tcW w:w="170" w:type="dxa"/>
            <w:tcBorders/>
            <w:shd w:fill="CCEEFF" w:val="clear"/>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gain and revaluation of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546,031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(18,054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148,170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20,299</w:t>
            </w:r>
          </w:p>
        </w:tc>
        <w:tc>
          <w:tcPr>
            <w:tcW w:w="170" w:type="dxa"/>
            <w:tcBorders/>
            <w:vAlign w:val="center"/>
          </w:tcPr>
          <w:p>
            <w:pPr>
              <w:pStyle w:val="TableContents"/>
              <w:bidi w:val="0"/>
              <w:spacing w:before="0" w:after="283"/>
              <w:jc w:val="left"/>
              <w:rPr/>
            </w:pPr>
            <w:r>
              <w:rPr/>
              <w:t> </w:t>
            </w:r>
          </w:p>
        </w:tc>
      </w:tr>
      <w:tr>
        <w:trPr/>
        <w:tc>
          <w:tcPr>
            <w:tcW w:w="4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 and share of income/(loss) of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8,077,204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9,987,002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9,987,480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1,368,278</w:t>
            </w:r>
          </w:p>
        </w:tc>
        <w:tc>
          <w:tcPr>
            <w:tcW w:w="170" w:type="dxa"/>
            <w:tcBorders/>
            <w:shd w:fill="CCEEFF" w:val="clear"/>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(1,758,810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(1,866,004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(2,315,515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(317,224</w:t>
            </w:r>
          </w:p>
        </w:tc>
        <w:tc>
          <w:tcPr>
            <w:tcW w:w="170" w:type="dxa"/>
            <w:tcBorders/>
            <w:vAlign w:val="center"/>
          </w:tcPr>
          <w:p>
            <w:pPr>
              <w:pStyle w:val="TableContents"/>
              <w:bidi w:val="0"/>
              <w:spacing w:before="0" w:after="283"/>
              <w:jc w:val="left"/>
              <w:rPr/>
            </w:pPr>
            <w:r>
              <w:rPr/>
              <w:t>) </w:t>
            </w:r>
          </w:p>
        </w:tc>
      </w:tr>
      <w:tr>
        <w:trPr/>
        <w:tc>
          <w:tcPr>
            <w:tcW w:w="4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 of (loss)/income of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(6,559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80,301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166,980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22,876</w:t>
            </w:r>
          </w:p>
        </w:tc>
        <w:tc>
          <w:tcPr>
            <w:tcW w:w="170" w:type="dxa"/>
            <w:tcBorders/>
            <w:shd w:fill="CCEEFF" w:val="clear"/>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6,311,835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8,201,299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7,838,945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1,073,930</w:t>
            </w:r>
          </w:p>
        </w:tc>
        <w:tc>
          <w:tcPr>
            <w:tcW w:w="170" w:type="dxa"/>
            <w:tcBorders/>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7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40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non-controlling interests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(84,675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(99,010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(13,564</w:t>
            </w:r>
          </w:p>
        </w:tc>
        <w:tc>
          <w:tcPr>
            <w:tcW w:w="170" w:type="dxa"/>
            <w:tcBorders/>
            <w:shd w:fill="CCEEFF" w:val="clear"/>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our shareholders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6,298,816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8,116,624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7,739,935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1,060,366</w:t>
            </w:r>
          </w:p>
        </w:tc>
        <w:tc>
          <w:tcPr>
            <w:tcW w:w="170" w:type="dxa"/>
            <w:tcBorders/>
            <w:vAlign w:val="center"/>
          </w:tcPr>
          <w:p>
            <w:pPr>
              <w:pStyle w:val="TableContents"/>
              <w:bidi w:val="0"/>
              <w:spacing w:before="0" w:after="283"/>
              <w:jc w:val="left"/>
              <w:rPr/>
            </w:pPr>
            <w:r>
              <w:rPr/>
              <w:t> </w:t>
            </w:r>
          </w:p>
        </w:tc>
      </w:tr>
      <w:tr>
        <w:trPr/>
        <w:tc>
          <w:tcPr>
            <w:tcW w:w="4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22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7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Notes: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305"/>
        <w:gridCol w:w="3545"/>
      </w:tblGrid>
      <w:tr>
        <w:trPr/>
        <w:tc>
          <w:tcPr>
            <w:tcW w:w="305" w:type="dxa"/>
            <w:tcBorders/>
            <w:vAlign w:val="center"/>
          </w:tcPr>
          <w:p>
            <w:pPr>
              <w:pStyle w:val="TableContents"/>
              <w:bidi w:val="0"/>
              <w:spacing w:before="0" w:after="283"/>
              <w:jc w:val="left"/>
              <w:rPr/>
            </w:pPr>
            <w:r>
              <w:rPr/>
              <w:t>(1)</w:t>
            </w:r>
          </w:p>
        </w:tc>
        <w:tc>
          <w:tcPr>
            <w:tcW w:w="3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Excludes shipping and handling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470" w:type="dxa"/>
        <w:jc w:val="left"/>
        <w:tblInd w:w="0" w:type="dxa"/>
        <w:tblLayout w:type="fixed"/>
        <w:tblCellMar>
          <w:top w:w="0" w:type="dxa"/>
          <w:left w:w="0" w:type="dxa"/>
          <w:bottom w:w="0" w:type="dxa"/>
          <w:right w:w="0" w:type="dxa"/>
        </w:tblCellMar>
      </w:tblPr>
      <w:tblGrid>
        <w:gridCol w:w="305"/>
        <w:gridCol w:w="5165"/>
      </w:tblGrid>
      <w:tr>
        <w:trPr/>
        <w:tc>
          <w:tcPr>
            <w:tcW w:w="305" w:type="dxa"/>
            <w:tcBorders/>
            <w:vAlign w:val="center"/>
          </w:tcPr>
          <w:p>
            <w:pPr>
              <w:pStyle w:val="TableContents"/>
              <w:bidi w:val="0"/>
              <w:spacing w:before="0" w:after="283"/>
              <w:jc w:val="left"/>
              <w:rPr/>
            </w:pPr>
            <w:r>
              <w:rPr/>
              <w:t>(2)</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 share-based compensation expenses as set forth below: </w:t>
            </w:r>
          </w:p>
        </w:tc>
      </w:tr>
    </w:tbl>
    <w:p>
      <w:pPr>
        <w:pStyle w:val="TextBody"/>
        <w:bidi w:val="0"/>
        <w:spacing w:before="0" w:after="0"/>
        <w:jc w:val="left"/>
        <w:rPr/>
      </w:pPr>
      <w:r>
        <w:rPr/>
        <w:t> </w:t>
      </w:r>
    </w:p>
    <w:tbl>
      <w:tblPr>
        <w:tblW w:w="8400" w:type="dxa"/>
        <w:jc w:val="left"/>
        <w:tblInd w:w="0" w:type="dxa"/>
        <w:tblLayout w:type="fixed"/>
        <w:tblCellMar>
          <w:top w:w="0" w:type="dxa"/>
          <w:left w:w="0" w:type="dxa"/>
          <w:bottom w:w="0" w:type="dxa"/>
          <w:right w:w="0" w:type="dxa"/>
        </w:tblCellMar>
      </w:tblPr>
      <w:tblGrid>
        <w:gridCol w:w="3005"/>
        <w:gridCol w:w="120"/>
        <w:gridCol w:w="60"/>
        <w:gridCol w:w="1055"/>
        <w:gridCol w:w="155"/>
        <w:gridCol w:w="120"/>
        <w:gridCol w:w="60"/>
        <w:gridCol w:w="1055"/>
        <w:gridCol w:w="155"/>
        <w:gridCol w:w="120"/>
        <w:gridCol w:w="60"/>
        <w:gridCol w:w="1055"/>
        <w:gridCol w:w="155"/>
        <w:gridCol w:w="120"/>
        <w:gridCol w:w="60"/>
        <w:gridCol w:w="875"/>
        <w:gridCol w:w="170"/>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5" w:type="dxa"/>
            <w:gridSpan w:val="14"/>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Fulfillment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(74,063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(77,926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(84,079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(11,519</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(14,630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(33,379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(31,215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(4,276</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Technology and content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(242,714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(330,197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(382,308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(52,376</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(876,174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(1,068,304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(1,040,138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(142,498</w:t>
            </w:r>
          </w:p>
        </w:tc>
        <w:tc>
          <w:tcPr>
            <w:tcW w:w="17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05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7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(1,207,581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(1,509,806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(1,537,740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(210,669</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05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87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Include shipping and handling expenses, which amounted to RMB5.06 billion, RMB5.84 billion and RMB5.82 billion (US$797.7 million) in the years ended December 31, 2022, 2023 and 2024,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200" w:before="0" w:after="0"/>
        <w:jc w:val="left"/>
        <w:rPr>
          <w:rFonts w:ascii="Times New Roman" w:hAnsi="Times New Roman"/>
          <w:b/>
          <w:i/>
          <w:sz w:val="20"/>
        </w:rPr>
      </w:pPr>
      <w:r>
        <w:rPr>
          <w:rFonts w:ascii="Times New Roman" w:hAnsi="Times New Roman"/>
          <w:b/>
          <w:i/>
          <w:sz w:val="20"/>
        </w:rPr>
        <w:t xml:space="preserve">Segment Information </w:t>
      </w:r>
    </w:p>
    <w:p>
      <w:pPr>
        <w:pStyle w:val="TextBody"/>
        <w:bidi w:val="0"/>
        <w:spacing w:lineRule="atLeast" w:line="200" w:before="120" w:after="0"/>
        <w:jc w:val="left"/>
        <w:rPr>
          <w:rFonts w:ascii="Times New Roman" w:hAnsi="Times New Roman"/>
          <w:sz w:val="20"/>
        </w:rPr>
      </w:pPr>
      <w:r>
        <w:rPr>
          <w:rFonts w:ascii="Times New Roman" w:hAnsi="Times New Roman"/>
          <w:sz w:val="20"/>
        </w:rPr>
        <w:t xml:space="preserve">The following table sets forth our segment operating results for the years ended December 31, 2022, 2023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65"/>
        <w:gridCol w:w="120"/>
        <w:gridCol w:w="60"/>
        <w:gridCol w:w="920"/>
        <w:gridCol w:w="125"/>
        <w:gridCol w:w="120"/>
        <w:gridCol w:w="60"/>
        <w:gridCol w:w="800"/>
        <w:gridCol w:w="125"/>
        <w:gridCol w:w="120"/>
        <w:gridCol w:w="60"/>
        <w:gridCol w:w="665"/>
        <w:gridCol w:w="125"/>
        <w:gridCol w:w="120"/>
        <w:gridCol w:w="60"/>
        <w:gridCol w:w="920"/>
        <w:gridCol w:w="140"/>
      </w:tblGrid>
      <w:tr>
        <w:trPr/>
        <w:tc>
          <w:tcPr>
            <w:tcW w:w="5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665" w:type="dxa"/>
            <w:tcBorders/>
            <w:vAlign w:val="center"/>
          </w:tcPr>
          <w:p>
            <w:pPr>
              <w:pStyle w:val="TableContents"/>
              <w:bidi w:val="0"/>
              <w:spacing w:lineRule="atLeast" w:line="200" w:before="0" w:after="0"/>
              <w:jc w:val="left"/>
              <w:rPr>
                <w:rFonts w:ascii="Times New Roman" w:hAnsi="Times New Roman"/>
                <w:b/>
                <w:sz w:val="14"/>
              </w:rPr>
            </w:pPr>
            <w:r>
              <w:rPr>
                <w:rFonts w:ascii="Times New Roman" w:hAnsi="Times New Roman"/>
                <w:b/>
                <w:sz w:val="14"/>
              </w:rPr>
              <w:t>Year Ended December 31, 2024</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Vip.com</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Shan Shan</w:t>
            </w:r>
          </w:p>
          <w:p>
            <w:pPr>
              <w:pStyle w:val="TableContents"/>
              <w:bidi w:val="0"/>
              <w:spacing w:lineRule="atLeast" w:line="200" w:before="0" w:after="0"/>
              <w:jc w:val="center"/>
              <w:rPr>
                <w:rFonts w:ascii="Times New Roman" w:hAnsi="Times New Roman"/>
                <w:b/>
                <w:sz w:val="14"/>
              </w:rPr>
            </w:pPr>
            <w:r>
              <w:rPr>
                <w:rFonts w:ascii="Times New Roman" w:hAnsi="Times New Roman"/>
                <w:b/>
                <w:sz w:val="14"/>
              </w:rPr>
              <w:t>Outlets</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Others</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Total</w:t>
            </w:r>
          </w:p>
        </w:tc>
        <w:tc>
          <w:tcPr>
            <w:tcW w:w="140" w:type="dxa"/>
            <w:tcBorders/>
            <w:vAlign w:val="center"/>
          </w:tcPr>
          <w:p>
            <w:pPr>
              <w:pStyle w:val="TableContents"/>
              <w:bidi w:val="0"/>
              <w:spacing w:before="0" w:after="283"/>
              <w:jc w:val="left"/>
              <w:rPr/>
            </w:pPr>
            <w:r>
              <w:rPr/>
              <w:t> </w:t>
            </w:r>
          </w:p>
        </w:tc>
      </w:tr>
      <w:tr>
        <w:trPr/>
        <w:tc>
          <w:tcPr>
            <w:tcW w:w="5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RMB</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RMB</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RMB</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RMB</w:t>
            </w:r>
          </w:p>
        </w:tc>
        <w:tc>
          <w:tcPr>
            <w:tcW w:w="140" w:type="dxa"/>
            <w:tcBorders/>
            <w:vAlign w:val="center"/>
          </w:tcPr>
          <w:p>
            <w:pPr>
              <w:pStyle w:val="TableContents"/>
              <w:bidi w:val="0"/>
              <w:spacing w:before="0" w:after="283"/>
              <w:jc w:val="left"/>
              <w:rPr/>
            </w:pPr>
            <w:r>
              <w:rPr/>
              <w:t> </w:t>
            </w:r>
          </w:p>
        </w:tc>
      </w:tr>
      <w:tr>
        <w:trPr/>
        <w:tc>
          <w:tcPr>
            <w:tcW w:w="566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80" w:type="dxa"/>
            <w:gridSpan w:val="14"/>
            <w:tcBorders/>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(in thousands)</w:t>
            </w:r>
          </w:p>
        </w:tc>
        <w:tc>
          <w:tcPr>
            <w:tcW w:w="140" w:type="dxa"/>
            <w:tcBorders/>
            <w:vAlign w:val="center"/>
          </w:tcPr>
          <w:p>
            <w:pPr>
              <w:pStyle w:val="TableContents"/>
              <w:bidi w:val="0"/>
              <w:spacing w:before="0" w:after="283"/>
              <w:jc w:val="left"/>
              <w:rPr/>
            </w:pPr>
            <w:r>
              <w:rPr/>
              <w:t> </w:t>
            </w:r>
          </w:p>
        </w:tc>
      </w:tr>
      <w:tr>
        <w:trPr/>
        <w:tc>
          <w:tcPr>
            <w:tcW w:w="566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Revenues from external customers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104,379,002</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3,284,968</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665"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756,862</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108,420,832</w:t>
            </w:r>
          </w:p>
        </w:tc>
        <w:tc>
          <w:tcPr>
            <w:tcW w:w="140" w:type="dxa"/>
            <w:tcBorders/>
            <w:shd w:fill="CCEEFF" w:val="clear"/>
            <w:vAlign w:val="center"/>
          </w:tcPr>
          <w:p>
            <w:pPr>
              <w:pStyle w:val="TableContents"/>
              <w:bidi w:val="0"/>
              <w:spacing w:lineRule="atLeast" w:line="180" w:before="0" w:after="0"/>
              <w:jc w:val="left"/>
              <w:rPr/>
            </w:pPr>
            <w:r>
              <w:rPr/>
              <w:t> </w:t>
            </w:r>
          </w:p>
        </w:tc>
      </w:tr>
      <w:tr>
        <w:trPr/>
        <w:tc>
          <w:tcPr>
            <w:tcW w:w="5665" w:type="dxa"/>
            <w:tcBorders/>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Inter-segment revenues(1)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352,166</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25,761</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665"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205,325</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583,252</w:t>
            </w:r>
          </w:p>
        </w:tc>
        <w:tc>
          <w:tcPr>
            <w:tcW w:w="140" w:type="dxa"/>
            <w:tcBorders/>
            <w:vAlign w:val="center"/>
          </w:tcPr>
          <w:p>
            <w:pPr>
              <w:pStyle w:val="TableContents"/>
              <w:bidi w:val="0"/>
              <w:spacing w:lineRule="atLeast" w:line="180" w:before="0" w:after="0"/>
              <w:jc w:val="left"/>
              <w:rPr/>
            </w:pPr>
            <w:r>
              <w:rPr/>
              <w:t> </w:t>
            </w:r>
          </w:p>
        </w:tc>
      </w:tr>
      <w:tr>
        <w:trPr/>
        <w:tc>
          <w:tcPr>
            <w:tcW w:w="5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65"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r>
        <w:trPr/>
        <w:tc>
          <w:tcPr>
            <w:tcW w:w="566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104,731,168</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3,310,729</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665"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962,187</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109,004,084</w:t>
            </w:r>
          </w:p>
        </w:tc>
        <w:tc>
          <w:tcPr>
            <w:tcW w:w="140" w:type="dxa"/>
            <w:tcBorders/>
            <w:shd w:fill="CCEEFF" w:val="clear"/>
            <w:vAlign w:val="center"/>
          </w:tcPr>
          <w:p>
            <w:pPr>
              <w:pStyle w:val="TableContents"/>
              <w:bidi w:val="0"/>
              <w:spacing w:lineRule="atLeast" w:line="180" w:before="0" w:after="0"/>
              <w:jc w:val="left"/>
              <w:rPr/>
            </w:pPr>
            <w:r>
              <w:rPr/>
              <w:t> </w:t>
            </w:r>
          </w:p>
        </w:tc>
      </w:tr>
      <w:tr>
        <w:trPr/>
        <w:tc>
          <w:tcPr>
            <w:tcW w:w="566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Reconciliation of total net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66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Elimination of inter-segment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(583,252</w:t>
            </w:r>
          </w:p>
        </w:tc>
        <w:tc>
          <w:tcPr>
            <w:tcW w:w="140"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r>
      <w:tr>
        <w:trPr/>
        <w:tc>
          <w:tcPr>
            <w:tcW w:w="5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r>
        <w:trPr/>
        <w:tc>
          <w:tcPr>
            <w:tcW w:w="566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Total net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108,420,832</w:t>
            </w:r>
          </w:p>
        </w:tc>
        <w:tc>
          <w:tcPr>
            <w:tcW w:w="140" w:type="dxa"/>
            <w:tcBorders/>
            <w:vAlign w:val="center"/>
          </w:tcPr>
          <w:p>
            <w:pPr>
              <w:pStyle w:val="TableContents"/>
              <w:bidi w:val="0"/>
              <w:spacing w:lineRule="atLeast" w:line="180" w:before="0" w:after="0"/>
              <w:jc w:val="left"/>
              <w:rPr/>
            </w:pPr>
            <w:r>
              <w:rPr/>
              <w:t> </w:t>
            </w:r>
          </w:p>
        </w:tc>
      </w:tr>
      <w:tr>
        <w:trPr/>
        <w:tc>
          <w:tcPr>
            <w:tcW w:w="566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566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Less: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66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Cost of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(81,251,073</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(1,626,883</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665"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(344,551</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5665" w:type="dxa"/>
            <w:tcBorders/>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Fulfillment expenses(2)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(8,241,185</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pPr>
            <w:r>
              <w:rPr/>
              <w:t>— </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665" w:type="dxa"/>
            <w:tcBorders/>
            <w:vAlign w:val="center"/>
          </w:tcPr>
          <w:p>
            <w:pPr>
              <w:pStyle w:val="TableContents"/>
              <w:bidi w:val="0"/>
              <w:spacing w:lineRule="atLeast" w:line="180" w:before="0" w:after="0"/>
              <w:jc w:val="right"/>
              <w:rPr/>
            </w:pPr>
            <w:r>
              <w:rPr/>
              <w:t>— </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665" w:type="dxa"/>
            <w:tcBorders/>
            <w:shd w:fill="CCEEFF" w:val="clear"/>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Marketing expenses(2)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(2,766,702</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(200,850</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665" w:type="dxa"/>
            <w:tcBorders/>
            <w:shd w:fill="CCEEFF" w:val="clear"/>
            <w:vAlign w:val="center"/>
          </w:tcPr>
          <w:p>
            <w:pPr>
              <w:pStyle w:val="TableContents"/>
              <w:bidi w:val="0"/>
              <w:spacing w:lineRule="atLeast" w:line="180" w:before="0" w:after="0"/>
              <w:jc w:val="right"/>
              <w:rPr/>
            </w:pPr>
            <w:r>
              <w:rPr/>
              <w:t>— </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5665" w:type="dxa"/>
            <w:tcBorders/>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Technology and content expenses(2)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(1,424,414</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pPr>
            <w:r>
              <w:rPr/>
              <w:t>— </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665" w:type="dxa"/>
            <w:tcBorders/>
            <w:vAlign w:val="center"/>
          </w:tcPr>
          <w:p>
            <w:pPr>
              <w:pStyle w:val="TableContents"/>
              <w:bidi w:val="0"/>
              <w:spacing w:lineRule="atLeast" w:line="180" w:before="0" w:after="0"/>
              <w:jc w:val="right"/>
              <w:rPr/>
            </w:pPr>
            <w:r>
              <w:rPr/>
              <w:t>— </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665" w:type="dxa"/>
            <w:tcBorders/>
            <w:shd w:fill="CCEEFF" w:val="clear"/>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General and administrative expenses(2)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(2,290,281</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(558,476</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665"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(333,414</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5665" w:type="dxa"/>
            <w:tcBorders/>
            <w:vAlign w:val="center"/>
          </w:tcPr>
          <w:p>
            <w:pPr>
              <w:pStyle w:val="TableContents"/>
              <w:bidi w:val="0"/>
              <w:spacing w:lineRule="atLeast" w:line="142" w:before="0" w:after="20"/>
              <w:jc w:val="left"/>
              <w:rPr>
                <w:rFonts w:ascii="Times New Roman" w:hAnsi="Times New Roman"/>
                <w:sz w:val="17"/>
              </w:rPr>
            </w:pPr>
            <w:r>
              <w:rPr>
                <w:rFonts w:ascii="Times New Roman" w:hAnsi="Times New Roman"/>
                <w:sz w:val="17"/>
              </w:rPr>
              <w:t>Share-based compensation expenses(3)</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(1,137,590</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(360,055</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665" w:type="dxa"/>
            <w:tcBorders/>
            <w:vAlign w:val="center"/>
          </w:tcPr>
          <w:p>
            <w:pPr>
              <w:pStyle w:val="TableContents"/>
              <w:bidi w:val="0"/>
              <w:spacing w:lineRule="atLeast" w:line="180" w:before="0" w:after="0"/>
              <w:jc w:val="right"/>
              <w:rPr/>
            </w:pPr>
            <w:r>
              <w:rPr/>
              <w:t>— </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665" w:type="dxa"/>
            <w:tcBorders/>
            <w:shd w:fill="CCEEFF" w:val="clear"/>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Other segment items(4)</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731,609</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160,771</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665"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(187,737</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5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665"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r>
        <w:trPr/>
        <w:tc>
          <w:tcPr>
            <w:tcW w:w="566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Segment income from operations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8,351,532</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725,236</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665"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96,485</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9,173,253</w:t>
            </w:r>
          </w:p>
        </w:tc>
        <w:tc>
          <w:tcPr>
            <w:tcW w:w="140" w:type="dxa"/>
            <w:tcBorders/>
            <w:vAlign w:val="center"/>
          </w:tcPr>
          <w:p>
            <w:pPr>
              <w:pStyle w:val="TableContents"/>
              <w:bidi w:val="0"/>
              <w:spacing w:lineRule="atLeast" w:line="180" w:before="0" w:after="0"/>
              <w:jc w:val="left"/>
              <w:rPr/>
            </w:pPr>
            <w:r>
              <w:rPr/>
              <w:t> </w:t>
            </w:r>
          </w:p>
        </w:tc>
      </w:tr>
      <w:tr>
        <w:trPr/>
        <w:tc>
          <w:tcPr>
            <w:tcW w:w="566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Reconciliation of profit or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5665" w:type="dxa"/>
            <w:tcBorders/>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Other income and expenses(5)</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814,227</w:t>
            </w:r>
          </w:p>
        </w:tc>
        <w:tc>
          <w:tcPr>
            <w:tcW w:w="140" w:type="dxa"/>
            <w:tcBorders/>
            <w:vAlign w:val="center"/>
          </w:tcPr>
          <w:p>
            <w:pPr>
              <w:pStyle w:val="TableContents"/>
              <w:bidi w:val="0"/>
              <w:spacing w:lineRule="atLeast" w:line="180" w:before="0" w:after="0"/>
              <w:jc w:val="left"/>
              <w:rPr/>
            </w:pPr>
            <w:r>
              <w:rPr/>
              <w:t> </w:t>
            </w:r>
          </w:p>
        </w:tc>
      </w:tr>
      <w:tr>
        <w:trPr/>
        <w:tc>
          <w:tcPr>
            <w:tcW w:w="5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r>
        <w:trPr/>
        <w:tc>
          <w:tcPr>
            <w:tcW w:w="566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Income before income taxes and share of income(loss) of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65"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9,987,480</w:t>
            </w:r>
          </w:p>
        </w:tc>
        <w:tc>
          <w:tcPr>
            <w:tcW w:w="140" w:type="dxa"/>
            <w:tcBorders/>
            <w:shd w:fill="CCEEFF" w:val="clear"/>
            <w:vAlign w:val="center"/>
          </w:tcPr>
          <w:p>
            <w:pPr>
              <w:pStyle w:val="TableContents"/>
              <w:bidi w:val="0"/>
              <w:spacing w:lineRule="atLeast" w:line="180" w:before="0" w:after="0"/>
              <w:jc w:val="left"/>
              <w:rPr/>
            </w:pPr>
            <w:r>
              <w:rPr/>
              <w:t> </w:t>
            </w:r>
          </w:p>
        </w:tc>
      </w:tr>
      <w:tr>
        <w:trPr/>
        <w:tc>
          <w:tcPr>
            <w:tcW w:w="56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20" w:type="dxa"/>
            <w:tcBorders/>
            <w:vAlign w:val="center"/>
          </w:tcPr>
          <w:p>
            <w:pPr>
              <w:pStyle w:val="TableContents"/>
              <w:pBdr>
                <w:top w:val="double" w:sz="6"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90"/>
        <w:gridCol w:w="120"/>
        <w:gridCol w:w="60"/>
        <w:gridCol w:w="920"/>
        <w:gridCol w:w="125"/>
        <w:gridCol w:w="120"/>
        <w:gridCol w:w="60"/>
        <w:gridCol w:w="800"/>
        <w:gridCol w:w="125"/>
        <w:gridCol w:w="120"/>
        <w:gridCol w:w="60"/>
        <w:gridCol w:w="740"/>
        <w:gridCol w:w="125"/>
        <w:gridCol w:w="120"/>
        <w:gridCol w:w="60"/>
        <w:gridCol w:w="920"/>
        <w:gridCol w:w="140"/>
      </w:tblGrid>
      <w:tr>
        <w:trPr/>
        <w:tc>
          <w:tcPr>
            <w:tcW w:w="5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lineRule="atLeast" w:line="200" w:before="0" w:after="0"/>
              <w:jc w:val="left"/>
              <w:rPr>
                <w:rFonts w:ascii="Times New Roman" w:hAnsi="Times New Roman"/>
                <w:b/>
                <w:sz w:val="14"/>
              </w:rPr>
            </w:pPr>
            <w:r>
              <w:rPr>
                <w:rFonts w:ascii="Times New Roman" w:hAnsi="Times New Roman"/>
                <w:b/>
                <w:sz w:val="14"/>
              </w:rPr>
              <w:t>Year Ended December 31, 2023</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Vip.com</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Shan Shan</w:t>
              <w:br/>
              <w:t>Outlets</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Others</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Total</w:t>
            </w:r>
          </w:p>
        </w:tc>
        <w:tc>
          <w:tcPr>
            <w:tcW w:w="140" w:type="dxa"/>
            <w:tcBorders/>
            <w:vAlign w:val="center"/>
          </w:tcPr>
          <w:p>
            <w:pPr>
              <w:pStyle w:val="TableContents"/>
              <w:bidi w:val="0"/>
              <w:spacing w:before="0" w:after="283"/>
              <w:jc w:val="left"/>
              <w:rPr/>
            </w:pPr>
            <w:r>
              <w:rPr/>
              <w:t> </w:t>
            </w:r>
          </w:p>
        </w:tc>
      </w:tr>
      <w:tr>
        <w:trPr/>
        <w:tc>
          <w:tcPr>
            <w:tcW w:w="5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RMB</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RMB</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RMB</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RMB</w:t>
            </w:r>
          </w:p>
        </w:tc>
        <w:tc>
          <w:tcPr>
            <w:tcW w:w="140" w:type="dxa"/>
            <w:tcBorders/>
            <w:vAlign w:val="center"/>
          </w:tcPr>
          <w:p>
            <w:pPr>
              <w:pStyle w:val="TableContents"/>
              <w:bidi w:val="0"/>
              <w:spacing w:before="0" w:after="283"/>
              <w:jc w:val="left"/>
              <w:rPr/>
            </w:pPr>
            <w:r>
              <w:rPr/>
              <w:t> </w:t>
            </w:r>
          </w:p>
        </w:tc>
      </w:tr>
      <w:tr>
        <w:trPr/>
        <w:tc>
          <w:tcPr>
            <w:tcW w:w="55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55" w:type="dxa"/>
            <w:gridSpan w:val="14"/>
            <w:tcBorders/>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(in thousands)</w:t>
            </w:r>
          </w:p>
        </w:tc>
        <w:tc>
          <w:tcPr>
            <w:tcW w:w="140" w:type="dxa"/>
            <w:tcBorders/>
            <w:vAlign w:val="center"/>
          </w:tcPr>
          <w:p>
            <w:pPr>
              <w:pStyle w:val="TableContents"/>
              <w:bidi w:val="0"/>
              <w:spacing w:before="0" w:after="283"/>
              <w:jc w:val="left"/>
              <w:rPr/>
            </w:pPr>
            <w:r>
              <w:rPr/>
              <w:t> </w:t>
            </w:r>
          </w:p>
        </w:tc>
      </w:tr>
      <w:tr>
        <w:trPr/>
        <w:tc>
          <w:tcPr>
            <w:tcW w:w="5590"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Revenues from external customers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109,177,540</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2,771,018</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74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907,462</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112,856,020</w:t>
            </w:r>
          </w:p>
        </w:tc>
        <w:tc>
          <w:tcPr>
            <w:tcW w:w="140" w:type="dxa"/>
            <w:tcBorders/>
            <w:shd w:fill="CCEEFF" w:val="clear"/>
            <w:vAlign w:val="center"/>
          </w:tcPr>
          <w:p>
            <w:pPr>
              <w:pStyle w:val="TableContents"/>
              <w:bidi w:val="0"/>
              <w:spacing w:lineRule="atLeast" w:line="180" w:before="0" w:after="0"/>
              <w:jc w:val="left"/>
              <w:rPr/>
            </w:pPr>
            <w:r>
              <w:rPr/>
              <w:t> </w:t>
            </w:r>
          </w:p>
        </w:tc>
      </w:tr>
      <w:tr>
        <w:trPr/>
        <w:tc>
          <w:tcPr>
            <w:tcW w:w="5590" w:type="dxa"/>
            <w:tcBorders/>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Inter-segment revenues(1)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378,941</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24,959</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74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326,591</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730,491</w:t>
            </w:r>
          </w:p>
        </w:tc>
        <w:tc>
          <w:tcPr>
            <w:tcW w:w="140" w:type="dxa"/>
            <w:tcBorders/>
            <w:vAlign w:val="center"/>
          </w:tcPr>
          <w:p>
            <w:pPr>
              <w:pStyle w:val="TableContents"/>
              <w:bidi w:val="0"/>
              <w:spacing w:lineRule="atLeast" w:line="180" w:before="0" w:after="0"/>
              <w:jc w:val="left"/>
              <w:rPr/>
            </w:pPr>
            <w:r>
              <w:rPr/>
              <w:t> </w:t>
            </w:r>
          </w:p>
        </w:tc>
      </w:tr>
      <w:tr>
        <w:trPr/>
        <w:tc>
          <w:tcPr>
            <w:tcW w:w="5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r>
        <w:trPr/>
        <w:tc>
          <w:tcPr>
            <w:tcW w:w="55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109,556,481</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2,795,977</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74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1,234,053</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113,586,511</w:t>
            </w:r>
          </w:p>
        </w:tc>
        <w:tc>
          <w:tcPr>
            <w:tcW w:w="140" w:type="dxa"/>
            <w:tcBorders/>
            <w:shd w:fill="CCEEFF" w:val="clear"/>
            <w:vAlign w:val="center"/>
          </w:tcPr>
          <w:p>
            <w:pPr>
              <w:pStyle w:val="TableContents"/>
              <w:bidi w:val="0"/>
              <w:spacing w:lineRule="atLeast" w:line="180" w:before="0" w:after="0"/>
              <w:jc w:val="left"/>
              <w:rPr/>
            </w:pPr>
            <w:r>
              <w:rPr/>
              <w:t> </w:t>
            </w:r>
          </w:p>
        </w:tc>
      </w:tr>
      <w:tr>
        <w:trPr/>
        <w:tc>
          <w:tcPr>
            <w:tcW w:w="5590"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Reconciliation of total net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590"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Elimination of inter-segment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(730,491</w:t>
            </w:r>
          </w:p>
        </w:tc>
        <w:tc>
          <w:tcPr>
            <w:tcW w:w="140"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r>
      <w:tr>
        <w:trPr/>
        <w:tc>
          <w:tcPr>
            <w:tcW w:w="5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r>
        <w:trPr/>
        <w:tc>
          <w:tcPr>
            <w:tcW w:w="5590"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Total net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112,856,020</w:t>
            </w:r>
          </w:p>
        </w:tc>
        <w:tc>
          <w:tcPr>
            <w:tcW w:w="140" w:type="dxa"/>
            <w:tcBorders/>
            <w:vAlign w:val="center"/>
          </w:tcPr>
          <w:p>
            <w:pPr>
              <w:pStyle w:val="TableContents"/>
              <w:bidi w:val="0"/>
              <w:spacing w:lineRule="atLeast" w:line="180" w:before="0" w:after="0"/>
              <w:jc w:val="left"/>
              <w:rPr/>
            </w:pPr>
            <w:r>
              <w:rPr/>
              <w:t> </w:t>
            </w:r>
          </w:p>
        </w:tc>
      </w:tr>
      <w:tr>
        <w:trPr/>
        <w:tc>
          <w:tcPr>
            <w:tcW w:w="5590"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Less: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Cost of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(85,569,090</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(1,488,518</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74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(405,095</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590" w:type="dxa"/>
            <w:tcBorders/>
            <w:shd w:fill="CCEEFF" w:val="clear"/>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Fulfillment expenses(2)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(8,151,510</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pPr>
            <w:r>
              <w:rPr/>
              <w:t>— </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740" w:type="dxa"/>
            <w:tcBorders/>
            <w:shd w:fill="CCEEFF" w:val="clear"/>
            <w:vAlign w:val="center"/>
          </w:tcPr>
          <w:p>
            <w:pPr>
              <w:pStyle w:val="TableContents"/>
              <w:bidi w:val="0"/>
              <w:spacing w:lineRule="atLeast" w:line="180" w:before="0" w:after="0"/>
              <w:jc w:val="right"/>
              <w:rPr/>
            </w:pPr>
            <w:r>
              <w:rPr/>
              <w:t>— </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Marketing expenses(2)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(3,170,057</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(170,246</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740" w:type="dxa"/>
            <w:tcBorders/>
            <w:vAlign w:val="center"/>
          </w:tcPr>
          <w:p>
            <w:pPr>
              <w:pStyle w:val="TableContents"/>
              <w:bidi w:val="0"/>
              <w:spacing w:lineRule="atLeast" w:line="180" w:before="0" w:after="0"/>
              <w:jc w:val="right"/>
              <w:rPr/>
            </w:pPr>
            <w:r>
              <w:rPr/>
              <w:t>— </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590" w:type="dxa"/>
            <w:tcBorders/>
            <w:shd w:fill="CCEEFF" w:val="clear"/>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Technology and content expenses(2)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(1,350,414</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pPr>
            <w:r>
              <w:rPr/>
              <w:t>— </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740" w:type="dxa"/>
            <w:tcBorders/>
            <w:shd w:fill="CCEEFF" w:val="clear"/>
            <w:vAlign w:val="center"/>
          </w:tcPr>
          <w:p>
            <w:pPr>
              <w:pStyle w:val="TableContents"/>
              <w:bidi w:val="0"/>
              <w:spacing w:lineRule="atLeast" w:line="180" w:before="0" w:after="0"/>
              <w:jc w:val="right"/>
              <w:rPr/>
            </w:pPr>
            <w:r>
              <w:rPr/>
              <w:t>— </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General and administrative expenses(2)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(2,312,911</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(457,780</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74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(530,555</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590" w:type="dxa"/>
            <w:tcBorders/>
            <w:shd w:fill="CCEEFF" w:val="clear"/>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Share-based compensation expenses(3)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(1,023,215</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(441,195</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740" w:type="dxa"/>
            <w:tcBorders/>
            <w:shd w:fill="CCEEFF" w:val="clear"/>
            <w:vAlign w:val="center"/>
          </w:tcPr>
          <w:p>
            <w:pPr>
              <w:pStyle w:val="TableContents"/>
              <w:bidi w:val="0"/>
              <w:spacing w:lineRule="atLeast" w:line="180" w:before="0" w:after="0"/>
              <w:jc w:val="right"/>
              <w:rPr/>
            </w:pPr>
            <w:r>
              <w:rPr/>
              <w:t>— </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Other segment items(4)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639,886</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122,882</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74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(174,558</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74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r>
        <w:trPr/>
        <w:tc>
          <w:tcPr>
            <w:tcW w:w="5590"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Segment income from operations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8,619,170</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361,120</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74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123,845</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9,104,135</w:t>
            </w:r>
          </w:p>
        </w:tc>
        <w:tc>
          <w:tcPr>
            <w:tcW w:w="140" w:type="dxa"/>
            <w:tcBorders/>
            <w:shd w:fill="CCEEFF" w:val="clear"/>
            <w:vAlign w:val="center"/>
          </w:tcPr>
          <w:p>
            <w:pPr>
              <w:pStyle w:val="TableContents"/>
              <w:bidi w:val="0"/>
              <w:spacing w:lineRule="atLeast" w:line="180" w:before="0" w:after="0"/>
              <w:jc w:val="left"/>
              <w:rPr/>
            </w:pPr>
            <w:r>
              <w:rPr/>
              <w:t> </w:t>
            </w:r>
          </w:p>
        </w:tc>
      </w:tr>
      <w:tr>
        <w:trPr/>
        <w:tc>
          <w:tcPr>
            <w:tcW w:w="5590"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Reconciliation of profit or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590" w:type="dxa"/>
            <w:tcBorders/>
            <w:shd w:fill="CCEEFF" w:val="clear"/>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Other income and expenses(5)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74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882,867</w:t>
            </w:r>
          </w:p>
        </w:tc>
        <w:tc>
          <w:tcPr>
            <w:tcW w:w="140" w:type="dxa"/>
            <w:tcBorders/>
            <w:shd w:fill="CCEEFF" w:val="clear"/>
            <w:vAlign w:val="center"/>
          </w:tcPr>
          <w:p>
            <w:pPr>
              <w:pStyle w:val="TableContents"/>
              <w:bidi w:val="0"/>
              <w:spacing w:lineRule="atLeast" w:line="180" w:before="0" w:after="0"/>
              <w:jc w:val="left"/>
              <w:rPr/>
            </w:pPr>
            <w:r>
              <w:rPr/>
              <w:t> </w:t>
            </w:r>
          </w:p>
        </w:tc>
      </w:tr>
      <w:tr>
        <w:trPr/>
        <w:tc>
          <w:tcPr>
            <w:tcW w:w="5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r>
        <w:trPr/>
        <w:tc>
          <w:tcPr>
            <w:tcW w:w="5590"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Income before income taxes and share of income(loss) of equity method investees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9,987,002</w:t>
            </w:r>
          </w:p>
        </w:tc>
        <w:tc>
          <w:tcPr>
            <w:tcW w:w="140" w:type="dxa"/>
            <w:tcBorders/>
            <w:vAlign w:val="center"/>
          </w:tcPr>
          <w:p>
            <w:pPr>
              <w:pStyle w:val="TableContents"/>
              <w:bidi w:val="0"/>
              <w:spacing w:lineRule="atLeast" w:line="180" w:before="0" w:after="0"/>
              <w:jc w:val="left"/>
              <w:rPr/>
            </w:pPr>
            <w:r>
              <w:rPr/>
              <w:t> </w:t>
            </w:r>
          </w:p>
        </w:tc>
      </w:tr>
      <w:tr>
        <w:trPr/>
        <w:tc>
          <w:tcPr>
            <w:tcW w:w="55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20" w:type="dxa"/>
            <w:tcBorders/>
            <w:vAlign w:val="center"/>
          </w:tcPr>
          <w:p>
            <w:pPr>
              <w:pStyle w:val="TableContents"/>
              <w:pBdr>
                <w:top w:val="double" w:sz="6"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30"/>
        <w:gridCol w:w="120"/>
        <w:gridCol w:w="60"/>
        <w:gridCol w:w="920"/>
        <w:gridCol w:w="125"/>
        <w:gridCol w:w="120"/>
        <w:gridCol w:w="60"/>
        <w:gridCol w:w="800"/>
        <w:gridCol w:w="125"/>
        <w:gridCol w:w="120"/>
        <w:gridCol w:w="60"/>
        <w:gridCol w:w="800"/>
        <w:gridCol w:w="125"/>
        <w:gridCol w:w="120"/>
        <w:gridCol w:w="60"/>
        <w:gridCol w:w="920"/>
        <w:gridCol w:w="140"/>
      </w:tblGrid>
      <w:tr>
        <w:trPr/>
        <w:tc>
          <w:tcPr>
            <w:tcW w:w="5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530" w:type="dxa"/>
            <w:tcBorders/>
            <w:vAlign w:val="center"/>
          </w:tcPr>
          <w:p>
            <w:pPr>
              <w:pStyle w:val="TableContents"/>
              <w:bidi w:val="0"/>
              <w:spacing w:lineRule="atLeast" w:line="200" w:before="0" w:after="0"/>
              <w:jc w:val="left"/>
              <w:rPr>
                <w:rFonts w:ascii="Times New Roman" w:hAnsi="Times New Roman"/>
                <w:b/>
                <w:sz w:val="14"/>
              </w:rPr>
            </w:pPr>
            <w:r>
              <w:rPr>
                <w:rFonts w:ascii="Times New Roman" w:hAnsi="Times New Roman"/>
                <w:b/>
                <w:sz w:val="14"/>
              </w:rPr>
              <w:t>Year Ended December 31, 2022</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Vip.com</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Shan Shan</w:t>
              <w:br/>
              <w:t>Outlets</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Others</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Total</w:t>
            </w:r>
          </w:p>
        </w:tc>
        <w:tc>
          <w:tcPr>
            <w:tcW w:w="140" w:type="dxa"/>
            <w:tcBorders/>
            <w:vAlign w:val="center"/>
          </w:tcPr>
          <w:p>
            <w:pPr>
              <w:pStyle w:val="TableContents"/>
              <w:bidi w:val="0"/>
              <w:spacing w:before="0" w:after="283"/>
              <w:jc w:val="left"/>
              <w:rPr/>
            </w:pPr>
            <w:r>
              <w:rPr/>
              <w:t> </w:t>
            </w:r>
          </w:p>
        </w:tc>
      </w:tr>
      <w:tr>
        <w:trPr/>
        <w:tc>
          <w:tcPr>
            <w:tcW w:w="5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RMB</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RMB</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RMB</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RMB</w:t>
            </w:r>
          </w:p>
        </w:tc>
        <w:tc>
          <w:tcPr>
            <w:tcW w:w="140" w:type="dxa"/>
            <w:tcBorders/>
            <w:vAlign w:val="center"/>
          </w:tcPr>
          <w:p>
            <w:pPr>
              <w:pStyle w:val="TableContents"/>
              <w:bidi w:val="0"/>
              <w:spacing w:before="0" w:after="283"/>
              <w:jc w:val="left"/>
              <w:rPr/>
            </w:pPr>
            <w:r>
              <w:rPr/>
              <w:t> </w:t>
            </w:r>
          </w:p>
        </w:tc>
      </w:tr>
      <w:tr>
        <w:trPr/>
        <w:tc>
          <w:tcPr>
            <w:tcW w:w="55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415" w:type="dxa"/>
            <w:gridSpan w:val="14"/>
            <w:tcBorders/>
            <w:vAlign w:val="center"/>
          </w:tcPr>
          <w:p>
            <w:pPr>
              <w:pStyle w:val="TableContents"/>
              <w:bidi w:val="0"/>
              <w:spacing w:lineRule="atLeast" w:line="200" w:before="0" w:after="0"/>
              <w:jc w:val="center"/>
              <w:rPr>
                <w:rFonts w:ascii="Times New Roman" w:hAnsi="Times New Roman"/>
                <w:b/>
                <w:sz w:val="14"/>
              </w:rPr>
            </w:pPr>
            <w:r>
              <w:rPr>
                <w:rFonts w:ascii="Times New Roman" w:hAnsi="Times New Roman"/>
                <w:b/>
                <w:sz w:val="14"/>
              </w:rPr>
              <w:t>(in thousands)</w:t>
            </w:r>
          </w:p>
        </w:tc>
        <w:tc>
          <w:tcPr>
            <w:tcW w:w="140" w:type="dxa"/>
            <w:tcBorders/>
            <w:vAlign w:val="center"/>
          </w:tcPr>
          <w:p>
            <w:pPr>
              <w:pStyle w:val="TableContents"/>
              <w:bidi w:val="0"/>
              <w:spacing w:before="0" w:after="283"/>
              <w:jc w:val="left"/>
              <w:rPr/>
            </w:pPr>
            <w:r>
              <w:rPr/>
              <w:t> </w:t>
            </w:r>
          </w:p>
        </w:tc>
      </w:tr>
      <w:tr>
        <w:trPr/>
        <w:tc>
          <w:tcPr>
            <w:tcW w:w="5530"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Revenues from external customers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99,625,511</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1,808,756</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1,718,222</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103,152,489</w:t>
            </w:r>
          </w:p>
        </w:tc>
        <w:tc>
          <w:tcPr>
            <w:tcW w:w="140" w:type="dxa"/>
            <w:tcBorders/>
            <w:shd w:fill="CCEEFF" w:val="clear"/>
            <w:vAlign w:val="center"/>
          </w:tcPr>
          <w:p>
            <w:pPr>
              <w:pStyle w:val="TableContents"/>
              <w:bidi w:val="0"/>
              <w:spacing w:lineRule="atLeast" w:line="180" w:before="0" w:after="0"/>
              <w:jc w:val="left"/>
              <w:rPr/>
            </w:pPr>
            <w:r>
              <w:rPr/>
              <w:t> </w:t>
            </w:r>
          </w:p>
        </w:tc>
      </w:tr>
      <w:tr>
        <w:trPr/>
        <w:tc>
          <w:tcPr>
            <w:tcW w:w="5530" w:type="dxa"/>
            <w:tcBorders/>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Inter-segment revenues(1)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1,181,133</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49,912</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387,490</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1,618,535</w:t>
            </w:r>
          </w:p>
        </w:tc>
        <w:tc>
          <w:tcPr>
            <w:tcW w:w="140" w:type="dxa"/>
            <w:tcBorders/>
            <w:vAlign w:val="center"/>
          </w:tcPr>
          <w:p>
            <w:pPr>
              <w:pStyle w:val="TableContents"/>
              <w:bidi w:val="0"/>
              <w:spacing w:lineRule="atLeast" w:line="180" w:before="0" w:after="0"/>
              <w:jc w:val="left"/>
              <w:rPr/>
            </w:pPr>
            <w:r>
              <w:rPr/>
              <w:t> </w:t>
            </w:r>
          </w:p>
        </w:tc>
      </w:tr>
      <w:tr>
        <w:trPr/>
        <w:tc>
          <w:tcPr>
            <w:tcW w:w="5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r>
        <w:trPr/>
        <w:tc>
          <w:tcPr>
            <w:tcW w:w="553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100,806,644</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1,858,668</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2,105,712</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104,771,024</w:t>
            </w:r>
          </w:p>
        </w:tc>
        <w:tc>
          <w:tcPr>
            <w:tcW w:w="140" w:type="dxa"/>
            <w:tcBorders/>
            <w:shd w:fill="CCEEFF" w:val="clear"/>
            <w:vAlign w:val="center"/>
          </w:tcPr>
          <w:p>
            <w:pPr>
              <w:pStyle w:val="TableContents"/>
              <w:bidi w:val="0"/>
              <w:spacing w:lineRule="atLeast" w:line="180" w:before="0" w:after="0"/>
              <w:jc w:val="left"/>
              <w:rPr/>
            </w:pPr>
            <w:r>
              <w:rPr/>
              <w:t> </w:t>
            </w:r>
          </w:p>
        </w:tc>
      </w:tr>
      <w:tr>
        <w:trPr/>
        <w:tc>
          <w:tcPr>
            <w:tcW w:w="5530"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Reconciliation of total net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530"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Elimination of inter-segment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(1,618,535</w:t>
            </w:r>
          </w:p>
        </w:tc>
        <w:tc>
          <w:tcPr>
            <w:tcW w:w="140"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r>
      <w:tr>
        <w:trPr/>
        <w:tc>
          <w:tcPr>
            <w:tcW w:w="5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r>
        <w:trPr/>
        <w:tc>
          <w:tcPr>
            <w:tcW w:w="5530"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Total net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103,152,489</w:t>
            </w:r>
          </w:p>
        </w:tc>
        <w:tc>
          <w:tcPr>
            <w:tcW w:w="140" w:type="dxa"/>
            <w:tcBorders/>
            <w:vAlign w:val="center"/>
          </w:tcPr>
          <w:p>
            <w:pPr>
              <w:pStyle w:val="TableContents"/>
              <w:bidi w:val="0"/>
              <w:spacing w:lineRule="atLeast" w:line="180" w:before="0" w:after="0"/>
              <w:jc w:val="left"/>
              <w:rPr/>
            </w:pPr>
            <w:r>
              <w:rPr/>
              <w:t> </w:t>
            </w:r>
          </w:p>
        </w:tc>
      </w:tr>
      <w:tr>
        <w:trPr/>
        <w:tc>
          <w:tcPr>
            <w:tcW w:w="5530"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Less: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5530"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Cost of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(80,134,184</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(1,146,017</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(1,187,668</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530" w:type="dxa"/>
            <w:tcBorders/>
            <w:shd w:fill="CCEEFF" w:val="clear"/>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Fulfillment expenses(2)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(7,107,652</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pPr>
            <w:r>
              <w:rPr/>
              <w:t>— </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pPr>
            <w:r>
              <w:rPr/>
              <w:t>— </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5530" w:type="dxa"/>
            <w:tcBorders/>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Marketing expenses(2)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(2,878,160</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(123,018</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pPr>
            <w:r>
              <w:rPr/>
              <w:t>— </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530" w:type="dxa"/>
            <w:tcBorders/>
            <w:shd w:fill="CCEEFF" w:val="clear"/>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Technology and content expenses(2)</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(1,279,898</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pPr>
            <w:r>
              <w:rPr/>
              <w:t>— </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pPr>
            <w:r>
              <w:rPr/>
              <w:t>— </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5530" w:type="dxa"/>
            <w:tcBorders/>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General and administrative expenses(2)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(2,665,041</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(331,984</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(1,017,094</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530" w:type="dxa"/>
            <w:tcBorders/>
            <w:shd w:fill="CCEEFF" w:val="clear"/>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Share-based compensation expenses(3)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(820,674</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(352,651</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pPr>
            <w:r>
              <w:rPr/>
              <w:t>— </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r>
      <w:tr>
        <w:trPr/>
        <w:tc>
          <w:tcPr>
            <w:tcW w:w="5530" w:type="dxa"/>
            <w:tcBorders/>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Other segment items(4)</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600,023</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96,226</w:t>
            </w:r>
          </w:p>
        </w:tc>
        <w:tc>
          <w:tcPr>
            <w:tcW w:w="125" w:type="dxa"/>
            <w:tcBorders/>
            <w:vAlign w:val="center"/>
          </w:tcPr>
          <w:p>
            <w:pPr>
              <w:pStyle w:val="TableContents"/>
              <w:bidi w:val="0"/>
              <w:spacing w:lineRule="atLeast" w:line="180" w:before="0" w:after="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80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(225,786</w:t>
            </w:r>
          </w:p>
        </w:tc>
        <w:tc>
          <w:tcPr>
            <w:tcW w:w="125"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800" w:type="dxa"/>
            <w:tcBorders/>
            <w:vAlign w:val="center"/>
          </w:tcPr>
          <w:p>
            <w:pPr>
              <w:pStyle w:val="TableContents"/>
              <w:pBdr>
                <w:top w:val="single" w:sz="2" w:space="1" w:color="000000"/>
              </w:pBdr>
              <w:bidi w:val="0"/>
              <w:spacing w:before="0" w:after="0"/>
              <w:jc w:val="left"/>
              <w:rPr/>
            </w:pPr>
            <w:r>
              <w:rPr/>
              <w:t> </w:t>
            </w:r>
          </w:p>
        </w:tc>
        <w:tc>
          <w:tcPr>
            <w:tcW w:w="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r>
        <w:trPr/>
        <w:tc>
          <w:tcPr>
            <w:tcW w:w="5530"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Segment income from operations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6,521,058</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1,224</w:t>
            </w:r>
          </w:p>
        </w:tc>
        <w:tc>
          <w:tcPr>
            <w:tcW w:w="125" w:type="dxa"/>
            <w:tcBorders/>
            <w:shd w:fill="CCEEFF" w:val="clear"/>
            <w:vAlign w:val="center"/>
          </w:tcPr>
          <w:p>
            <w:pPr>
              <w:pStyle w:val="TableContents"/>
              <w:bidi w:val="0"/>
              <w:spacing w:lineRule="atLeast" w:line="180" w:before="0" w:after="0"/>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80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(324,836</w:t>
            </w:r>
          </w:p>
        </w:tc>
        <w:tc>
          <w:tcPr>
            <w:tcW w:w="125" w:type="dxa"/>
            <w:tcBorders/>
            <w:shd w:fill="CCEEFF" w:val="clear"/>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6,197,446</w:t>
            </w:r>
          </w:p>
        </w:tc>
        <w:tc>
          <w:tcPr>
            <w:tcW w:w="140" w:type="dxa"/>
            <w:tcBorders/>
            <w:shd w:fill="CCEEFF" w:val="clear"/>
            <w:vAlign w:val="center"/>
          </w:tcPr>
          <w:p>
            <w:pPr>
              <w:pStyle w:val="TableContents"/>
              <w:bidi w:val="0"/>
              <w:spacing w:lineRule="atLeast" w:line="180" w:before="0" w:after="0"/>
              <w:jc w:val="left"/>
              <w:rPr/>
            </w:pPr>
            <w:r>
              <w:rPr/>
              <w:t> </w:t>
            </w:r>
          </w:p>
        </w:tc>
      </w:tr>
      <w:tr>
        <w:trPr/>
        <w:tc>
          <w:tcPr>
            <w:tcW w:w="5530"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Reconciliation of profit or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r>
      <w:tr>
        <w:trPr/>
        <w:tc>
          <w:tcPr>
            <w:tcW w:w="5530" w:type="dxa"/>
            <w:tcBorders/>
            <w:shd w:fill="CCEEFF" w:val="clear"/>
            <w:vAlign w:val="center"/>
          </w:tcPr>
          <w:p>
            <w:pPr>
              <w:pStyle w:val="TableContents"/>
              <w:bidi w:val="0"/>
              <w:spacing w:lineRule="atLeast" w:line="142" w:before="0" w:after="0"/>
              <w:jc w:val="left"/>
              <w:rPr>
                <w:rFonts w:ascii="Times New Roman" w:hAnsi="Times New Roman"/>
                <w:sz w:val="17"/>
              </w:rPr>
            </w:pPr>
            <w:r>
              <w:rPr>
                <w:rFonts w:ascii="Times New Roman" w:hAnsi="Times New Roman"/>
                <w:sz w:val="17"/>
              </w:rPr>
              <w:t>Other income and expenses(5)</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lineRule="atLeast" w:line="180" w:before="0" w:after="0"/>
              <w:jc w:val="left"/>
              <w:rPr/>
            </w:pPr>
            <w:r>
              <w:rPr/>
              <w:t> </w:t>
            </w:r>
          </w:p>
        </w:tc>
        <w:tc>
          <w:tcPr>
            <w:tcW w:w="920" w:type="dxa"/>
            <w:tcBorders/>
            <w:shd w:fill="CCEEFF" w:val="clear"/>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1,879,758</w:t>
            </w:r>
          </w:p>
        </w:tc>
        <w:tc>
          <w:tcPr>
            <w:tcW w:w="140" w:type="dxa"/>
            <w:tcBorders/>
            <w:shd w:fill="CCEEFF" w:val="clear"/>
            <w:vAlign w:val="center"/>
          </w:tcPr>
          <w:p>
            <w:pPr>
              <w:pStyle w:val="TableContents"/>
              <w:bidi w:val="0"/>
              <w:spacing w:lineRule="atLeast" w:line="180" w:before="0" w:after="0"/>
              <w:jc w:val="left"/>
              <w:rPr/>
            </w:pPr>
            <w:r>
              <w:rPr/>
              <w:t> </w:t>
            </w:r>
          </w:p>
        </w:tc>
      </w:tr>
      <w:tr>
        <w:trPr/>
        <w:tc>
          <w:tcPr>
            <w:tcW w:w="5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20" w:type="dxa"/>
            <w:tcBorders/>
            <w:vAlign w:val="center"/>
          </w:tcPr>
          <w:p>
            <w:pPr>
              <w:pStyle w:val="TableContents"/>
              <w:pBdr>
                <w:top w:val="single" w:sz="2"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r>
        <w:trPr/>
        <w:tc>
          <w:tcPr>
            <w:tcW w:w="5530" w:type="dxa"/>
            <w:tcBorders/>
            <w:vAlign w:val="center"/>
          </w:tcPr>
          <w:p>
            <w:pPr>
              <w:pStyle w:val="TableContents"/>
              <w:bidi w:val="0"/>
              <w:spacing w:lineRule="atLeast" w:line="180" w:before="0" w:after="0"/>
              <w:jc w:val="left"/>
              <w:rPr>
                <w:rFonts w:ascii="Times New Roman" w:hAnsi="Times New Roman"/>
                <w:sz w:val="17"/>
              </w:rPr>
            </w:pPr>
            <w:r>
              <w:rPr>
                <w:rFonts w:ascii="Times New Roman" w:hAnsi="Times New Roman"/>
                <w:sz w:val="17"/>
              </w:rPr>
              <w:t>Income before income taxes and share of income(loss) of equity method investees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180" w:before="0" w:after="0"/>
              <w:jc w:val="left"/>
              <w:rPr/>
            </w:pPr>
            <w:r>
              <w:rPr/>
              <w:t> </w:t>
            </w:r>
          </w:p>
        </w:tc>
        <w:tc>
          <w:tcPr>
            <w:tcW w:w="920" w:type="dxa"/>
            <w:tcBorders/>
            <w:vAlign w:val="center"/>
          </w:tcPr>
          <w:p>
            <w:pPr>
              <w:pStyle w:val="TableContents"/>
              <w:bidi w:val="0"/>
              <w:spacing w:lineRule="atLeast" w:line="180" w:before="0" w:after="0"/>
              <w:jc w:val="right"/>
              <w:rPr>
                <w:rFonts w:ascii="Times New Roman" w:hAnsi="Times New Roman"/>
                <w:sz w:val="17"/>
              </w:rPr>
            </w:pPr>
            <w:r>
              <w:rPr>
                <w:rFonts w:ascii="Times New Roman" w:hAnsi="Times New Roman"/>
                <w:sz w:val="17"/>
              </w:rPr>
              <w:t>8,077,204</w:t>
            </w:r>
          </w:p>
        </w:tc>
        <w:tc>
          <w:tcPr>
            <w:tcW w:w="140" w:type="dxa"/>
            <w:tcBorders/>
            <w:vAlign w:val="center"/>
          </w:tcPr>
          <w:p>
            <w:pPr>
              <w:pStyle w:val="TableContents"/>
              <w:bidi w:val="0"/>
              <w:spacing w:lineRule="atLeast" w:line="180" w:before="0" w:after="0"/>
              <w:jc w:val="left"/>
              <w:rPr/>
            </w:pPr>
            <w:r>
              <w:rPr/>
              <w:t> </w:t>
            </w:r>
          </w:p>
        </w:tc>
      </w:tr>
      <w:tr>
        <w:trPr/>
        <w:tc>
          <w:tcPr>
            <w:tcW w:w="55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20" w:type="dxa"/>
            <w:tcBorders/>
            <w:vAlign w:val="center"/>
          </w:tcPr>
          <w:p>
            <w:pPr>
              <w:pStyle w:val="TableContents"/>
              <w:pBdr>
                <w:top w:val="double" w:sz="6" w:space="1" w:color="000000"/>
              </w:pBdr>
              <w:bidi w:val="0"/>
              <w:spacing w:before="0" w:after="0"/>
              <w:jc w:val="left"/>
              <w:rPr/>
            </w:pPr>
            <w:r>
              <w:rPr/>
              <w:t> </w:t>
            </w:r>
          </w:p>
        </w:tc>
        <w:tc>
          <w:tcPr>
            <w:tcW w:w="14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lineRule="atLeast" w:line="200" w:before="0" w:after="0"/>
        <w:jc w:val="left"/>
        <w:rPr>
          <w:rFonts w:ascii="Times New Roman" w:hAnsi="Times New Roman"/>
          <w:sz w:val="16"/>
        </w:rPr>
      </w:pPr>
      <w:r>
        <w:rPr>
          <w:rFonts w:ascii="Times New Roman" w:hAnsi="Times New Roman"/>
          <w:sz w:val="16"/>
        </w:rPr>
        <w:t xml:space="preserve">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(1)</w:t>
            </w:r>
          </w:p>
        </w:tc>
        <w:tc>
          <w:tcPr>
            <w:tcW w:w="9986"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xml:space="preserve">Inter-segment revenues mainly consist of payment processing, inter platform technical services, warehousing rental services and supply chain management services, promotion services provided by Vip.com to internet finance business and by offline shops to Vip.com, and internal procurement between offline shops, Shan Shan Outlets and Vip.com. </w:t>
            </w:r>
          </w:p>
        </w:tc>
      </w:tr>
    </w:tbl>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260"/>
        <w:gridCol w:w="5030"/>
      </w:tblGrid>
      <w:tr>
        <w:trPr/>
        <w:tc>
          <w:tcPr>
            <w:tcW w:w="26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(2)</w:t>
            </w:r>
          </w:p>
        </w:tc>
        <w:tc>
          <w:tcPr>
            <w:tcW w:w="503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xml:space="preserve">These expenses exclude share-based compensation expenses.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(3)</w:t>
            </w:r>
          </w:p>
        </w:tc>
        <w:tc>
          <w:tcPr>
            <w:tcW w:w="9954"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xml:space="preserve">Please refer to detail information in Note 24 to the consolidated financial statements included elsewhere in this annual report on Form 20-F. </w:t>
            </w:r>
          </w:p>
        </w:tc>
      </w:tr>
    </w:tbl>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260"/>
        <w:gridCol w:w="5045"/>
      </w:tblGrid>
      <w:tr>
        <w:trPr/>
        <w:tc>
          <w:tcPr>
            <w:tcW w:w="260"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(4)</w:t>
            </w:r>
          </w:p>
        </w:tc>
        <w:tc>
          <w:tcPr>
            <w:tcW w:w="5045" w:type="dxa"/>
            <w:tcBorders/>
            <w:vAlign w:val="center"/>
          </w:tcPr>
          <w:p>
            <w:pPr>
              <w:pStyle w:val="TableContents"/>
              <w:bidi w:val="0"/>
              <w:spacing w:lineRule="atLeast" w:line="200" w:before="0" w:after="0"/>
              <w:jc w:val="left"/>
              <w:rPr>
                <w:rFonts w:ascii="Times New Roman" w:hAnsi="Times New Roman"/>
                <w:sz w:val="20"/>
              </w:rPr>
            </w:pPr>
            <w:r>
              <w:rPr>
                <w:rFonts w:ascii="Times New Roman" w:hAnsi="Times New Roman"/>
                <w:sz w:val="20"/>
              </w:rPr>
              <w:t xml:space="preserve">For each segment, the other segment items category includes: </w:t>
            </w:r>
          </w:p>
        </w:tc>
      </w:tr>
    </w:tbl>
    <w:p>
      <w:pPr>
        <w:pStyle w:val="TextBody"/>
        <w:bidi w:val="0"/>
        <w:spacing w:before="80" w:after="0"/>
        <w:jc w:val="left"/>
        <w:rPr>
          <w:rFonts w:ascii="Times New Roman" w:hAnsi="Times New Roman"/>
          <w:sz w:val="20"/>
        </w:rPr>
      </w:pPr>
      <w:r>
        <w:rPr>
          <w:rFonts w:ascii="Times New Roman" w:hAnsi="Times New Roman"/>
          <w:sz w:val="20"/>
        </w:rPr>
        <w:t xml:space="preserve">Vip.com — other operating income which consists of government grants, claims income and other miscellaneous income. </w:t>
      </w:r>
    </w:p>
    <w:p>
      <w:pPr>
        <w:pStyle w:val="TextBody"/>
        <w:bidi w:val="0"/>
        <w:spacing w:before="0" w:after="0"/>
        <w:jc w:val="left"/>
        <w:rPr>
          <w:rFonts w:ascii="Times New Roman" w:hAnsi="Times New Roman"/>
          <w:sz w:val="20"/>
        </w:rPr>
      </w:pPr>
      <w:r>
        <w:rPr>
          <w:rFonts w:ascii="Times New Roman" w:hAnsi="Times New Roman"/>
          <w:sz w:val="20"/>
        </w:rPr>
        <w:t xml:space="preserve">Shanshan — technology and content expenses, other operating income which consists of government grants, claims income and other miscellaneous income. </w:t>
      </w:r>
    </w:p>
    <w:p>
      <w:pPr>
        <w:pStyle w:val="TextBody"/>
        <w:bidi w:val="0"/>
        <w:spacing w:before="0" w:after="0"/>
        <w:jc w:val="left"/>
        <w:rPr>
          <w:rFonts w:ascii="Times New Roman" w:hAnsi="Times New Roman"/>
          <w:sz w:val="20"/>
        </w:rPr>
      </w:pPr>
      <w:r>
        <w:rPr>
          <w:rFonts w:ascii="Times New Roman" w:hAnsi="Times New Roman"/>
          <w:sz w:val="20"/>
        </w:rPr>
        <w:t xml:space="preserve">Others — fulfillment expenses, marketing expenses, technology and content expenses, share-based compensation expenses, other operating income which consists of government grants, claims income and other miscellaneous income.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(5)</w:t>
            </w:r>
          </w:p>
        </w:tc>
        <w:tc>
          <w:tcPr>
            <w:tcW w:w="992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income and expenses include interest income, exchange gain/(loss), investment gain/(loss) and revaluation of investments, interest expenses and impairment loss of investments. </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following table sets forth depreciation of property and equipment, net (included in the measurement of segment profit or loss) for the years ended December 31, 2022, 2023 and 2024. </w:t>
      </w:r>
    </w:p>
    <w:p>
      <w:pPr>
        <w:pStyle w:val="TextBody"/>
        <w:bidi w:val="0"/>
        <w:spacing w:before="0" w:after="0"/>
        <w:jc w:val="left"/>
        <w:rPr/>
      </w:pPr>
      <w:r>
        <w:rPr/>
        <w:t> </w:t>
      </w:r>
    </w:p>
    <w:tbl>
      <w:tblPr>
        <w:tblW w:w="7969" w:type="dxa"/>
        <w:jc w:val="left"/>
        <w:tblInd w:w="0" w:type="dxa"/>
        <w:tblLayout w:type="fixed"/>
        <w:tblCellMar>
          <w:top w:w="0" w:type="dxa"/>
          <w:left w:w="0" w:type="dxa"/>
          <w:bottom w:w="0" w:type="dxa"/>
          <w:right w:w="0" w:type="dxa"/>
        </w:tblCellMar>
      </w:tblPr>
      <w:tblGrid>
        <w:gridCol w:w="4250"/>
        <w:gridCol w:w="120"/>
        <w:gridCol w:w="60"/>
        <w:gridCol w:w="994"/>
        <w:gridCol w:w="60"/>
        <w:gridCol w:w="121"/>
        <w:gridCol w:w="60"/>
        <w:gridCol w:w="994"/>
        <w:gridCol w:w="60"/>
        <w:gridCol w:w="121"/>
        <w:gridCol w:w="60"/>
        <w:gridCol w:w="994"/>
        <w:gridCol w:w="75"/>
      </w:tblGrid>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2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4"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24" w:type="dxa"/>
            <w:gridSpan w:val="10"/>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depreciation of property and equipment,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Vip.com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846,864</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851,630</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924,097</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298,624</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417,226</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476,943</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85,817</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30,528</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17,452</w:t>
            </w:r>
          </w:p>
        </w:tc>
        <w:tc>
          <w:tcPr>
            <w:tcW w:w="75" w:type="dxa"/>
            <w:tcBorders/>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9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94"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2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1,231,305</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1,299,384</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1,418,492</w:t>
            </w:r>
          </w:p>
        </w:tc>
        <w:tc>
          <w:tcPr>
            <w:tcW w:w="75" w:type="dxa"/>
            <w:tcBorders/>
            <w:shd w:fill="CCEEFF" w:val="clear"/>
            <w:vAlign w:val="center"/>
          </w:tcPr>
          <w:p>
            <w:pPr>
              <w:pStyle w:val="TableContents"/>
              <w:bidi w:val="0"/>
              <w:spacing w:before="0" w:after="283"/>
              <w:jc w:val="left"/>
              <w:rPr/>
            </w:pPr>
            <w:r>
              <w:rPr/>
              <w:t> </w:t>
            </w:r>
          </w:p>
        </w:tc>
      </w:tr>
      <w:tr>
        <w:trPr/>
        <w:tc>
          <w:tcPr>
            <w:tcW w:w="42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9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9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94"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following table sets forth interest income and interest expenses for the years ended December 31, 2022, 2023 and 2024. </w:t>
      </w:r>
    </w:p>
    <w:p>
      <w:pPr>
        <w:pStyle w:val="TextBody"/>
        <w:bidi w:val="0"/>
        <w:spacing w:before="0" w:after="0"/>
        <w:jc w:val="left"/>
        <w:rPr/>
      </w:pPr>
      <w:r>
        <w:rPr/>
        <w:t> </w:t>
      </w:r>
    </w:p>
    <w:tbl>
      <w:tblPr>
        <w:tblW w:w="7085" w:type="dxa"/>
        <w:jc w:val="left"/>
        <w:tblInd w:w="0" w:type="dxa"/>
        <w:tblLayout w:type="fixed"/>
        <w:tblCellMar>
          <w:top w:w="0" w:type="dxa"/>
          <w:left w:w="0" w:type="dxa"/>
          <w:bottom w:w="0" w:type="dxa"/>
          <w:right w:w="0" w:type="dxa"/>
        </w:tblCellMar>
      </w:tblPr>
      <w:tblGrid>
        <w:gridCol w:w="2495"/>
        <w:gridCol w:w="120"/>
        <w:gridCol w:w="60"/>
        <w:gridCol w:w="1190"/>
        <w:gridCol w:w="155"/>
        <w:gridCol w:w="120"/>
        <w:gridCol w:w="60"/>
        <w:gridCol w:w="1190"/>
        <w:gridCol w:w="155"/>
        <w:gridCol w:w="120"/>
        <w:gridCol w:w="60"/>
        <w:gridCol w:w="1190"/>
        <w:gridCol w:w="170"/>
      </w:tblGrid>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7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300" w:type="dxa"/>
            <w:gridSpan w:val="10"/>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Segment Interest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Vip.com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622,686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654,485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610,161</w:t>
            </w:r>
          </w:p>
        </w:tc>
        <w:tc>
          <w:tcPr>
            <w:tcW w:w="17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53,659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42,807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41,932</w:t>
            </w:r>
          </w:p>
        </w:tc>
        <w:tc>
          <w:tcPr>
            <w:tcW w:w="17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87,925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84,532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158,734</w:t>
            </w:r>
          </w:p>
        </w:tc>
        <w:tc>
          <w:tcPr>
            <w:tcW w:w="17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Inter-segment interest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(252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(1,532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(1,035</w:t>
            </w:r>
          </w:p>
        </w:tc>
        <w:tc>
          <w:tcPr>
            <w:tcW w:w="17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9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764,018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780,292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809,792</w:t>
            </w:r>
          </w:p>
        </w:tc>
        <w:tc>
          <w:tcPr>
            <w:tcW w:w="17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9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Segment Interest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Vip.com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(23,573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(22,821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(57,627</w:t>
            </w:r>
          </w:p>
        </w:tc>
        <w:tc>
          <w:tcPr>
            <w:tcW w:w="17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(685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(53</w:t>
            </w:r>
          </w:p>
        </w:tc>
        <w:tc>
          <w:tcPr>
            <w:tcW w:w="17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(252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(1,532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(1,031</w:t>
            </w:r>
          </w:p>
        </w:tc>
        <w:tc>
          <w:tcPr>
            <w:tcW w:w="17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Inter-segment interest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252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1,532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1,035</w:t>
            </w:r>
          </w:p>
        </w:tc>
        <w:tc>
          <w:tcPr>
            <w:tcW w:w="170" w:type="dxa"/>
            <w:tcBorders/>
            <w:shd w:fill="CCEEFF" w:val="clear"/>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90"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90"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(24,258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(22,932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(57,676</w:t>
            </w:r>
          </w:p>
        </w:tc>
        <w:tc>
          <w:tcPr>
            <w:tcW w:w="17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90"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90"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following table sets forth share of (loss) income of investments accounted under the equity method for the years ended December 31, 2022, 2023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780"/>
        <w:gridCol w:w="120"/>
        <w:gridCol w:w="60"/>
        <w:gridCol w:w="1169"/>
        <w:gridCol w:w="155"/>
        <w:gridCol w:w="120"/>
        <w:gridCol w:w="60"/>
        <w:gridCol w:w="1164"/>
        <w:gridCol w:w="155"/>
        <w:gridCol w:w="120"/>
        <w:gridCol w:w="60"/>
        <w:gridCol w:w="1164"/>
        <w:gridCol w:w="78"/>
      </w:tblGrid>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27"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8"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8"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8"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27" w:type="dxa"/>
            <w:gridSpan w:val="10"/>
            <w:tcBorders/>
            <w:vAlign w:val="center"/>
          </w:tcPr>
          <w:p>
            <w:pPr>
              <w:pStyle w:val="TableContents"/>
              <w:bidi w:val="0"/>
              <w:spacing w:before="0" w:after="283"/>
              <w:jc w:val="center"/>
              <w:rPr>
                <w:b/>
              </w:rPr>
            </w:pPr>
            <w:r>
              <w:rPr>
                <w:b/>
              </w:rPr>
              <w:t>(in thousands)</w:t>
            </w:r>
          </w:p>
        </w:tc>
        <w:tc>
          <w:tcPr>
            <w:tcW w:w="78"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Share of (loss) income of investments accounted under the equity method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Vip.com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(117,176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52,212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1,647</w:t>
            </w:r>
          </w:p>
        </w:tc>
        <w:tc>
          <w:tcPr>
            <w:tcW w:w="78"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110,617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112,868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121,071</w:t>
            </w:r>
          </w:p>
        </w:tc>
        <w:tc>
          <w:tcPr>
            <w:tcW w:w="78" w:type="dxa"/>
            <w:tcBorders/>
            <w:shd w:fill="CCEEFF"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9"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(84,779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44,262</w:t>
            </w:r>
          </w:p>
        </w:tc>
        <w:tc>
          <w:tcPr>
            <w:tcW w:w="78" w:type="dxa"/>
            <w:tcBorders/>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69"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64"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64" w:type="dxa"/>
            <w:tcBorders/>
            <w:vAlign w:val="center"/>
          </w:tcPr>
          <w:p>
            <w:pPr>
              <w:pStyle w:val="TableContents"/>
              <w:pBdr>
                <w:top w:val="single" w:sz="2"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(6,559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80,301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4" w:type="dxa"/>
            <w:tcBorders/>
            <w:shd w:fill="CCEEFF" w:val="clear"/>
            <w:vAlign w:val="center"/>
          </w:tcPr>
          <w:p>
            <w:pPr>
              <w:pStyle w:val="TableContents"/>
              <w:bidi w:val="0"/>
              <w:spacing w:before="0" w:after="283"/>
              <w:jc w:val="right"/>
              <w:rPr/>
            </w:pPr>
            <w:r>
              <w:rPr/>
              <w:t>166,980</w:t>
            </w:r>
          </w:p>
        </w:tc>
        <w:tc>
          <w:tcPr>
            <w:tcW w:w="78" w:type="dxa"/>
            <w:tcBorders/>
            <w:shd w:fill="CCEEFF" w:val="clear"/>
            <w:vAlign w:val="center"/>
          </w:tcPr>
          <w:p>
            <w:pPr>
              <w:pStyle w:val="TableContents"/>
              <w:bidi w:val="0"/>
              <w:spacing w:before="0" w:after="283"/>
              <w:jc w:val="left"/>
              <w:rPr/>
            </w:pPr>
            <w:r>
              <w:rPr/>
              <w:t> </w:t>
            </w:r>
          </w:p>
        </w:tc>
      </w:tr>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69"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64"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64" w:type="dxa"/>
            <w:tcBorders/>
            <w:vAlign w:val="center"/>
          </w:tcPr>
          <w:p>
            <w:pPr>
              <w:pStyle w:val="TableContents"/>
              <w:pBdr>
                <w:top w:val="double" w:sz="6" w:space="1" w:color="000000"/>
              </w:pBdr>
              <w:bidi w:val="0"/>
              <w:spacing w:before="0" w:after="0"/>
              <w:jc w:val="left"/>
              <w:rPr/>
            </w:pPr>
            <w:r>
              <w:rPr/>
              <w:t> </w:t>
            </w:r>
          </w:p>
        </w:tc>
        <w:tc>
          <w:tcPr>
            <w:tcW w:w="7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assets information in the reportable segments reviewed by our management. </w:t>
      </w:r>
    </w:p>
    <w:p>
      <w:pPr>
        <w:pStyle w:val="TextBody"/>
        <w:bidi w:val="0"/>
        <w:spacing w:before="0" w:after="0"/>
        <w:jc w:val="left"/>
        <w:rPr/>
      </w:pPr>
      <w:r>
        <w:rPr/>
        <w:t> </w:t>
      </w:r>
    </w:p>
    <w:tbl>
      <w:tblPr>
        <w:tblW w:w="5182" w:type="dxa"/>
        <w:jc w:val="left"/>
        <w:tblInd w:w="0" w:type="dxa"/>
        <w:tblLayout w:type="fixed"/>
        <w:tblCellMar>
          <w:top w:w="0" w:type="dxa"/>
          <w:left w:w="0" w:type="dxa"/>
          <w:bottom w:w="0" w:type="dxa"/>
          <w:right w:w="0" w:type="dxa"/>
        </w:tblCellMar>
      </w:tblPr>
      <w:tblGrid>
        <w:gridCol w:w="1520"/>
        <w:gridCol w:w="120"/>
        <w:gridCol w:w="82"/>
        <w:gridCol w:w="1526"/>
        <w:gridCol w:w="82"/>
        <w:gridCol w:w="165"/>
        <w:gridCol w:w="82"/>
        <w:gridCol w:w="1530"/>
        <w:gridCol w:w="75"/>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6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82"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6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82"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16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67"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Segment Assets</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1526"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16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sz w:val="4"/>
                <w:szCs w:val="4"/>
              </w:rPr>
            </w:pPr>
            <w:r>
              <w:rPr>
                <w:sz w:val="4"/>
                <w:szCs w:val="4"/>
              </w:rPr>
            </w:r>
          </w:p>
        </w:tc>
        <w:tc>
          <w:tcPr>
            <w:tcW w:w="153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Vip.com</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26" w:type="dxa"/>
            <w:tcBorders/>
            <w:vAlign w:val="center"/>
          </w:tcPr>
          <w:p>
            <w:pPr>
              <w:pStyle w:val="TableContents"/>
              <w:bidi w:val="0"/>
              <w:spacing w:before="0" w:after="283"/>
              <w:jc w:val="right"/>
              <w:rPr/>
            </w:pPr>
            <w:r>
              <w:rPr/>
              <w:t>47,982,859</w:t>
            </w:r>
          </w:p>
        </w:tc>
        <w:tc>
          <w:tcPr>
            <w:tcW w:w="82"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51,103,217</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17,062,689</w:t>
            </w:r>
          </w:p>
        </w:tc>
        <w:tc>
          <w:tcPr>
            <w:tcW w:w="82"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19,971,408</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26" w:type="dxa"/>
            <w:tcBorders/>
            <w:vAlign w:val="center"/>
          </w:tcPr>
          <w:p>
            <w:pPr>
              <w:pStyle w:val="TableContents"/>
              <w:bidi w:val="0"/>
              <w:spacing w:before="0" w:after="283"/>
              <w:jc w:val="right"/>
              <w:rPr/>
            </w:pPr>
            <w:r>
              <w:rPr/>
              <w:t>7,277,046</w:t>
            </w:r>
          </w:p>
        </w:tc>
        <w:tc>
          <w:tcPr>
            <w:tcW w:w="82"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30" w:type="dxa"/>
            <w:tcBorders/>
            <w:vAlign w:val="center"/>
          </w:tcPr>
          <w:p>
            <w:pPr>
              <w:pStyle w:val="TableContents"/>
              <w:bidi w:val="0"/>
              <w:spacing w:before="0" w:after="283"/>
              <w:jc w:val="right"/>
              <w:rPr/>
            </w:pPr>
            <w:r>
              <w:rPr/>
              <w:t>3,861,501</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pBdr>
                <w:top w:val="single" w:sz="2" w:space="1" w:color="000000"/>
              </w:pBdr>
              <w:bidi w:val="0"/>
              <w:spacing w:before="0" w:after="0"/>
              <w:jc w:val="left"/>
              <w:rPr/>
            </w:pPr>
            <w:r>
              <w:rPr/>
              <w:t> </w:t>
            </w:r>
          </w:p>
        </w:tc>
        <w:tc>
          <w:tcPr>
            <w:tcW w:w="1526" w:type="dxa"/>
            <w:tcBorders/>
            <w:vAlign w:val="center"/>
          </w:tcPr>
          <w:p>
            <w:pPr>
              <w:pStyle w:val="TableContents"/>
              <w:pBdr>
                <w:top w:val="single" w:sz="2"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2" w:type="dxa"/>
            <w:tcBorders/>
            <w:vAlign w:val="center"/>
          </w:tcPr>
          <w:p>
            <w:pPr>
              <w:pStyle w:val="TableContents"/>
              <w:pBdr>
                <w:top w:val="single" w:sz="2" w:space="1" w:color="000000"/>
              </w:pBdr>
              <w:bidi w:val="0"/>
              <w:spacing w:before="0" w:after="0"/>
              <w:jc w:val="left"/>
              <w:rPr/>
            </w:pPr>
            <w:r>
              <w:rPr/>
              <w:t> </w:t>
            </w:r>
          </w:p>
        </w:tc>
        <w:tc>
          <w:tcPr>
            <w:tcW w:w="153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26" w:type="dxa"/>
            <w:tcBorders/>
            <w:shd w:fill="CCEEFF" w:val="clear"/>
            <w:vAlign w:val="center"/>
          </w:tcPr>
          <w:p>
            <w:pPr>
              <w:pStyle w:val="TableContents"/>
              <w:bidi w:val="0"/>
              <w:spacing w:before="0" w:after="283"/>
              <w:jc w:val="right"/>
              <w:rPr/>
            </w:pPr>
            <w:r>
              <w:rPr/>
              <w:t>72,322,594</w:t>
            </w:r>
          </w:p>
        </w:tc>
        <w:tc>
          <w:tcPr>
            <w:tcW w:w="82"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530" w:type="dxa"/>
            <w:tcBorders/>
            <w:shd w:fill="CCEEFF" w:val="clear"/>
            <w:vAlign w:val="center"/>
          </w:tcPr>
          <w:p>
            <w:pPr>
              <w:pStyle w:val="TableContents"/>
              <w:bidi w:val="0"/>
              <w:spacing w:before="0" w:after="283"/>
              <w:jc w:val="right"/>
              <w:rPr/>
            </w:pPr>
            <w:r>
              <w:rPr/>
              <w:t>74,936,126</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pBdr>
                <w:top w:val="double" w:sz="6" w:space="1" w:color="000000"/>
              </w:pBdr>
              <w:bidi w:val="0"/>
              <w:spacing w:before="0" w:after="0"/>
              <w:jc w:val="left"/>
              <w:rPr/>
            </w:pPr>
            <w:r>
              <w:rPr/>
              <w:t> </w:t>
            </w:r>
          </w:p>
        </w:tc>
        <w:tc>
          <w:tcPr>
            <w:tcW w:w="1526" w:type="dxa"/>
            <w:tcBorders/>
            <w:vAlign w:val="center"/>
          </w:tcPr>
          <w:p>
            <w:pPr>
              <w:pStyle w:val="TableContents"/>
              <w:pBdr>
                <w:top w:val="double" w:sz="6" w:space="1" w:color="000000"/>
              </w:pBdr>
              <w:bidi w:val="0"/>
              <w:spacing w:before="0" w:after="0"/>
              <w:jc w:val="left"/>
              <w:rPr/>
            </w:pPr>
            <w:r>
              <w:rPr/>
              <w:t> </w:t>
            </w:r>
          </w:p>
        </w:tc>
        <w:tc>
          <w:tcPr>
            <w:tcW w:w="82"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2" w:type="dxa"/>
            <w:tcBorders/>
            <w:vAlign w:val="center"/>
          </w:tcPr>
          <w:p>
            <w:pPr>
              <w:pStyle w:val="TableContents"/>
              <w:pBdr>
                <w:top w:val="double" w:sz="6" w:space="1" w:color="000000"/>
              </w:pBdr>
              <w:bidi w:val="0"/>
              <w:spacing w:before="0" w:after="0"/>
              <w:jc w:val="left"/>
              <w:rPr/>
            </w:pPr>
            <w:r>
              <w:rPr/>
              <w:t> </w:t>
            </w:r>
          </w:p>
        </w:tc>
        <w:tc>
          <w:tcPr>
            <w:tcW w:w="153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investments in equity method investees information in the reportable segments reviewed by our management. </w:t>
      </w:r>
    </w:p>
    <w:p>
      <w:pPr>
        <w:pStyle w:val="TextBody"/>
        <w:bidi w:val="0"/>
        <w:spacing w:before="0" w:after="0"/>
        <w:jc w:val="left"/>
        <w:rPr/>
      </w:pPr>
      <w:r>
        <w:rPr/>
        <w:t> </w:t>
      </w:r>
    </w:p>
    <w:tbl>
      <w:tblPr>
        <w:tblW w:w="6953" w:type="dxa"/>
        <w:jc w:val="left"/>
        <w:tblInd w:w="0" w:type="dxa"/>
        <w:tblLayout w:type="fixed"/>
        <w:tblCellMar>
          <w:top w:w="0" w:type="dxa"/>
          <w:left w:w="0" w:type="dxa"/>
          <w:bottom w:w="0" w:type="dxa"/>
          <w:right w:w="0" w:type="dxa"/>
        </w:tblCellMar>
      </w:tblPr>
      <w:tblGrid>
        <w:gridCol w:w="3290"/>
        <w:gridCol w:w="120"/>
        <w:gridCol w:w="91"/>
        <w:gridCol w:w="1504"/>
        <w:gridCol w:w="91"/>
        <w:gridCol w:w="184"/>
        <w:gridCol w:w="91"/>
        <w:gridCol w:w="1507"/>
        <w:gridCol w:w="75"/>
      </w:tblGrid>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1"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1"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68"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Investments in equity method investees</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504" w:type="dxa"/>
            <w:tcBorders/>
            <w:shd w:fill="CCEEFF" w:val="clear"/>
            <w:vAlign w:val="center"/>
          </w:tcPr>
          <w:p>
            <w:pPr>
              <w:pStyle w:val="TableContents"/>
              <w:bidi w:val="0"/>
              <w:spacing w:before="0" w:after="283"/>
              <w:jc w:val="left"/>
              <w:rPr>
                <w:sz w:val="4"/>
                <w:szCs w:val="4"/>
              </w:rPr>
            </w:pPr>
            <w:r>
              <w:rPr>
                <w:sz w:val="4"/>
                <w:szCs w:val="4"/>
              </w:rPr>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50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Vip.com</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04" w:type="dxa"/>
            <w:tcBorders/>
            <w:vAlign w:val="center"/>
          </w:tcPr>
          <w:p>
            <w:pPr>
              <w:pStyle w:val="TableContents"/>
              <w:bidi w:val="0"/>
              <w:spacing w:before="0" w:after="283"/>
              <w:jc w:val="right"/>
              <w:rPr/>
            </w:pPr>
            <w:r>
              <w:rPr/>
              <w:t>1,153,245</w:t>
            </w:r>
          </w:p>
        </w:tc>
        <w:tc>
          <w:tcPr>
            <w:tcW w:w="91"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1,106,779</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4" w:type="dxa"/>
            <w:tcBorders/>
            <w:shd w:fill="CCEEFF" w:val="clear"/>
            <w:vAlign w:val="center"/>
          </w:tcPr>
          <w:p>
            <w:pPr>
              <w:pStyle w:val="TableContents"/>
              <w:bidi w:val="0"/>
              <w:spacing w:before="0" w:after="283"/>
              <w:jc w:val="right"/>
              <w:rPr/>
            </w:pPr>
            <w:r>
              <w:rPr/>
              <w:t>763,025</w:t>
            </w:r>
          </w:p>
        </w:tc>
        <w:tc>
          <w:tcPr>
            <w:tcW w:w="9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760,596</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04" w:type="dxa"/>
            <w:tcBorders/>
            <w:vAlign w:val="center"/>
          </w:tcPr>
          <w:p>
            <w:pPr>
              <w:pStyle w:val="TableContents"/>
              <w:bidi w:val="0"/>
              <w:spacing w:before="0" w:after="283"/>
              <w:jc w:val="right"/>
              <w:rPr/>
            </w:pPr>
            <w:r>
              <w:rPr/>
              <w:t>239,291</w:t>
            </w:r>
          </w:p>
        </w:tc>
        <w:tc>
          <w:tcPr>
            <w:tcW w:w="91"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134,668</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pBdr>
                <w:top w:val="single" w:sz="2" w:space="1" w:color="000000"/>
              </w:pBdr>
              <w:bidi w:val="0"/>
              <w:spacing w:before="0" w:after="0"/>
              <w:jc w:val="left"/>
              <w:rPr/>
            </w:pPr>
            <w:r>
              <w:rPr/>
              <w:t> </w:t>
            </w:r>
          </w:p>
        </w:tc>
        <w:tc>
          <w:tcPr>
            <w:tcW w:w="1504" w:type="dxa"/>
            <w:tcBorders/>
            <w:vAlign w:val="center"/>
          </w:tcPr>
          <w:p>
            <w:pPr>
              <w:pStyle w:val="TableContents"/>
              <w:pBdr>
                <w:top w:val="single" w:sz="2"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1" w:type="dxa"/>
            <w:tcBorders/>
            <w:vAlign w:val="center"/>
          </w:tcPr>
          <w:p>
            <w:pPr>
              <w:pStyle w:val="TableContents"/>
              <w:pBdr>
                <w:top w:val="single" w:sz="2" w:space="1" w:color="000000"/>
              </w:pBdr>
              <w:bidi w:val="0"/>
              <w:spacing w:before="0" w:after="0"/>
              <w:jc w:val="left"/>
              <w:rPr/>
            </w:pPr>
            <w:r>
              <w:rPr/>
              <w:t> </w:t>
            </w:r>
          </w:p>
        </w:tc>
        <w:tc>
          <w:tcPr>
            <w:tcW w:w="150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4" w:type="dxa"/>
            <w:tcBorders/>
            <w:shd w:fill="CCEEFF" w:val="clear"/>
            <w:vAlign w:val="center"/>
          </w:tcPr>
          <w:p>
            <w:pPr>
              <w:pStyle w:val="TableContents"/>
              <w:bidi w:val="0"/>
              <w:spacing w:before="0" w:after="283"/>
              <w:jc w:val="right"/>
              <w:rPr/>
            </w:pPr>
            <w:r>
              <w:rPr/>
              <w:t>2,155,561</w:t>
            </w:r>
          </w:p>
        </w:tc>
        <w:tc>
          <w:tcPr>
            <w:tcW w:w="9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2,002,043</w:t>
            </w:r>
          </w:p>
        </w:tc>
        <w:tc>
          <w:tcPr>
            <w:tcW w:w="75"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pBdr>
                <w:top w:val="double" w:sz="6" w:space="1" w:color="000000"/>
              </w:pBdr>
              <w:bidi w:val="0"/>
              <w:spacing w:before="0" w:after="0"/>
              <w:jc w:val="left"/>
              <w:rPr/>
            </w:pPr>
            <w:r>
              <w:rPr/>
              <w:t> </w:t>
            </w:r>
          </w:p>
        </w:tc>
        <w:tc>
          <w:tcPr>
            <w:tcW w:w="1504" w:type="dxa"/>
            <w:tcBorders/>
            <w:vAlign w:val="center"/>
          </w:tcPr>
          <w:p>
            <w:pPr>
              <w:pStyle w:val="TableContents"/>
              <w:pBdr>
                <w:top w:val="double" w:sz="6"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1" w:type="dxa"/>
            <w:tcBorders/>
            <w:vAlign w:val="center"/>
          </w:tcPr>
          <w:p>
            <w:pPr>
              <w:pStyle w:val="TableContents"/>
              <w:pBdr>
                <w:top w:val="double" w:sz="6" w:space="1" w:color="000000"/>
              </w:pBdr>
              <w:bidi w:val="0"/>
              <w:spacing w:before="0" w:after="0"/>
              <w:jc w:val="left"/>
              <w:rPr/>
            </w:pPr>
            <w:r>
              <w:rPr/>
              <w:t> </w:t>
            </w:r>
          </w:p>
        </w:tc>
        <w:tc>
          <w:tcPr>
            <w:tcW w:w="150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total expenditure for additions of long-lived assets information in the reportable segments reviewed by our management. </w:t>
      </w:r>
    </w:p>
    <w:p>
      <w:pPr>
        <w:pStyle w:val="TextBody"/>
        <w:bidi w:val="0"/>
        <w:spacing w:before="0" w:after="0"/>
        <w:jc w:val="left"/>
        <w:rPr/>
      </w:pPr>
      <w:r>
        <w:rPr/>
        <w:t> </w:t>
      </w:r>
    </w:p>
    <w:tbl>
      <w:tblPr>
        <w:tblW w:w="7973" w:type="dxa"/>
        <w:jc w:val="left"/>
        <w:tblInd w:w="0" w:type="dxa"/>
        <w:tblLayout w:type="fixed"/>
        <w:tblCellMar>
          <w:top w:w="0" w:type="dxa"/>
          <w:left w:w="0" w:type="dxa"/>
          <w:bottom w:w="0" w:type="dxa"/>
          <w:right w:w="0" w:type="dxa"/>
        </w:tblCellMar>
      </w:tblPr>
      <w:tblGrid>
        <w:gridCol w:w="4310"/>
        <w:gridCol w:w="120"/>
        <w:gridCol w:w="91"/>
        <w:gridCol w:w="1504"/>
        <w:gridCol w:w="91"/>
        <w:gridCol w:w="184"/>
        <w:gridCol w:w="91"/>
        <w:gridCol w:w="1507"/>
        <w:gridCol w:w="75"/>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1"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1"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59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68"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expenditure for additions of long-lived assets</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504" w:type="dxa"/>
            <w:tcBorders/>
            <w:shd w:fill="CCEEFF" w:val="clear"/>
            <w:vAlign w:val="center"/>
          </w:tcPr>
          <w:p>
            <w:pPr>
              <w:pStyle w:val="TableContents"/>
              <w:bidi w:val="0"/>
              <w:spacing w:before="0" w:after="283"/>
              <w:jc w:val="left"/>
              <w:rPr>
                <w:sz w:val="4"/>
                <w:szCs w:val="4"/>
              </w:rPr>
            </w:pPr>
            <w:r>
              <w:rPr>
                <w:sz w:val="4"/>
                <w:szCs w:val="4"/>
              </w:rPr>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8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1507"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Vip.com</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04" w:type="dxa"/>
            <w:tcBorders/>
            <w:vAlign w:val="center"/>
          </w:tcPr>
          <w:p>
            <w:pPr>
              <w:pStyle w:val="TableContents"/>
              <w:bidi w:val="0"/>
              <w:spacing w:before="0" w:after="283"/>
              <w:jc w:val="right"/>
              <w:rPr/>
            </w:pPr>
            <w:r>
              <w:rPr/>
              <w:t>2,330,278</w:t>
            </w:r>
          </w:p>
        </w:tc>
        <w:tc>
          <w:tcPr>
            <w:tcW w:w="91"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870,593</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4" w:type="dxa"/>
            <w:tcBorders/>
            <w:shd w:fill="CCEEFF" w:val="clear"/>
            <w:vAlign w:val="center"/>
          </w:tcPr>
          <w:p>
            <w:pPr>
              <w:pStyle w:val="TableContents"/>
              <w:bidi w:val="0"/>
              <w:spacing w:before="0" w:after="283"/>
              <w:jc w:val="right"/>
              <w:rPr/>
            </w:pPr>
            <w:r>
              <w:rPr/>
              <w:t>2,895,954</w:t>
            </w:r>
          </w:p>
        </w:tc>
        <w:tc>
          <w:tcPr>
            <w:tcW w:w="9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2,687,663</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04" w:type="dxa"/>
            <w:tcBorders/>
            <w:vAlign w:val="center"/>
          </w:tcPr>
          <w:p>
            <w:pPr>
              <w:pStyle w:val="TableContents"/>
              <w:bidi w:val="0"/>
              <w:spacing w:before="0" w:after="283"/>
              <w:jc w:val="right"/>
              <w:rPr/>
            </w:pPr>
            <w:r>
              <w:rPr/>
              <w:t>4,505</w:t>
            </w:r>
          </w:p>
        </w:tc>
        <w:tc>
          <w:tcPr>
            <w:tcW w:w="91"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507" w:type="dxa"/>
            <w:tcBorders/>
            <w:vAlign w:val="center"/>
          </w:tcPr>
          <w:p>
            <w:pPr>
              <w:pStyle w:val="TableContents"/>
              <w:bidi w:val="0"/>
              <w:spacing w:before="0" w:after="283"/>
              <w:jc w:val="right"/>
              <w:rPr/>
            </w:pPr>
            <w:r>
              <w:rPr/>
              <w:t>4,330</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pBdr>
                <w:top w:val="single" w:sz="2" w:space="1" w:color="000000"/>
              </w:pBdr>
              <w:bidi w:val="0"/>
              <w:spacing w:before="0" w:after="0"/>
              <w:jc w:val="left"/>
              <w:rPr/>
            </w:pPr>
            <w:r>
              <w:rPr/>
              <w:t> </w:t>
            </w:r>
          </w:p>
        </w:tc>
        <w:tc>
          <w:tcPr>
            <w:tcW w:w="1504" w:type="dxa"/>
            <w:tcBorders/>
            <w:vAlign w:val="center"/>
          </w:tcPr>
          <w:p>
            <w:pPr>
              <w:pStyle w:val="TableContents"/>
              <w:pBdr>
                <w:top w:val="single" w:sz="2"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1" w:type="dxa"/>
            <w:tcBorders/>
            <w:vAlign w:val="center"/>
          </w:tcPr>
          <w:p>
            <w:pPr>
              <w:pStyle w:val="TableContents"/>
              <w:pBdr>
                <w:top w:val="single" w:sz="2" w:space="1" w:color="000000"/>
              </w:pBdr>
              <w:bidi w:val="0"/>
              <w:spacing w:before="0" w:after="0"/>
              <w:jc w:val="left"/>
              <w:rPr/>
            </w:pPr>
            <w:r>
              <w:rPr/>
              <w:t> </w:t>
            </w:r>
          </w:p>
        </w:tc>
        <w:tc>
          <w:tcPr>
            <w:tcW w:w="1507"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3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4" w:type="dxa"/>
            <w:tcBorders/>
            <w:shd w:fill="CCEEFF" w:val="clear"/>
            <w:vAlign w:val="center"/>
          </w:tcPr>
          <w:p>
            <w:pPr>
              <w:pStyle w:val="TableContents"/>
              <w:bidi w:val="0"/>
              <w:spacing w:before="0" w:after="283"/>
              <w:jc w:val="right"/>
              <w:rPr/>
            </w:pPr>
            <w:r>
              <w:rPr/>
              <w:t>5,230,737</w:t>
            </w:r>
          </w:p>
        </w:tc>
        <w:tc>
          <w:tcPr>
            <w:tcW w:w="91"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07" w:type="dxa"/>
            <w:tcBorders/>
            <w:shd w:fill="CCEEFF" w:val="clear"/>
            <w:vAlign w:val="center"/>
          </w:tcPr>
          <w:p>
            <w:pPr>
              <w:pStyle w:val="TableContents"/>
              <w:bidi w:val="0"/>
              <w:spacing w:before="0" w:after="283"/>
              <w:jc w:val="right"/>
              <w:rPr/>
            </w:pPr>
            <w:r>
              <w:rPr/>
              <w:t>3,562,586</w:t>
            </w:r>
          </w:p>
        </w:tc>
        <w:tc>
          <w:tcPr>
            <w:tcW w:w="75" w:type="dxa"/>
            <w:tcBorders/>
            <w:shd w:fill="CCEEFF"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pBdr>
                <w:top w:val="double" w:sz="6" w:space="1" w:color="000000"/>
              </w:pBdr>
              <w:bidi w:val="0"/>
              <w:spacing w:before="0" w:after="0"/>
              <w:jc w:val="left"/>
              <w:rPr/>
            </w:pPr>
            <w:r>
              <w:rPr/>
              <w:t> </w:t>
            </w:r>
          </w:p>
        </w:tc>
        <w:tc>
          <w:tcPr>
            <w:tcW w:w="1504" w:type="dxa"/>
            <w:tcBorders/>
            <w:vAlign w:val="center"/>
          </w:tcPr>
          <w:p>
            <w:pPr>
              <w:pStyle w:val="TableContents"/>
              <w:pBdr>
                <w:top w:val="double" w:sz="6" w:space="1" w:color="000000"/>
              </w:pBdr>
              <w:bidi w:val="0"/>
              <w:spacing w:before="0" w:after="0"/>
              <w:jc w:val="left"/>
              <w:rPr/>
            </w:pPr>
            <w:r>
              <w:rPr/>
              <w:t> </w:t>
            </w:r>
          </w:p>
        </w:tc>
        <w:tc>
          <w:tcPr>
            <w:tcW w:w="91"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91" w:type="dxa"/>
            <w:tcBorders/>
            <w:vAlign w:val="center"/>
          </w:tcPr>
          <w:p>
            <w:pPr>
              <w:pStyle w:val="TableContents"/>
              <w:pBdr>
                <w:top w:val="double" w:sz="6" w:space="1" w:color="000000"/>
              </w:pBdr>
              <w:bidi w:val="0"/>
              <w:spacing w:before="0" w:after="0"/>
              <w:jc w:val="left"/>
              <w:rPr/>
            </w:pPr>
            <w:r>
              <w:rPr/>
              <w:t> </w:t>
            </w:r>
          </w:p>
        </w:tc>
        <w:tc>
          <w:tcPr>
            <w:tcW w:w="1507"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00" w:after="0"/>
        <w:jc w:val="left"/>
        <w:rPr>
          <w:rFonts w:ascii="Times New Roman" w:hAnsi="Times New Roman"/>
          <w:sz w:val="20"/>
        </w:rPr>
      </w:pPr>
      <w:r>
        <w:rPr>
          <w:rFonts w:ascii="Times New Roman" w:hAnsi="Times New Roman"/>
          <w:sz w:val="20"/>
        </w:rPr>
        <w:t xml:space="preserve">Our Vip.com segment contributes to a significant majority of our results of operations, which are compared and analyzed on a year-on-year basis as follows. </w:t>
      </w:r>
    </w:p>
    <w:p>
      <w:pPr>
        <w:pStyle w:val="TextBody"/>
        <w:bidi w:val="0"/>
        <w:spacing w:before="320" w:after="0"/>
        <w:jc w:val="left"/>
        <w:rPr>
          <w:rFonts w:ascii="Times New Roman" w:hAnsi="Times New Roman"/>
          <w:i/>
          <w:sz w:val="20"/>
        </w:rPr>
      </w:pPr>
      <w:r>
        <w:rPr>
          <w:rFonts w:ascii="Times New Roman" w:hAnsi="Times New Roman"/>
          <w:i/>
          <w:sz w:val="20"/>
        </w:rPr>
        <w:t xml:space="preserve">Comparison of 2024 and 2023 </w:t>
      </w:r>
    </w:p>
    <w:p>
      <w:pPr>
        <w:pStyle w:val="TextBody"/>
        <w:bidi w:val="0"/>
        <w:spacing w:before="120" w:after="0"/>
        <w:jc w:val="left"/>
        <w:rPr>
          <w:rFonts w:ascii="Times New Roman" w:hAnsi="Times New Roman"/>
          <w:sz w:val="20"/>
        </w:rPr>
      </w:pPr>
      <w:r>
        <w:rPr>
          <w:rFonts w:ascii="Times New Roman" w:hAnsi="Times New Roman"/>
          <w:sz w:val="20"/>
          <w:u w:val="single"/>
        </w:rPr>
        <w:t>Net Revenues</w:t>
      </w:r>
      <w:r>
        <w:rPr>
          <w:rFonts w:ascii="Times New Roman" w:hAnsi="Times New Roman"/>
          <w:sz w:val="20"/>
        </w:rPr>
        <w:t xml:space="preserve">. Our total net revenues decreased from RMB112.86 billion in 2023 to RMB108.42 billion (US$14.85 billion) in 2024, primarily due to a decrease in product revenues from RMB105.61 billion in 2023 to RMB100.73 billion (US$13.80 billion) in 2024 attributable to intense market competition and an increase in sales return rate. The number of our active customers decreased from 87.4 million in 2023 to 84.7 million in 2024, and the number of our total orders decreased from 812.3 million in 2023 to 757.5 million in 2024. </w:t>
      </w:r>
    </w:p>
    <w:p>
      <w:pPr>
        <w:pStyle w:val="TextBody"/>
        <w:bidi w:val="0"/>
        <w:spacing w:before="160" w:after="0"/>
        <w:jc w:val="left"/>
        <w:rPr>
          <w:rFonts w:ascii="Times New Roman" w:hAnsi="Times New Roman"/>
          <w:sz w:val="20"/>
        </w:rPr>
      </w:pPr>
      <w:r>
        <w:rPr>
          <w:rFonts w:ascii="Times New Roman" w:hAnsi="Times New Roman"/>
          <w:sz w:val="20"/>
          <w:u w:val="single"/>
        </w:rPr>
        <w:t>Cost of Revenues</w:t>
      </w:r>
      <w:r>
        <w:rPr>
          <w:rFonts w:ascii="Times New Roman" w:hAnsi="Times New Roman"/>
          <w:sz w:val="20"/>
        </w:rPr>
        <w:t xml:space="preserve">. Our cost of revenues decreased from RMB87.14 billion in 2023 to RMB82.95 billion (US$11.36 billion) in 2024, primarily due to the decrease in cost of products sold in line with the decrease in our products sales volume. </w:t>
      </w:r>
    </w:p>
    <w:p>
      <w:pPr>
        <w:pStyle w:val="TextBody"/>
        <w:bidi w:val="0"/>
        <w:spacing w:before="160" w:after="0"/>
        <w:jc w:val="left"/>
        <w:rPr>
          <w:rFonts w:ascii="Times New Roman" w:hAnsi="Times New Roman"/>
          <w:sz w:val="20"/>
        </w:rPr>
      </w:pPr>
      <w:r>
        <w:rPr>
          <w:rFonts w:ascii="Times New Roman" w:hAnsi="Times New Roman"/>
          <w:sz w:val="20"/>
          <w:u w:val="single"/>
        </w:rPr>
        <w:t>Gross Profit and Gross Margin</w:t>
      </w:r>
      <w:r>
        <w:rPr>
          <w:rFonts w:ascii="Times New Roman" w:hAnsi="Times New Roman"/>
          <w:sz w:val="20"/>
        </w:rPr>
        <w:t xml:space="preserve">. As a result of the foregoing, our gross profit decreased from RMB25.72 billion in 2023 to RMB25.47 billion (US$3.49 billion) in 2024. Our gross margin increased from 22.8% in 2023 to 23.5% in 2024, primarily due to continued optimization of product categories. </w:t>
      </w:r>
    </w:p>
    <w:p>
      <w:pPr>
        <w:pStyle w:val="TextBody"/>
        <w:bidi w:val="0"/>
        <w:spacing w:before="160" w:after="0"/>
        <w:jc w:val="left"/>
        <w:rPr>
          <w:rFonts w:ascii="Times New Roman" w:hAnsi="Times New Roman"/>
          <w:sz w:val="20"/>
        </w:rPr>
      </w:pPr>
      <w:r>
        <w:rPr>
          <w:rFonts w:ascii="Times New Roman" w:hAnsi="Times New Roman"/>
          <w:sz w:val="20"/>
          <w:u w:val="single"/>
        </w:rPr>
        <w:t>Operating Expenses</w:t>
      </w:r>
      <w:r>
        <w:rPr>
          <w:rFonts w:ascii="Times New Roman" w:hAnsi="Times New Roman"/>
          <w:sz w:val="20"/>
        </w:rPr>
        <w:t xml:space="preserve">. Our operating expenses decreased from RMB17.42 billion in 2023 to RMB17.21 billion (US$2.36 billion) in 2024, primarily due to the decreases in marketing expenses, and general and administrative expenses, partially offset by the increase in fulfillment expenses and technology and content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u w:val="single"/>
        </w:rPr>
        <w:t>Fulfillment expenses</w:t>
      </w:r>
      <w:r>
        <w:rPr>
          <w:rFonts w:ascii="Times New Roman" w:hAnsi="Times New Roman"/>
          <w:sz w:val="20"/>
        </w:rPr>
        <w:t xml:space="preserve">. Our fulfillment expenses increased from RMB8.26 billion in 2023 to RMB8.35 billion (US$1.14 billion) in 2024 and our fulfillment expenses as a percentage of our total net revenues increased from 7.3% in 2023 to 7.7% in 2024, primarily due to the increase in sales return and the increase of warehouse staffs cost. </w:t>
      </w:r>
    </w:p>
    <w:p>
      <w:pPr>
        <w:pStyle w:val="TextBody"/>
        <w:bidi w:val="0"/>
        <w:spacing w:before="240" w:after="0"/>
        <w:jc w:val="left"/>
        <w:rPr>
          <w:rFonts w:ascii="Times New Roman" w:hAnsi="Times New Roman"/>
          <w:sz w:val="20"/>
        </w:rPr>
      </w:pPr>
      <w:r>
        <w:rPr>
          <w:rFonts w:ascii="Times New Roman" w:hAnsi="Times New Roman"/>
          <w:i/>
          <w:sz w:val="20"/>
          <w:u w:val="single"/>
        </w:rPr>
        <w:t>Marketing expenses</w:t>
      </w:r>
      <w:r>
        <w:rPr>
          <w:rFonts w:ascii="Times New Roman" w:hAnsi="Times New Roman"/>
          <w:sz w:val="20"/>
        </w:rPr>
        <w:t xml:space="preserve">. Our marketing expenses decreased from RMB3.24 billion in 2023 to RMB2.98 billion (US$408.2 million) in 2024, primarily due to our disciplined marketing strategy which resulted in decreased promotion and advertising activities. </w:t>
      </w:r>
    </w:p>
    <w:p>
      <w:pPr>
        <w:pStyle w:val="TextBody"/>
        <w:bidi w:val="0"/>
        <w:spacing w:before="240" w:after="0"/>
        <w:jc w:val="left"/>
        <w:rPr>
          <w:rFonts w:ascii="Times New Roman" w:hAnsi="Times New Roman"/>
          <w:sz w:val="20"/>
        </w:rPr>
      </w:pPr>
      <w:r>
        <w:rPr>
          <w:rFonts w:ascii="Times New Roman" w:hAnsi="Times New Roman"/>
          <w:i/>
          <w:sz w:val="20"/>
          <w:u w:val="single"/>
        </w:rPr>
        <w:t>Technology and content expenses</w:t>
      </w:r>
      <w:r>
        <w:rPr>
          <w:rFonts w:ascii="Times New Roman" w:hAnsi="Times New Roman"/>
          <w:sz w:val="20"/>
        </w:rPr>
        <w:t xml:space="preserve">. Our technology and content expenses increased from RMB1.77 billion in 2023 to RMB1.89 billion (US$259.3 million) in 2024, primarily due to our continuing efforts to invest in advanced technologies such as large model and AIGC. As a percentage of our total net revenues, our technology and content expenses slightly increased from 1.6% in 2023 to 1.7% in 2024. </w:t>
      </w:r>
    </w:p>
    <w:p>
      <w:pPr>
        <w:pStyle w:val="TextBody"/>
        <w:bidi w:val="0"/>
        <w:spacing w:before="240" w:after="0"/>
        <w:jc w:val="left"/>
        <w:rPr>
          <w:rFonts w:ascii="Times New Roman" w:hAnsi="Times New Roman"/>
          <w:sz w:val="20"/>
        </w:rPr>
      </w:pPr>
      <w:r>
        <w:rPr>
          <w:rFonts w:ascii="Times New Roman" w:hAnsi="Times New Roman"/>
          <w:i/>
          <w:sz w:val="20"/>
          <w:u w:val="single"/>
        </w:rPr>
        <w:t>General and administrative expenses</w:t>
      </w:r>
      <w:r>
        <w:rPr>
          <w:rFonts w:ascii="Times New Roman" w:hAnsi="Times New Roman"/>
          <w:sz w:val="20"/>
        </w:rPr>
        <w:t xml:space="preserve">. Our general and administrative expenses were RMB3.99 billion (US$547.0 million) in 2024, as compared to RMB4.15 billion in 2023. Our general and administrative expenses decreased primarily due to the decrease in impairment loss of long-lived assets. As a percentage of our total net revenues, our general and administrative expenses was 3.7%, remaining flat compared to the same period last year. </w:t>
      </w:r>
    </w:p>
    <w:p>
      <w:pPr>
        <w:pStyle w:val="TextBody"/>
        <w:bidi w:val="0"/>
        <w:spacing w:before="240" w:after="0"/>
        <w:jc w:val="left"/>
        <w:rPr>
          <w:rFonts w:ascii="Times New Roman" w:hAnsi="Times New Roman"/>
          <w:sz w:val="20"/>
        </w:rPr>
      </w:pPr>
      <w:r>
        <w:rPr>
          <w:rFonts w:ascii="Times New Roman" w:hAnsi="Times New Roman"/>
          <w:sz w:val="20"/>
          <w:u w:val="single"/>
        </w:rPr>
        <w:t>Other Operating Income</w:t>
      </w:r>
      <w:r>
        <w:rPr>
          <w:rFonts w:ascii="Times New Roman" w:hAnsi="Times New Roman"/>
          <w:sz w:val="20"/>
        </w:rPr>
        <w:t xml:space="preserve">. Our other operating income amounted to RMB915.2 million (US$125.4 million) in 2024, as compared to RMB801.6 million in 2023. Our other operating income in 2024 primarily included income derived from government grants and tax rebates. </w:t>
      </w:r>
    </w:p>
    <w:p>
      <w:pPr>
        <w:pStyle w:val="TextBody"/>
        <w:bidi w:val="0"/>
        <w:spacing w:before="240" w:after="0"/>
        <w:jc w:val="left"/>
        <w:rPr>
          <w:rFonts w:ascii="Times New Roman" w:hAnsi="Times New Roman"/>
          <w:sz w:val="20"/>
        </w:rPr>
      </w:pPr>
      <w:r>
        <w:rPr>
          <w:rFonts w:ascii="Times New Roman" w:hAnsi="Times New Roman"/>
          <w:sz w:val="20"/>
          <w:u w:val="single"/>
        </w:rPr>
        <w:t>Interest Expenses</w:t>
      </w:r>
      <w:r>
        <w:rPr>
          <w:rFonts w:ascii="Times New Roman" w:hAnsi="Times New Roman"/>
          <w:sz w:val="20"/>
        </w:rPr>
        <w:t xml:space="preserve">. We incurred RMB57.7 million (US$7.9 million) interest expenses in 2024, as compared to RMB22.9 million in 2023, primarily due to the increase in short-term loans. </w:t>
      </w:r>
    </w:p>
    <w:p>
      <w:pPr>
        <w:pStyle w:val="TextBody"/>
        <w:bidi w:val="0"/>
        <w:spacing w:before="240" w:after="0"/>
        <w:jc w:val="left"/>
        <w:rPr>
          <w:rFonts w:ascii="Times New Roman" w:hAnsi="Times New Roman"/>
          <w:sz w:val="20"/>
        </w:rPr>
      </w:pPr>
      <w:r>
        <w:rPr>
          <w:rFonts w:ascii="Times New Roman" w:hAnsi="Times New Roman"/>
          <w:sz w:val="20"/>
          <w:u w:val="single"/>
        </w:rPr>
        <w:t>Interest Income</w:t>
      </w:r>
      <w:r>
        <w:rPr>
          <w:rFonts w:ascii="Times New Roman" w:hAnsi="Times New Roman"/>
          <w:sz w:val="20"/>
        </w:rPr>
        <w:t xml:space="preserve">. Our interest income increased from RMB780.3 million in 2023 to RMB809.8 million (US$110.9 million) in 2024, primarily due to the increase in interest-bearing investments, such as the deposits and short-term investments with commercial banks. </w:t>
      </w:r>
    </w:p>
    <w:p>
      <w:pPr>
        <w:pStyle w:val="TextBody"/>
        <w:bidi w:val="0"/>
        <w:spacing w:before="240" w:after="0"/>
        <w:jc w:val="left"/>
        <w:rPr>
          <w:rFonts w:ascii="Times New Roman" w:hAnsi="Times New Roman"/>
          <w:sz w:val="20"/>
        </w:rPr>
      </w:pPr>
      <w:r>
        <w:rPr>
          <w:rFonts w:ascii="Times New Roman" w:hAnsi="Times New Roman"/>
          <w:sz w:val="20"/>
          <w:u w:val="single"/>
        </w:rPr>
        <w:t>Share of Income of Equity Method Investees</w:t>
      </w:r>
      <w:r>
        <w:rPr>
          <w:rFonts w:ascii="Times New Roman" w:hAnsi="Times New Roman"/>
          <w:sz w:val="20"/>
        </w:rPr>
        <w:t xml:space="preserve">. We recorded share of income of equity method investees of RMB167.0 million (US$22.9 million) in 2024, as compared to share of income of equity method investees of RMB80.3 million in 2023, which was primarily due to the increase in share of income from Guofu Life Insurance Co., Ltd. </w:t>
      </w:r>
    </w:p>
    <w:p>
      <w:pPr>
        <w:pStyle w:val="TextBody"/>
        <w:bidi w:val="0"/>
        <w:spacing w:before="240" w:after="0"/>
        <w:jc w:val="left"/>
        <w:rPr>
          <w:rFonts w:ascii="Times New Roman" w:hAnsi="Times New Roman"/>
          <w:sz w:val="20"/>
        </w:rPr>
      </w:pPr>
      <w:r>
        <w:rPr>
          <w:rFonts w:ascii="Times New Roman" w:hAnsi="Times New Roman"/>
          <w:sz w:val="20"/>
          <w:u w:val="single"/>
        </w:rPr>
        <w:t>Net Income</w:t>
      </w:r>
      <w:r>
        <w:rPr>
          <w:rFonts w:ascii="Times New Roman" w:hAnsi="Times New Roman"/>
          <w:sz w:val="20"/>
        </w:rPr>
        <w:t xml:space="preserve">. As a result of the foregoing, we recorded a net income of RMB7.84 billion (US$1.07 billion) in 2024, as compared to a net income of RMB8.20 billion in 2023. </w:t>
      </w:r>
    </w:p>
    <w:p>
      <w:pPr>
        <w:pStyle w:val="TextBody"/>
        <w:bidi w:val="0"/>
        <w:spacing w:before="240" w:after="0"/>
        <w:jc w:val="left"/>
        <w:rPr>
          <w:rFonts w:ascii="Times New Roman" w:hAnsi="Times New Roman"/>
          <w:sz w:val="20"/>
        </w:rPr>
      </w:pPr>
      <w:r>
        <w:rPr>
          <w:rFonts w:ascii="Times New Roman" w:hAnsi="Times New Roman"/>
          <w:sz w:val="20"/>
          <w:u w:val="single"/>
        </w:rPr>
        <w:t>Net Income Attributable to Non-controlling Interests.</w:t>
      </w:r>
      <w:r>
        <w:rPr>
          <w:rFonts w:ascii="Times New Roman" w:hAnsi="Times New Roman"/>
          <w:sz w:val="20"/>
        </w:rPr>
        <w:t xml:space="preserve"> We recorded net income attributable to non-controlling interests of RMB99.0 million (US$13.6 million) in 2024, as compared to net income attributable to non-controlling interests of RMB84.7 million in 2023, which was primarily due to the increase in net income attributable to non-controlling shareholders of Shan Shan Outlets. </w:t>
      </w:r>
    </w:p>
    <w:p>
      <w:pPr>
        <w:pStyle w:val="TextBody"/>
        <w:bidi w:val="0"/>
        <w:spacing w:before="360" w:after="0"/>
        <w:jc w:val="left"/>
        <w:rPr>
          <w:rFonts w:ascii="Times New Roman" w:hAnsi="Times New Roman"/>
          <w:i/>
          <w:sz w:val="20"/>
        </w:rPr>
      </w:pPr>
      <w:r>
        <w:rPr>
          <w:rFonts w:ascii="Times New Roman" w:hAnsi="Times New Roman"/>
          <w:i/>
          <w:sz w:val="20"/>
        </w:rPr>
        <w:t xml:space="preserve">Comparison of 2023 and 2022 </w:t>
      </w:r>
    </w:p>
    <w:p>
      <w:pPr>
        <w:pStyle w:val="TextBody"/>
        <w:bidi w:val="0"/>
        <w:spacing w:before="120" w:after="0"/>
        <w:jc w:val="left"/>
        <w:rPr>
          <w:rFonts w:ascii="Times New Roman" w:hAnsi="Times New Roman"/>
          <w:sz w:val="20"/>
        </w:rPr>
      </w:pPr>
      <w:r>
        <w:rPr>
          <w:rFonts w:ascii="Times New Roman" w:hAnsi="Times New Roman"/>
          <w:sz w:val="20"/>
          <w:u w:val="single"/>
        </w:rPr>
        <w:t>Net Revenues</w:t>
      </w:r>
      <w:r>
        <w:rPr>
          <w:rFonts w:ascii="Times New Roman" w:hAnsi="Times New Roman"/>
          <w:sz w:val="20"/>
        </w:rPr>
        <w:t xml:space="preserve">. Our total net revenues increased from RMB103.15 billion in 2022 to RMB112.86 billion (US$15.90 billion) in 2023, primarily due to an increase in product revenues from RMB97.25 billion in 2022 to RMB105.61 billion (US$14.88 billion) in 2023 attributable to the growth in active customers and spending driven by the recovery in consumption of discretionary categories. The number of our active customers increased from 84.1 million in 2022 to 87.4 million in 2023, and the number of our total orders increased from 739.5 million in 2022 to 812.3 million in 2023. </w:t>
      </w:r>
    </w:p>
    <w:p>
      <w:pPr>
        <w:pStyle w:val="TextBody"/>
        <w:bidi w:val="0"/>
        <w:spacing w:before="240" w:after="0"/>
        <w:jc w:val="left"/>
        <w:rPr>
          <w:rFonts w:ascii="Times New Roman" w:hAnsi="Times New Roman"/>
          <w:sz w:val="20"/>
        </w:rPr>
      </w:pPr>
      <w:r>
        <w:rPr>
          <w:rFonts w:ascii="Times New Roman" w:hAnsi="Times New Roman"/>
          <w:sz w:val="20"/>
          <w:u w:val="single"/>
        </w:rPr>
        <w:t>Cost of Revenues</w:t>
      </w:r>
      <w:r>
        <w:rPr>
          <w:rFonts w:ascii="Times New Roman" w:hAnsi="Times New Roman"/>
          <w:sz w:val="20"/>
        </w:rPr>
        <w:t xml:space="preserve">. Our cost of revenues increased from RMB81.54 billion in 2022 to RMB87.14 billion (US$12.27 billion) in 2023, primarily due to the increase in cost of products sold in line with the increase in our products sales volume.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u w:val="single"/>
        </w:rPr>
        <w:t>Gross Profit and Gross Margin</w:t>
      </w:r>
      <w:r>
        <w:rPr>
          <w:rFonts w:ascii="Times New Roman" w:hAnsi="Times New Roman"/>
          <w:sz w:val="20"/>
        </w:rPr>
        <w:t xml:space="preserve">. As a result of the foregoing, our gross profit increased from RMB21.62 billion in 2022 to RMB25.72 billion (US$3.62 billion) in 2023. Our gross margin increased from 21.0% in 2022 to 22.8% in 2023, primarily due to continued optimization of product categories. </w:t>
      </w:r>
    </w:p>
    <w:p>
      <w:pPr>
        <w:pStyle w:val="TextBody"/>
        <w:bidi w:val="0"/>
        <w:spacing w:before="240" w:after="0"/>
        <w:jc w:val="left"/>
        <w:rPr>
          <w:rFonts w:ascii="Times New Roman" w:hAnsi="Times New Roman"/>
          <w:sz w:val="20"/>
        </w:rPr>
      </w:pPr>
      <w:r>
        <w:rPr>
          <w:rFonts w:ascii="Times New Roman" w:hAnsi="Times New Roman"/>
          <w:sz w:val="20"/>
          <w:u w:val="single"/>
        </w:rPr>
        <w:t>Operating Expenses</w:t>
      </w:r>
      <w:r>
        <w:rPr>
          <w:rFonts w:ascii="Times New Roman" w:hAnsi="Times New Roman"/>
          <w:sz w:val="20"/>
        </w:rPr>
        <w:t xml:space="preserve">. Our operating expenses increased from RMB16.14 billion in 2022 to RMB17.42 billion (US$2.45 billion) in 2023, primarily due to the increases in fulfillment expenses, marketing expenses, and technology and content expenses, partially offset by the decrease in general and administrative expenses. </w:t>
      </w:r>
    </w:p>
    <w:p>
      <w:pPr>
        <w:pStyle w:val="TextBody"/>
        <w:bidi w:val="0"/>
        <w:spacing w:before="240" w:after="0"/>
        <w:jc w:val="left"/>
        <w:rPr>
          <w:rFonts w:ascii="Times New Roman" w:hAnsi="Times New Roman"/>
          <w:sz w:val="20"/>
        </w:rPr>
      </w:pPr>
      <w:r>
        <w:rPr>
          <w:rFonts w:ascii="Times New Roman" w:hAnsi="Times New Roman"/>
          <w:i/>
          <w:sz w:val="20"/>
          <w:u w:val="single"/>
        </w:rPr>
        <w:t>Fulfillment expenses</w:t>
      </w:r>
      <w:r>
        <w:rPr>
          <w:rFonts w:ascii="Times New Roman" w:hAnsi="Times New Roman"/>
          <w:sz w:val="20"/>
        </w:rPr>
        <w:t xml:space="preserve">. Our fulfillment expenses increased from RMB7.25 billion in 2022 to RMB8.26 billion (US$1.16 billion) in 2023. Shipping and handling expenses, the largest component of our fulfillment expenses during these periods, increased from RMB5.06 billion in 2022 to RMB5.84 billion (US$822.1 million) in 2023. The increase in our fulfillment expenses was primarily due to an increase in our GMV and the number of orders. In 2023, we fulfilled over 812.3 million customer orders, as compared to over 739.5 million customer orders in 2022. Our fulfillment expenses as a percentage of our total net revenues increased from 7.0% in 2022 to 7.3% in 2023, primarily due to the increase of sales return and exchange rate. </w:t>
      </w:r>
    </w:p>
    <w:p>
      <w:pPr>
        <w:pStyle w:val="TextBody"/>
        <w:bidi w:val="0"/>
        <w:spacing w:before="240" w:after="0"/>
        <w:jc w:val="left"/>
        <w:rPr>
          <w:rFonts w:ascii="Times New Roman" w:hAnsi="Times New Roman"/>
          <w:sz w:val="20"/>
        </w:rPr>
      </w:pPr>
      <w:r>
        <w:rPr>
          <w:rFonts w:ascii="Times New Roman" w:hAnsi="Times New Roman"/>
          <w:i/>
          <w:sz w:val="20"/>
          <w:u w:val="single"/>
        </w:rPr>
        <w:t>Marketing expenses</w:t>
      </w:r>
      <w:r>
        <w:rPr>
          <w:rFonts w:ascii="Times New Roman" w:hAnsi="Times New Roman"/>
          <w:sz w:val="20"/>
        </w:rPr>
        <w:t xml:space="preserve">. Our marketing expenses increased from RMB2.83 billion in 2022 to RMB3.24 billion (US$456.7 million) in 2023, primarily due to our increased spending in promotion and advertising activities. </w:t>
      </w:r>
    </w:p>
    <w:p>
      <w:pPr>
        <w:pStyle w:val="TextBody"/>
        <w:bidi w:val="0"/>
        <w:spacing w:before="240" w:after="0"/>
        <w:jc w:val="left"/>
        <w:rPr>
          <w:rFonts w:ascii="Times New Roman" w:hAnsi="Times New Roman"/>
          <w:sz w:val="20"/>
        </w:rPr>
      </w:pPr>
      <w:r>
        <w:rPr>
          <w:rFonts w:ascii="Times New Roman" w:hAnsi="Times New Roman"/>
          <w:i/>
          <w:sz w:val="20"/>
          <w:u w:val="single"/>
        </w:rPr>
        <w:t>Technology and content expenses</w:t>
      </w:r>
      <w:r>
        <w:rPr>
          <w:rFonts w:ascii="Times New Roman" w:hAnsi="Times New Roman"/>
          <w:sz w:val="20"/>
        </w:rPr>
        <w:t xml:space="preserve">. Our technology and content expenses increased from RMB1.61 billion in 2022 to RMB1.77 billion (US$249.0 million) in 2023, primarily due to our continuing efforts to invest in human capital and advanced technologies. As a percentage of our total net revenues, our technology and content expenses remained stable at 1.6% in 2022 and 2023. </w:t>
      </w:r>
    </w:p>
    <w:p>
      <w:pPr>
        <w:pStyle w:val="TextBody"/>
        <w:bidi w:val="0"/>
        <w:spacing w:before="240" w:after="0"/>
        <w:jc w:val="left"/>
        <w:rPr>
          <w:rFonts w:ascii="Times New Roman" w:hAnsi="Times New Roman"/>
          <w:sz w:val="20"/>
        </w:rPr>
      </w:pPr>
      <w:r>
        <w:rPr>
          <w:rFonts w:ascii="Times New Roman" w:hAnsi="Times New Roman"/>
          <w:i/>
          <w:sz w:val="20"/>
          <w:u w:val="single"/>
        </w:rPr>
        <w:t>General and administrative expenses</w:t>
      </w:r>
      <w:r>
        <w:rPr>
          <w:rFonts w:ascii="Times New Roman" w:hAnsi="Times New Roman"/>
          <w:sz w:val="20"/>
        </w:rPr>
        <w:t xml:space="preserve">. Our general and administrative expenses were RMB4.15 billion (US$584.0 million) in 2023, as compared to RMB4.46 billion in 2022. Our general and administrative expenses decreased primarily due to the donation in support of the rural revitalization in 2022 as part of our ESG commitment. Our general and administrative expenses decreased from 4.3% to 3.7% as a percentage of our total net revenues during the same period. </w:t>
      </w:r>
    </w:p>
    <w:p>
      <w:pPr>
        <w:pStyle w:val="TextBody"/>
        <w:bidi w:val="0"/>
        <w:spacing w:before="240" w:after="0"/>
        <w:jc w:val="left"/>
        <w:rPr>
          <w:rFonts w:ascii="Times New Roman" w:hAnsi="Times New Roman"/>
          <w:sz w:val="20"/>
        </w:rPr>
      </w:pPr>
      <w:r>
        <w:rPr>
          <w:rFonts w:ascii="Times New Roman" w:hAnsi="Times New Roman"/>
          <w:sz w:val="20"/>
          <w:u w:val="single"/>
        </w:rPr>
        <w:t>Other Operating Income</w:t>
      </w:r>
      <w:r>
        <w:rPr>
          <w:rFonts w:ascii="Times New Roman" w:hAnsi="Times New Roman"/>
          <w:sz w:val="20"/>
        </w:rPr>
        <w:t xml:space="preserve">. Our other operating income amounted to RMB801.6 million (US$112.9 million) in 2023, as compared to RMB724.8 million in 2022. Our other operating income in 2023 primarily included income derived from government grants and tax rebates. </w:t>
      </w:r>
    </w:p>
    <w:p>
      <w:pPr>
        <w:pStyle w:val="TextBody"/>
        <w:bidi w:val="0"/>
        <w:spacing w:before="240" w:after="0"/>
        <w:jc w:val="left"/>
        <w:rPr>
          <w:rFonts w:ascii="Times New Roman" w:hAnsi="Times New Roman"/>
          <w:sz w:val="20"/>
        </w:rPr>
      </w:pPr>
      <w:r>
        <w:rPr>
          <w:rFonts w:ascii="Times New Roman" w:hAnsi="Times New Roman"/>
          <w:sz w:val="20"/>
          <w:u w:val="single"/>
        </w:rPr>
        <w:t>Interest Expenses</w:t>
      </w:r>
      <w:r>
        <w:rPr>
          <w:rFonts w:ascii="Times New Roman" w:hAnsi="Times New Roman"/>
          <w:sz w:val="20"/>
        </w:rPr>
        <w:t xml:space="preserve">. We incurred RMB22.9 million (US$3.2 million) interest expenses in 2023, as compared to RMB24.3 million in 2022, primarily due to the decrease in short-term loan during the year. </w:t>
      </w:r>
    </w:p>
    <w:p>
      <w:pPr>
        <w:pStyle w:val="TextBody"/>
        <w:bidi w:val="0"/>
        <w:spacing w:before="240" w:after="0"/>
        <w:jc w:val="left"/>
        <w:rPr>
          <w:rFonts w:ascii="Times New Roman" w:hAnsi="Times New Roman"/>
          <w:sz w:val="20"/>
        </w:rPr>
      </w:pPr>
      <w:r>
        <w:rPr>
          <w:rFonts w:ascii="Times New Roman" w:hAnsi="Times New Roman"/>
          <w:sz w:val="20"/>
          <w:u w:val="single"/>
        </w:rPr>
        <w:t>Interest Income</w:t>
      </w:r>
      <w:r>
        <w:rPr>
          <w:rFonts w:ascii="Times New Roman" w:hAnsi="Times New Roman"/>
          <w:sz w:val="20"/>
        </w:rPr>
        <w:t xml:space="preserve">. Our interest income increased from RMB764.0 million in 2022 to RMB780.3 million (US$109.9 million) in 2023, primarily due to the increase in interest-bearing investments, such as the deposits and short-term investments in the banks. </w:t>
      </w:r>
    </w:p>
    <w:p>
      <w:pPr>
        <w:pStyle w:val="TextBody"/>
        <w:bidi w:val="0"/>
        <w:spacing w:before="240" w:after="0"/>
        <w:jc w:val="left"/>
        <w:rPr>
          <w:rFonts w:ascii="Times New Roman" w:hAnsi="Times New Roman"/>
          <w:sz w:val="20"/>
        </w:rPr>
      </w:pPr>
      <w:r>
        <w:rPr>
          <w:rFonts w:ascii="Times New Roman" w:hAnsi="Times New Roman"/>
          <w:sz w:val="20"/>
          <w:u w:val="single"/>
        </w:rPr>
        <w:t>Share of Income/(Loss) of Equity Method Investees</w:t>
      </w:r>
      <w:r>
        <w:rPr>
          <w:rFonts w:ascii="Times New Roman" w:hAnsi="Times New Roman"/>
          <w:sz w:val="20"/>
        </w:rPr>
        <w:t xml:space="preserve">. We recorded share of income of equity method investees of RMB80.3 million (US$11.3 million) in 2023, as compared to share of loss of equity method investees of RMB6.6 million in 2022, which was primarily due to the decrease in share of loss from Guofu Life Insurance Co., Ltd. and the increase in share of income from Sichuan VipFubon Consumer Finance Co., Ltd. </w:t>
      </w:r>
    </w:p>
    <w:p>
      <w:pPr>
        <w:pStyle w:val="TextBody"/>
        <w:bidi w:val="0"/>
        <w:spacing w:before="240" w:after="0"/>
        <w:jc w:val="left"/>
        <w:rPr>
          <w:rFonts w:ascii="Times New Roman" w:hAnsi="Times New Roman"/>
          <w:sz w:val="20"/>
        </w:rPr>
      </w:pPr>
      <w:r>
        <w:rPr>
          <w:rFonts w:ascii="Times New Roman" w:hAnsi="Times New Roman"/>
          <w:sz w:val="20"/>
          <w:u w:val="single"/>
        </w:rPr>
        <w:t>Net Income</w:t>
      </w:r>
      <w:r>
        <w:rPr>
          <w:rFonts w:ascii="Times New Roman" w:hAnsi="Times New Roman"/>
          <w:sz w:val="20"/>
        </w:rPr>
        <w:t xml:space="preserve">. As a result of the foregoing, we recorded a net income of RMB8.20 billion (US$1.16 billion) in 2023, as compared to a net income of RMB6.31 billion in 2022. </w:t>
      </w:r>
    </w:p>
    <w:p>
      <w:pPr>
        <w:pStyle w:val="TextBody"/>
        <w:bidi w:val="0"/>
        <w:spacing w:before="240" w:after="0"/>
        <w:jc w:val="left"/>
        <w:rPr>
          <w:rFonts w:ascii="Times New Roman" w:hAnsi="Times New Roman"/>
          <w:sz w:val="20"/>
        </w:rPr>
      </w:pPr>
      <w:r>
        <w:rPr>
          <w:rFonts w:ascii="Times New Roman" w:hAnsi="Times New Roman"/>
          <w:sz w:val="20"/>
          <w:u w:val="single"/>
        </w:rPr>
        <w:t>Net Income Attributable to Non-controlling Interests.</w:t>
      </w:r>
      <w:r>
        <w:rPr>
          <w:rFonts w:ascii="Times New Roman" w:hAnsi="Times New Roman"/>
          <w:sz w:val="20"/>
        </w:rPr>
        <w:t xml:space="preserve"> We recorded net income attributable to non-controlling interests of RMB84.7 million (US$11.9 million) in 2023, as compared to net income attributable to non-controlling interests of RMB13.0 million in 2022, which was primarily due to the increase in net income attributable to non-controlling shareholders of Shan Shan Outlets.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070" w:type="dxa"/>
        <w:jc w:val="left"/>
        <w:tblInd w:w="0" w:type="dxa"/>
        <w:tblLayout w:type="fixed"/>
        <w:tblCellMar>
          <w:top w:w="0" w:type="dxa"/>
          <w:left w:w="0" w:type="dxa"/>
          <w:bottom w:w="0" w:type="dxa"/>
          <w:right w:w="0" w:type="dxa"/>
        </w:tblCellMar>
      </w:tblPr>
      <w:tblGrid>
        <w:gridCol w:w="260"/>
        <w:gridCol w:w="2810"/>
      </w:tblGrid>
      <w:tr>
        <w:trPr/>
        <w:tc>
          <w:tcPr>
            <w:tcW w:w="260" w:type="dxa"/>
            <w:tcBorders/>
            <w:vAlign w:val="center"/>
          </w:tcPr>
          <w:p>
            <w:pPr>
              <w:pStyle w:val="TableContents"/>
              <w:bidi w:val="0"/>
              <w:spacing w:before="0" w:after="283"/>
              <w:jc w:val="left"/>
              <w:rPr>
                <w:b/>
              </w:rPr>
            </w:pPr>
            <w:r>
              <w:rPr>
                <w:b/>
              </w:rPr>
              <w:t>B.</w:t>
            </w:r>
          </w:p>
        </w:tc>
        <w:tc>
          <w:tcPr>
            <w:tcW w:w="2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Liquidity and Capital Resources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2023 and 2024, we had RMB26.30 billion and RMB26.95 billion (US$3.69 billion), respectively, in cash, cash equivalents, and restricted cash. We had short-term investments with an aggregate outstanding amount of RMB1.87 billion (US$256.6 million) as of December 31, 2024. Our cash and cash equivalents primarily consist of cash on hand, time deposits that are not restricted as to withdrawal or use, and highly liquid investments with maturities of less than three months. We also procured several bank borrowings in an aggregate amount of RMB2.40 billion (US$328.7 million) and had unutilized banking facilities in an amount of RMB11.82 billion (US$1.62 billion) as of December 31, 2024. We believe that our current cash, cash equivalents, and our anticipated cash flows from operations will be sufficient to meet our anticipated working capital requirements and capital expenditures for the next 12 months. However, we may need additional capital in the future to fund our continued operations.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2024, our cash, cash equivalents, restricted cash, and short-term investments were held in the following currency denominations and jurisdictions in which our subsidiaries domiciled: </w:t>
      </w:r>
    </w:p>
    <w:p>
      <w:pPr>
        <w:pStyle w:val="TextBody"/>
        <w:bidi w:val="0"/>
        <w:spacing w:before="0" w:after="0"/>
        <w:jc w:val="left"/>
        <w:rPr/>
      </w:pPr>
      <w:r>
        <w:rPr/>
        <w:t> </w:t>
      </w:r>
    </w:p>
    <w:tbl>
      <w:tblPr>
        <w:tblW w:w="11565" w:type="dxa"/>
        <w:jc w:val="left"/>
        <w:tblInd w:w="0" w:type="dxa"/>
        <w:tblLayout w:type="fixed"/>
        <w:tblCellMar>
          <w:top w:w="0" w:type="dxa"/>
          <w:left w:w="0" w:type="dxa"/>
          <w:bottom w:w="0" w:type="dxa"/>
          <w:right w:w="0" w:type="dxa"/>
        </w:tblCellMar>
      </w:tblPr>
      <w:tblGrid>
        <w:gridCol w:w="560"/>
        <w:gridCol w:w="120"/>
        <w:gridCol w:w="64"/>
        <w:gridCol w:w="1186"/>
        <w:gridCol w:w="60"/>
        <w:gridCol w:w="120"/>
        <w:gridCol w:w="72"/>
        <w:gridCol w:w="1178"/>
        <w:gridCol w:w="60"/>
        <w:gridCol w:w="120"/>
        <w:gridCol w:w="152"/>
        <w:gridCol w:w="963"/>
        <w:gridCol w:w="60"/>
        <w:gridCol w:w="120"/>
        <w:gridCol w:w="60"/>
        <w:gridCol w:w="1100"/>
        <w:gridCol w:w="60"/>
        <w:gridCol w:w="120"/>
        <w:gridCol w:w="64"/>
        <w:gridCol w:w="1186"/>
        <w:gridCol w:w="60"/>
        <w:gridCol w:w="120"/>
        <w:gridCol w:w="72"/>
        <w:gridCol w:w="1178"/>
        <w:gridCol w:w="60"/>
        <w:gridCol w:w="120"/>
        <w:gridCol w:w="152"/>
        <w:gridCol w:w="963"/>
        <w:gridCol w:w="60"/>
        <w:gridCol w:w="120"/>
        <w:gridCol w:w="60"/>
        <w:gridCol w:w="1100"/>
        <w:gridCol w:w="7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10"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Subsidiaries</w:t>
              <w:br/>
              <w:t>in China(1)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Subsidiaries</w:t>
              <w:br/>
              <w:t>in Hong</w:t>
              <w:br/>
              <w:t>Kong and</w:t>
              <w:br/>
              <w:t>Other</w:t>
              <w:br/>
              <w:t>Regions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Subsidiary</w:t>
              <w:br/>
              <w:t>in the</w:t>
              <w:br/>
              <w:t>United</w:t>
              <w:br/>
              <w:t>States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Subsidiaries</w:t>
              <w:br/>
              <w:t>in China(1)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Subsidiaries</w:t>
              <w:br/>
              <w:t>in Hong</w:t>
              <w:br/>
              <w:t>Kong and</w:t>
              <w:br/>
              <w:t>Other</w:t>
              <w:br/>
              <w:t>Regions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Subsidiary</w:t>
              <w:br/>
              <w:t>in the</w:t>
              <w:br/>
              <w:t>United</w:t>
              <w:br/>
              <w:t>States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810" w:type="dxa"/>
            <w:gridSpan w:val="30"/>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1490" w:type="dxa"/>
            <w:gridSpan w:val="32"/>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Currency Denomination</w:t>
            </w:r>
          </w:p>
        </w:tc>
        <w:tc>
          <w:tcPr>
            <w:tcW w:w="75" w:type="dxa"/>
            <w:tcBorders/>
            <w:shd w:fill="CCEEFF" w:val="clear"/>
            <w:vAlign w:val="center"/>
          </w:tcPr>
          <w:p>
            <w:pPr>
              <w:pStyle w:val="TableContents"/>
              <w:bidi w:val="0"/>
              <w:spacing w:before="0" w:after="0"/>
              <w:jc w:val="left"/>
              <w:rPr/>
            </w:pPr>
            <w:r>
              <w:rPr/>
              <w:t> </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RMB</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23,404,854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2,346,519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25,751,373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21,211,074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2,304,057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23,515,131</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US$</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37,049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1,903,106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331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1,940,486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25,231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5,234,279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337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5,259,847</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588,705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588,708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right"/>
              <w:rPr/>
            </w:pPr>
            <w:r>
              <w:rPr/>
              <w:t>52,279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pPr>
            <w:r>
              <w:rPr/>
              <w:t> </w:t>
            </w:r>
          </w:p>
        </w:tc>
        <w:tc>
          <w:tcPr>
            <w:tcW w:w="96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52,281</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118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pBdr>
                <w:top w:val="single" w:sz="2" w:space="1" w:color="000000"/>
              </w:pBdr>
              <w:bidi w:val="0"/>
              <w:spacing w:before="0" w:after="0"/>
              <w:jc w:val="left"/>
              <w:rPr/>
            </w:pPr>
            <w:r>
              <w:rPr/>
              <w:t> </w:t>
            </w:r>
          </w:p>
        </w:tc>
        <w:tc>
          <w:tcPr>
            <w:tcW w:w="117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96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single" w:sz="2" w:space="1" w:color="000000"/>
              </w:pBdr>
              <w:bidi w:val="0"/>
              <w:spacing w:before="0" w:after="0"/>
              <w:jc w:val="left"/>
              <w:rPr/>
            </w:pPr>
            <w:r>
              <w:rPr/>
              <w:t> </w:t>
            </w:r>
          </w:p>
        </w:tc>
        <w:tc>
          <w:tcPr>
            <w:tcW w:w="1186"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pBdr>
                <w:top w:val="single" w:sz="2" w:space="1" w:color="000000"/>
              </w:pBdr>
              <w:bidi w:val="0"/>
              <w:spacing w:before="0" w:after="0"/>
              <w:jc w:val="left"/>
              <w:rPr/>
            </w:pPr>
            <w:r>
              <w:rPr/>
              <w:t> </w:t>
            </w:r>
          </w:p>
        </w:tc>
        <w:tc>
          <w:tcPr>
            <w:tcW w:w="1178"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single" w:sz="2" w:space="1" w:color="000000"/>
              </w:pBdr>
              <w:bidi w:val="0"/>
              <w:spacing w:before="0" w:after="0"/>
              <w:jc w:val="left"/>
              <w:rPr/>
            </w:pPr>
            <w:r>
              <w:rPr/>
              <w:t> </w:t>
            </w:r>
          </w:p>
        </w:tc>
        <w:tc>
          <w:tcPr>
            <w:tcW w:w="96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23,441,905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4,838,330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331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28,280,567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21,236,307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7,590,615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pPr>
            <w:r>
              <w:rPr/>
              <w:t>337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28,827,259</w:t>
            </w:r>
          </w:p>
        </w:tc>
        <w:tc>
          <w:tcPr>
            <w:tcW w:w="75" w:type="dxa"/>
            <w:tcBorders/>
            <w:shd w:fill="CCEEFF" w:val="cle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double" w:sz="6" w:space="1" w:color="000000"/>
              </w:pBdr>
              <w:bidi w:val="0"/>
              <w:spacing w:before="0" w:after="0"/>
              <w:jc w:val="left"/>
              <w:rPr/>
            </w:pPr>
            <w:r>
              <w:rPr/>
              <w:t> </w:t>
            </w:r>
          </w:p>
        </w:tc>
        <w:tc>
          <w:tcPr>
            <w:tcW w:w="118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pBdr>
                <w:top w:val="double" w:sz="6" w:space="1" w:color="000000"/>
              </w:pBdr>
              <w:bidi w:val="0"/>
              <w:spacing w:before="0" w:after="0"/>
              <w:jc w:val="left"/>
              <w:rPr/>
            </w:pPr>
            <w:r>
              <w:rPr/>
              <w:t> </w:t>
            </w:r>
          </w:p>
        </w:tc>
        <w:tc>
          <w:tcPr>
            <w:tcW w:w="117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double" w:sz="6" w:space="1" w:color="000000"/>
              </w:pBdr>
              <w:bidi w:val="0"/>
              <w:spacing w:before="0" w:after="0"/>
              <w:jc w:val="left"/>
              <w:rPr/>
            </w:pPr>
            <w:r>
              <w:rPr/>
              <w:t> </w:t>
            </w:r>
          </w:p>
        </w:tc>
        <w:tc>
          <w:tcPr>
            <w:tcW w:w="96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4" w:type="dxa"/>
            <w:tcBorders/>
            <w:vAlign w:val="center"/>
          </w:tcPr>
          <w:p>
            <w:pPr>
              <w:pStyle w:val="TableContents"/>
              <w:pBdr>
                <w:top w:val="double" w:sz="6" w:space="1" w:color="000000"/>
              </w:pBdr>
              <w:bidi w:val="0"/>
              <w:spacing w:before="0" w:after="0"/>
              <w:jc w:val="left"/>
              <w:rPr/>
            </w:pPr>
            <w:r>
              <w:rPr/>
              <w:t> </w:t>
            </w:r>
          </w:p>
        </w:tc>
        <w:tc>
          <w:tcPr>
            <w:tcW w:w="1186"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pBdr>
                <w:top w:val="double" w:sz="6" w:space="1" w:color="000000"/>
              </w:pBdr>
              <w:bidi w:val="0"/>
              <w:spacing w:before="0" w:after="0"/>
              <w:jc w:val="left"/>
              <w:rPr/>
            </w:pPr>
            <w:r>
              <w:rPr/>
              <w:t> </w:t>
            </w:r>
          </w:p>
        </w:tc>
        <w:tc>
          <w:tcPr>
            <w:tcW w:w="1178"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2" w:type="dxa"/>
            <w:tcBorders/>
            <w:vAlign w:val="center"/>
          </w:tcPr>
          <w:p>
            <w:pPr>
              <w:pStyle w:val="TableContents"/>
              <w:pBdr>
                <w:top w:val="double" w:sz="6" w:space="1" w:color="000000"/>
              </w:pBdr>
              <w:bidi w:val="0"/>
              <w:spacing w:before="0" w:after="0"/>
              <w:jc w:val="left"/>
              <w:rPr/>
            </w:pPr>
            <w:r>
              <w:rPr/>
              <w:t> </w:t>
            </w:r>
          </w:p>
        </w:tc>
        <w:tc>
          <w:tcPr>
            <w:tcW w:w="96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6"/>
        </w:rPr>
      </w:pPr>
      <w:r>
        <w:rPr>
          <w:rFonts w:ascii="Times New Roman" w:hAnsi="Times New Roman"/>
          <w:sz w:val="16"/>
        </w:rPr>
        <w:t xml:space="preserve">Note: </w:t>
      </w:r>
    </w:p>
    <w:p>
      <w:pPr>
        <w:pStyle w:val="TextBody"/>
        <w:bidi w:val="0"/>
        <w:spacing w:before="0" w:after="0"/>
        <w:jc w:val="left"/>
        <w:rPr/>
      </w:pPr>
      <w:r>
        <w:rPr/>
        <w:t> </w:t>
      </w:r>
    </w:p>
    <w:tbl>
      <w:tblPr>
        <w:tblW w:w="5605" w:type="dxa"/>
        <w:jc w:val="left"/>
        <w:tblInd w:w="0" w:type="dxa"/>
        <w:tblLayout w:type="fixed"/>
        <w:tblCellMar>
          <w:top w:w="0" w:type="dxa"/>
          <w:left w:w="0" w:type="dxa"/>
          <w:bottom w:w="0" w:type="dxa"/>
          <w:right w:w="0" w:type="dxa"/>
        </w:tblCellMar>
      </w:tblPr>
      <w:tblGrid>
        <w:gridCol w:w="305"/>
        <w:gridCol w:w="5300"/>
      </w:tblGrid>
      <w:tr>
        <w:trPr/>
        <w:tc>
          <w:tcPr>
            <w:tcW w:w="305" w:type="dxa"/>
            <w:tcBorders/>
            <w:vAlign w:val="center"/>
          </w:tcPr>
          <w:p>
            <w:pPr>
              <w:pStyle w:val="TableContents"/>
              <w:bidi w:val="0"/>
              <w:spacing w:before="0" w:after="283"/>
              <w:jc w:val="left"/>
              <w:rPr/>
            </w:pPr>
            <w:r>
              <w:rPr/>
              <w:t>(1)</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Also include the consolidated variable interest entities in China.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2024, our cash, cash equivalents, and restricted cash held by the consolidated variable interest entities and subsidiaries in China were as follows: </w:t>
      </w:r>
    </w:p>
    <w:p>
      <w:pPr>
        <w:pStyle w:val="TextBody"/>
        <w:bidi w:val="0"/>
        <w:spacing w:before="0" w:after="0"/>
        <w:jc w:val="left"/>
        <w:rPr/>
      </w:pPr>
      <w:r>
        <w:rPr/>
        <w:t> </w:t>
      </w:r>
    </w:p>
    <w:tbl>
      <w:tblPr>
        <w:tblW w:w="7790" w:type="dxa"/>
        <w:jc w:val="left"/>
        <w:tblInd w:w="0" w:type="dxa"/>
        <w:tblLayout w:type="fixed"/>
        <w:tblCellMar>
          <w:top w:w="0" w:type="dxa"/>
          <w:left w:w="0" w:type="dxa"/>
          <w:bottom w:w="0" w:type="dxa"/>
          <w:right w:w="0" w:type="dxa"/>
        </w:tblCellMar>
      </w:tblPr>
      <w:tblGrid>
        <w:gridCol w:w="3875"/>
        <w:gridCol w:w="120"/>
        <w:gridCol w:w="60"/>
        <w:gridCol w:w="1100"/>
        <w:gridCol w:w="60"/>
        <w:gridCol w:w="120"/>
        <w:gridCol w:w="60"/>
        <w:gridCol w:w="1100"/>
        <w:gridCol w:w="60"/>
        <w:gridCol w:w="120"/>
        <w:gridCol w:w="60"/>
        <w:gridCol w:w="980"/>
        <w:gridCol w:w="75"/>
      </w:tblGrid>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2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20" w:type="dxa"/>
            <w:gridSpan w:val="10"/>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Consolidated variable interest entities in China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4,690,655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3,899,279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534,199</w:t>
            </w:r>
          </w:p>
        </w:tc>
        <w:tc>
          <w:tcPr>
            <w:tcW w:w="75" w:type="dxa"/>
            <w:tcBorders/>
            <w:vAlign w:val="center"/>
          </w:tcPr>
          <w:p>
            <w:pPr>
              <w:pStyle w:val="TableContents"/>
              <w:bidi w:val="0"/>
              <w:spacing w:before="0" w:after="283"/>
              <w:jc w:val="left"/>
              <w:rPr/>
            </w:pPr>
            <w:r>
              <w:rPr/>
              <w:t> </w:t>
            </w:r>
          </w:p>
        </w:tc>
      </w:tr>
      <w:tr>
        <w:trPr/>
        <w:tc>
          <w:tcPr>
            <w:tcW w:w="38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Subsidiaries in China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17,751,050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17,337,028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2,375,163</w:t>
            </w:r>
          </w:p>
        </w:tc>
        <w:tc>
          <w:tcPr>
            <w:tcW w:w="75" w:type="dxa"/>
            <w:tcBorders/>
            <w:shd w:fill="CCEEFF" w:val="clear"/>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1100"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single" w:sz="2" w:space="1" w:color="000000"/>
              </w:pBdr>
              <w:bidi w:val="0"/>
              <w:spacing w:before="0" w:after="0"/>
              <w:jc w:val="left"/>
              <w:rPr/>
            </w:pPr>
            <w:r>
              <w:rPr/>
              <w:t> </w:t>
            </w:r>
          </w:p>
        </w:tc>
        <w:tc>
          <w:tcPr>
            <w:tcW w:w="980"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22,441,705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21,236,307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2,909,362</w:t>
            </w:r>
          </w:p>
        </w:tc>
        <w:tc>
          <w:tcPr>
            <w:tcW w:w="75" w:type="dxa"/>
            <w:tcBorders/>
            <w:vAlign w:val="center"/>
          </w:tcPr>
          <w:p>
            <w:pPr>
              <w:pStyle w:val="TableContents"/>
              <w:bidi w:val="0"/>
              <w:spacing w:before="0" w:after="283"/>
              <w:jc w:val="left"/>
              <w:rPr/>
            </w:pPr>
            <w:r>
              <w:rPr/>
              <w:t> </w:t>
            </w:r>
          </w:p>
        </w:tc>
      </w:tr>
      <w:tr>
        <w:trPr/>
        <w:tc>
          <w:tcPr>
            <w:tcW w:w="3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110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2023 and 2024, our short-term investments held by the consolidated variable interest entities and subsidiaries in China were as follows: </w:t>
      </w:r>
    </w:p>
    <w:p>
      <w:pPr>
        <w:pStyle w:val="TextBody"/>
        <w:bidi w:val="0"/>
        <w:spacing w:before="0" w:after="0"/>
        <w:jc w:val="left"/>
        <w:rPr/>
      </w:pPr>
      <w:r>
        <w:rPr/>
        <w:t> </w:t>
      </w:r>
    </w:p>
    <w:tbl>
      <w:tblPr>
        <w:tblW w:w="4654" w:type="dxa"/>
        <w:jc w:val="left"/>
        <w:tblInd w:w="0" w:type="dxa"/>
        <w:tblLayout w:type="fixed"/>
        <w:tblCellMar>
          <w:top w:w="0" w:type="dxa"/>
          <w:left w:w="0" w:type="dxa"/>
          <w:bottom w:w="0" w:type="dxa"/>
          <w:right w:w="0" w:type="dxa"/>
        </w:tblCellMar>
      </w:tblPr>
      <w:tblGrid>
        <w:gridCol w:w="2015"/>
        <w:gridCol w:w="120"/>
        <w:gridCol w:w="60"/>
        <w:gridCol w:w="980"/>
        <w:gridCol w:w="60"/>
        <w:gridCol w:w="120"/>
        <w:gridCol w:w="110"/>
        <w:gridCol w:w="480"/>
        <w:gridCol w:w="60"/>
        <w:gridCol w:w="120"/>
        <w:gridCol w:w="62"/>
        <w:gridCol w:w="392"/>
        <w:gridCol w:w="75"/>
      </w:tblGrid>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4"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2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44" w:type="dxa"/>
            <w:gridSpan w:val="10"/>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Short-term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4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392"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Subsidiaries in China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1,000,200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4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392"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pBdr>
                <w:top w:val="double" w:sz="6" w:space="1" w:color="000000"/>
              </w:pBdr>
              <w:bidi w:val="0"/>
              <w:spacing w:before="0" w:after="0"/>
              <w:jc w:val="left"/>
              <w:rPr/>
            </w:pPr>
            <w:r>
              <w:rPr/>
              <w:t> </w:t>
            </w:r>
          </w:p>
        </w:tc>
        <w:tc>
          <w:tcPr>
            <w:tcW w:w="9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 w:type="dxa"/>
            <w:tcBorders/>
            <w:vAlign w:val="center"/>
          </w:tcPr>
          <w:p>
            <w:pPr>
              <w:pStyle w:val="TableContents"/>
              <w:pBdr>
                <w:top w:val="double" w:sz="6" w:space="1" w:color="000000"/>
              </w:pBdr>
              <w:bidi w:val="0"/>
              <w:spacing w:before="0" w:after="0"/>
              <w:jc w:val="left"/>
              <w:rPr/>
            </w:pPr>
            <w:r>
              <w:rPr/>
              <w:t> </w:t>
            </w:r>
          </w:p>
        </w:tc>
        <w:tc>
          <w:tcPr>
            <w:tcW w:w="480"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pBdr>
                <w:top w:val="double" w:sz="6" w:space="1" w:color="000000"/>
              </w:pBdr>
              <w:bidi w:val="0"/>
              <w:spacing w:before="0" w:after="0"/>
              <w:jc w:val="left"/>
              <w:rPr/>
            </w:pPr>
            <w:r>
              <w:rPr/>
              <w:t> </w:t>
            </w:r>
          </w:p>
        </w:tc>
        <w:tc>
          <w:tcPr>
            <w:tcW w:w="392"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PRC government authorities regulate the convertibility of the Renminbi into foreign currencies and, in certain cases, the remittance of currencies out of China. We receive substantially all of our revenues in Renminbi. Under our current corporate structure, our company in the Cayman Islands may rely on dividend payments from our PRC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SAFE by complying with certain procedural requirements. Therefore, our WFOEs in China are able to pay dividends in foreign currencies to us without prior approval from SAFE, subject to the condition that the remittance of such dividends out of China complies with certain procedures under PRC foreign exchange regulations, such as the requirement of outbound overseas investment registrations by our shareholders or the ultimate shareholders of our corporate shareholders who are PRC residents. Approval from or registration with appropriate government authorities is required where Renminbi is to be converted into foreign currencies and remitted out of China to pay capital expenses such as the repayment of loans denominated in foreign currencies. There is no requirement on U.S. investors to complete registration or obtain approval from appropriate government authorities before they can receive dividend payments from our Cayman company. The PRC government may also in the future in its discretion restrict access to foreign currencies for current account transactions. If the PRC foreign exchange control system prevents us from obtaining sufficient foreign currencies to satisfy our foreign currency demands, we may not be able to pay dividends in foreign currencies to our shareholders, including holders of our ADSs.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 summary of our cash flows for the periods indicated: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70"/>
        <w:gridCol w:w="120"/>
        <w:gridCol w:w="60"/>
        <w:gridCol w:w="1100"/>
        <w:gridCol w:w="155"/>
        <w:gridCol w:w="120"/>
        <w:gridCol w:w="60"/>
        <w:gridCol w:w="1100"/>
        <w:gridCol w:w="155"/>
        <w:gridCol w:w="120"/>
        <w:gridCol w:w="60"/>
        <w:gridCol w:w="1100"/>
        <w:gridCol w:w="155"/>
        <w:gridCol w:w="120"/>
        <w:gridCol w:w="60"/>
        <w:gridCol w:w="980"/>
        <w:gridCol w:w="170"/>
      </w:tblGrid>
      <w:tr>
        <w:trPr/>
        <w:tc>
          <w:tcPr>
            <w:tcW w:w="4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4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70" w:type="dxa"/>
            <w:tcBorders/>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70" w:type="dxa"/>
            <w:tcBorders/>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45" w:type="dxa"/>
            <w:gridSpan w:val="14"/>
            <w:tcBorders/>
            <w:vAlign w:val="center"/>
          </w:tcPr>
          <w:p>
            <w:pPr>
              <w:pStyle w:val="TableContents"/>
              <w:bidi w:val="0"/>
              <w:spacing w:before="0" w:after="283"/>
              <w:jc w:val="center"/>
              <w:rPr>
                <w:b/>
              </w:rPr>
            </w:pPr>
            <w:r>
              <w:rPr>
                <w:b/>
              </w:rPr>
              <w:t>(in thousands)</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from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10,519,692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14,414,513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9,128,983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1,250,666</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from (used in) investing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1,049,153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(5,160,337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(3,565,550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(488,478</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(5,573,391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(6,146,005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(4,969,579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(680,830</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(63,322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85,794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63,283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8,670</w:t>
            </w:r>
          </w:p>
        </w:tc>
        <w:tc>
          <w:tcPr>
            <w:tcW w:w="170" w:type="dxa"/>
            <w:tcBorders/>
            <w:vAlign w:val="center"/>
          </w:tcPr>
          <w:p>
            <w:pPr>
              <w:pStyle w:val="TableContents"/>
              <w:bidi w:val="0"/>
              <w:spacing w:before="0" w:after="283"/>
              <w:jc w:val="left"/>
              <w:rPr/>
            </w:pPr>
            <w:r>
              <w:rPr/>
              <w:t> </w:t>
            </w:r>
          </w:p>
        </w:tc>
      </w:tr>
      <w:tr>
        <w:trPr/>
        <w:tc>
          <w:tcPr>
            <w:tcW w:w="45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17,171,269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23,103,401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26,297,366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3,602,724</w:t>
            </w:r>
          </w:p>
        </w:tc>
        <w:tc>
          <w:tcPr>
            <w:tcW w:w="170" w:type="dxa"/>
            <w:tcBorders/>
            <w:shd w:fill="CCEEFF" w:val="clear"/>
            <w:vAlign w:val="center"/>
          </w:tcPr>
          <w:p>
            <w:pPr>
              <w:pStyle w:val="TableContents"/>
              <w:bidi w:val="0"/>
              <w:spacing w:before="0" w:after="283"/>
              <w:jc w:val="left"/>
              <w:rPr/>
            </w:pPr>
            <w:r>
              <w:rPr/>
              <w:t> </w:t>
            </w:r>
          </w:p>
        </w:tc>
      </w:tr>
      <w:tr>
        <w:trPr/>
        <w:tc>
          <w:tcPr>
            <w:tcW w:w="4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end of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23,103,401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26,297,366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26,954,503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3,692,752</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2023 and 2024, Vipshop Holdings Limited did not provide any capital contribution to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2023 and 2024, Vipshop Holdings Limited did not extend any intercompany loans to its subsidiaries, and our subsidiaries did not provide any repayment of intercompany loans to Vipshop Holdings Limited.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2023 and 2024, our subsidiaries did not extend any intercompany loans to Vipshop Holdings Limited. For the year ended December 31, 2022, 2023 and 2024, our subsidiaries did not extend any intercompany loans to the consolidated variable interest entities, and the consolidated variable interest entities did not provide any repayment of intercompany loans to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the year ended December 31, 2022, 2023 and 2024, an aggregate amount of RMB2.02 billion, RMB1.26 billion and RMB1.88 billion was provided by the consolidated variable interest entities to our subsidiaries in the form of intercompany loans, respectively, and an aggregate amount of RMB2.01 billion, RMB3.26 billion and RMB1.89 billion was provided by our subsidiaries to the consolidated variable interest entities in the form of repayment of intercompany loans, respectively.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2023 and 2024, our subsidiaries did not make any payment to the consolidated variable interest entities for transfer of property and equipment. </w:t>
      </w:r>
    </w:p>
    <w:p>
      <w:pPr>
        <w:pStyle w:val="TextBody"/>
        <w:bidi w:val="0"/>
        <w:spacing w:before="240" w:after="0"/>
        <w:jc w:val="left"/>
        <w:rPr>
          <w:rFonts w:ascii="Times New Roman" w:hAnsi="Times New Roman"/>
          <w:sz w:val="20"/>
        </w:rPr>
      </w:pPr>
      <w:r>
        <w:rPr>
          <w:rFonts w:ascii="Times New Roman" w:hAnsi="Times New Roman"/>
          <w:sz w:val="20"/>
        </w:rPr>
        <w:t xml:space="preserve">For the year ended December 31, 2022, 2023 and 2024, no assets other than cash were transferred between our Cayman Islands holding company and a subsidiary, a VIE, or its subsidiary, and no subsidiary or VIE paid dividends or made other distributions to its holding company, except for the dividend of RMB14.98 billion, nil and RMB10.00 billion paid by Vipshop (China) Co., Ltd., our PRC subsidiary, to its holding company in Hong Kong, Vipshop International Holdings Limited, in 2022, 2023 and 2024. These dividends are subject to 5% withholding tax. For the year ended December 31, 2024, Vipshop International Holdings Limited paid dividends of US$233.5 million (RMB1.68 billion) to Cayman Islands holding company. </w:t>
      </w:r>
    </w:p>
    <w:p>
      <w:pPr>
        <w:pStyle w:val="TextBody"/>
        <w:bidi w:val="0"/>
        <w:spacing w:before="240" w:after="0"/>
        <w:jc w:val="left"/>
        <w:rPr>
          <w:rFonts w:ascii="Times New Roman" w:hAnsi="Times New Roman"/>
          <w:sz w:val="20"/>
        </w:rPr>
      </w:pPr>
      <w:r>
        <w:rPr>
          <w:rFonts w:ascii="Times New Roman" w:hAnsi="Times New Roman"/>
          <w:sz w:val="20"/>
        </w:rPr>
        <w:t xml:space="preserve">For additional information about the services provided, cash flows or transfer of other assets between our company, our subsidiaries and the consolidated variable interest entities during the three years ended December 31, 2022, 2023 and 2024, see “Item 3. Key Information—Financial Information Relating to the Consolidated Variable Interest Entities” and Note 2(b) to our consolidated financial statements included elsewhere in this annual report on Form 20-F.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from operating activities amounted to RMB9.13 billion (US$1.25 billion) in 2024, which was primarily attributable to a net income of RMB7.84 billion (US$1.07 billion), adjusted for certain non-cash expenses consisting primarily of (i) share-based compensation expenses of RMB1.54 billion (US$210.7 million), (ii) depreciation of property and equipment of RMB1.42 billion (US$194.3 million), attributable to increases in warehouse and outlets, (iii) amortization of land use rights of RMB270.1 million (US$37.0 million) due to the increase of land use rights, partially offset by (i) share of income of equity method investees of RMB167.0 million (US$22.9 million) and (ii) investment gain and revaluation of investments of RMB135.1 million (US$18.5 million). The adjustment for changes in operating assets and liabilities primarily reflected (i) a decrease in accounts payable of RMB2.17 billion (US$297.4 million) due to decreased inventory purchases and (ii) a decrease in inventories of RMB944.7 million (US$129.4 million) due to our efforts in improving our inventory management. </w:t>
      </w:r>
    </w:p>
    <w:p>
      <w:pPr>
        <w:pStyle w:val="TextBody"/>
        <w:bidi w:val="0"/>
        <w:spacing w:before="240" w:after="0"/>
        <w:jc w:val="left"/>
        <w:rPr>
          <w:rFonts w:ascii="Times New Roman" w:hAnsi="Times New Roman"/>
          <w:sz w:val="20"/>
        </w:rPr>
      </w:pPr>
      <w:r>
        <w:rPr>
          <w:rFonts w:ascii="Times New Roman" w:hAnsi="Times New Roman"/>
          <w:sz w:val="20"/>
        </w:rPr>
        <w:t xml:space="preserve">Net cash from operating activities amounted to RMB14.41 billion (US$2.03 billion) in 2023, which was primarily attributable to a net income of RMB8.20 billion (US$1.16 billion), adjusted for certain non-cash expenses consisting primarily of (i) share-based compensation expenses of RMB1.51 billion (US$212.7 million), (ii) depreciation of property and equipment of RMB1.30 billion (US$183.0 million), attributable to increases in warehouse and outlets, (iii) amortization of land use rights of RMB217.3 million (US$30.6 million) due to the increase of land use rights, and (iv) impairment of long-lived assets of RMB156.2 million (US$22.0 million) due to impairment of operating lease right-of-use assets of city outlets. The adjustment for changes in operating assets and liabilities primarily reflected (i) an increase in accounts payable of RMB2.57 billion (US$361.4 million) due to increased inventory purchases, (ii) an increase in accrued expenses and other current liabilities of RMB666.3 million (US$93.8 million), primarily due to increase in our operating expenses, and (iii) a decrease in inventories of RMB601.4 million (US$84.7 million) due to our efforts in improving our inventory management. </w:t>
      </w:r>
    </w:p>
    <w:p>
      <w:pPr>
        <w:pStyle w:val="TextBody"/>
        <w:bidi w:val="0"/>
        <w:spacing w:before="240" w:after="0"/>
        <w:jc w:val="left"/>
        <w:rPr>
          <w:rFonts w:ascii="Times New Roman" w:hAnsi="Times New Roman"/>
          <w:sz w:val="20"/>
        </w:rPr>
      </w:pPr>
      <w:r>
        <w:rPr>
          <w:rFonts w:ascii="Times New Roman" w:hAnsi="Times New Roman"/>
          <w:sz w:val="20"/>
        </w:rPr>
        <w:t xml:space="preserve">Net cash from operating activities amounted to RMB10.52 billion in 2022, which was primarily attributable to a net income of RMB6.31 billion, adjusted for certain non-cash expenses consisting primarily of (i) share-based compensation expenses of RMB1.21 billion, (ii) depreciation of property and equipment of RMB1.23 billion, attributable to increases in warehouse and outlets, (iii) impairment of long-lived assets of RMB239.3 million due to impairment of one of our warehouses and leasehold improvement of offline stores, (iv) investment gain and revaluation of investments of RMB236.4 million, primarily due to fair value changes recognized for equity investments, and (v) gain on disposal of equity method investees of RMB304.6 million, primarily due to the deemed disposal of equity method investee from acquisition of Zhengzhou Shan Shan Outlets Shopping Plaza Co., Ltd. The adjustment for changes in operating assets and liabilities primarily reflected (i) a decrease in inventories of RMB1.46 billion due to our efforts in improving our inventory management, (ii) an increase in accounts payable of RMB983.0 million due to our efforts in improving our procurement management, and (iii) a decrease in advances from customers and accrued expenses and other current liabilities of RMB343.2 million, primarily due to a decrease in our net revenues.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Investing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investing activities amounted to RMB3.57 billion (US$488.5 million) in 2024, primarily consisting of (i) RMB3.56 billion (US$488.1 million) capital expenditure relating to our construction and expansion of Shan Shan Outlets, land use rights, office buildings, as well as purchases of office and other operating equipment and IT software, (ii) RMB4.48 billion (US$614.4 million) used for purchase of short-term investments, partially offset by RMB4.61 billion (US$631.3 million) from redemption of short-term investments upon maturities, (iii) RMB412.9 million (US$56.6 million) from government subsidies received for land use rights, (iv) RMB374.9 million (US$51.4 million) paid for investment in equity method investments and other investments, primarily consisting of investment in private equity funds and other equity method investees, and (v) RMB250.5 million (US$34.3 million) of a deposit paid for an equity method investee.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investing activities amounted to RMB5.16 billion (US$726.8 million) in 2023, primarily consisting of (i) RMB5.23 billion (US$736.7 million) capital expenditure relating to our construction and expansion of Shan Shan Outlets, land use rights, office buildings, as well as purchases of office and other operating equipment and IT software, (ii) RMB3.96 billion (US$557.6 million) used for purchase of short-term investments, partially offset by RMB3.57 billion (US$502.2 million) from redemption of short-term investments upon maturities, (iii) RMB347.1 million (US$48.9 million) from government subsidies received for land use rights, (iv) RMB282.5 million (US$39.8 million) paid for investment in equity method investments and other investments, primarily consisting of investment in private equity funds and other equity method investees, (v) RMB199.0 million (US$28.0 million) of proceeds from disposal of property and equipment and land use rights, and (vi) RMB156.4 million (US$22.0 million) from other investing activities. </w:t>
      </w:r>
    </w:p>
    <w:p>
      <w:pPr>
        <w:pStyle w:val="TextBody"/>
        <w:bidi w:val="0"/>
        <w:spacing w:before="240" w:after="0"/>
        <w:jc w:val="left"/>
        <w:rPr>
          <w:rFonts w:ascii="Times New Roman" w:hAnsi="Times New Roman"/>
          <w:sz w:val="20"/>
        </w:rPr>
      </w:pPr>
      <w:r>
        <w:rPr>
          <w:rFonts w:ascii="Times New Roman" w:hAnsi="Times New Roman"/>
          <w:sz w:val="20"/>
        </w:rPr>
        <w:t xml:space="preserve">Net cash from investing activities amounted to RMB1.05 billion in 2022, primarily consisting of (i) RMB11.20 billion used for purchase of short-term investments, offset by RMB14.95 billion from redemption of short-term investments upon maturities, (ii) RMB3.10 billion capital expenditure relating to our construction and expansion of Shan Shan Outlets, land use rights, warehouses, as well as purchases of office and other operating equipment and IT software, (iii) RMB621.3 million received from loan repayments, offset by RMB269.3 million cash paid for loan originations, (iv) RMB489.9 million from government subsidies received for land use rights, (v) RMB387.5 million of payment for acquisition of Zhengzhou Shan Shan Outlets Shopping Plaza Co., Ltd., (vi) RMB283.7 million cash paid for investment in equity method investments and other investments, primarily consisting of investment in private equity funds and other equity method investees, and (vii) RMB180.5 million of proceeds from disposal of investment in equity method investment and other investments.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Activities </w:t>
      </w:r>
    </w:p>
    <w:p>
      <w:pPr>
        <w:pStyle w:val="TextBody"/>
        <w:bidi w:val="0"/>
        <w:spacing w:before="120" w:after="0"/>
        <w:jc w:val="left"/>
        <w:rPr>
          <w:rFonts w:ascii="Times New Roman" w:hAnsi="Times New Roman"/>
          <w:sz w:val="20"/>
        </w:rPr>
      </w:pPr>
      <w:r>
        <w:rPr>
          <w:rFonts w:ascii="Times New Roman" w:hAnsi="Times New Roman"/>
          <w:sz w:val="20"/>
        </w:rPr>
        <w:t xml:space="preserve">Net cash used in financing activities amounted to RMB4.97 billion (US$680.8 million) in 2024, primarily consisting of (i) RMB3.87 billion (US$529.6 million) of repurchase of ordinary shares, (ii) RMB5.44 billion (US$745.9 million) of repayment to bank and other borrowings, (iii) RMB1.68 billion (US$230.8 million) of dividend distribution to shareholders, (iv) RMB512.0 million (US$70.1 million) for acquisition of non-controlling interests, and partially offset by RMB6.40 billion (US$876.8 million) of proceeds from bank borrowings and other borrowings and RMB160.5 million (US$22.0 million) of capital contributions from non-controlling interests shareholders. </w:t>
      </w:r>
    </w:p>
    <w:p>
      <w:pPr>
        <w:pStyle w:val="TextBody"/>
        <w:bidi w:val="0"/>
        <w:spacing w:before="240" w:after="0"/>
        <w:jc w:val="left"/>
        <w:rPr>
          <w:rFonts w:ascii="Times New Roman" w:hAnsi="Times New Roman"/>
          <w:sz w:val="20"/>
        </w:rPr>
      </w:pPr>
      <w:r>
        <w:rPr>
          <w:rFonts w:ascii="Times New Roman" w:hAnsi="Times New Roman"/>
          <w:sz w:val="20"/>
        </w:rPr>
        <w:t xml:space="preserve">Net cash used in financing activities amounted to RMB6.15 billion (US$865.6 million) in 2023, primarily consisting of RMB5.11 billion (US$719.3 million) of repurchase of ordinary shares and RMB3.36 billion (US$472.7 million) of repayment to bank and other borrowings, partially offset by RMB2.09 billion (US$294.9 million) of proceeds from bank borrowings and other borrowings and RMB285.5 million (US$40.2 million) of capital contributions from non-controlling interests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cash used in financing activities amounted to RMB5.57 billion in 2022, primarily consisting of (i) RMB4.59 billion of proceeds from bank borrowings and other borrowings, offset by RMB4.05 billion of repayment to bank and other borrowings, (ii) RMB6.26 billion of repurchase of ordinary shares, and (iii) RMB185.2 million of capital contributions from non-controlling interests shareholders.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Our capital expenditures paid to acquire property and equipment and land use rights amounted to RMB3.10 billion, RMB5.23 billion and RMB3.56 billion (US$488.1 million) in the years ended December 31, 2022, 2023 and 2024, respectively. Out of the foregoing capital expenditures, we paid RMB671.8 million, RMB3.06 billion and RMB839.3 million (US$115.0 million) in the years ended December 31, 2022, 2023 and 2024, respectively, to acquire the land use rights of certain land located in China. Our capital expenditures were primarily for the expansion of Shan Shan Outlets, acquisition of land use rights, construction of office building and warehouses, and other infrastructure from 2020 through 2024. We expect our capital expenditures to decrease for the year 2025.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Holding Company Structure </w:t>
      </w:r>
    </w:p>
    <w:p>
      <w:pPr>
        <w:pStyle w:val="TextBody"/>
        <w:bidi w:val="0"/>
        <w:spacing w:before="120" w:after="0"/>
        <w:jc w:val="left"/>
        <w:rPr>
          <w:rFonts w:ascii="Times New Roman" w:hAnsi="Times New Roman"/>
          <w:sz w:val="20"/>
        </w:rPr>
      </w:pPr>
      <w:r>
        <w:rPr>
          <w:rFonts w:ascii="Times New Roman" w:hAnsi="Times New Roman"/>
          <w:sz w:val="20"/>
        </w:rPr>
        <w:t xml:space="preserve">Vipshop Holdings Limited is a holding company with no material operations of its own. We conduct our operations primarily through our wholly-owned subsidiaries and the consolidated variable interest entities in China. As a result, our ability to pay dividends depends upon dividends paid by our wholly-owned subsidiaries. If our wholly-owned subsidiaries or any newly formed subsidiaries incur debt on their own behalf in the future, the instruments governing their debt may restrict their ability to pay dividends to us. In addition, our wholly-owned subsidiaries are permitted to pay dividends to us only out of their retained earnings, if any, as determined in accordance with PRC accounting standards and regulations. Under PRC law, each of our wholly-owned PRC subsidiaries and the consolidated variable interest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We set aside amounts of RMB133.6 million, RMB150.1 million and RMB193.5 million (US$26.5 million) from current year’s net income to the general reserve during the years ended December 31, 2022, 2023 and 2024,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Material Cash Requirements </w:t>
      </w:r>
    </w:p>
    <w:p>
      <w:pPr>
        <w:pStyle w:val="TextBody"/>
        <w:bidi w:val="0"/>
        <w:spacing w:before="120" w:after="0"/>
        <w:jc w:val="left"/>
        <w:rPr>
          <w:rFonts w:ascii="Times New Roman" w:hAnsi="Times New Roman"/>
          <w:sz w:val="20"/>
        </w:rPr>
      </w:pPr>
      <w:r>
        <w:rPr>
          <w:rFonts w:ascii="Times New Roman" w:hAnsi="Times New Roman"/>
          <w:sz w:val="20"/>
        </w:rPr>
        <w:t xml:space="preserve">Other than the ordinary cash requirements for our operations, our material cash requirements as of December 31, 2024 and any subsequent interim period primarily include our operating lease obligations, capital expenditure commitments, purchase of services, debt obligations, and cash requirements for potential investments. </w:t>
      </w:r>
    </w:p>
    <w:p>
      <w:pPr>
        <w:pStyle w:val="TextBody"/>
        <w:bidi w:val="0"/>
        <w:spacing w:before="240" w:after="0"/>
        <w:jc w:val="left"/>
        <w:rPr>
          <w:rFonts w:ascii="Times New Roman" w:hAnsi="Times New Roman"/>
          <w:sz w:val="20"/>
        </w:rPr>
      </w:pPr>
      <w:r>
        <w:rPr>
          <w:rFonts w:ascii="Times New Roman" w:hAnsi="Times New Roman"/>
          <w:sz w:val="20"/>
        </w:rPr>
        <w:t xml:space="preserve">Our operating lease obligations primarily consist of the commitments under the lease agreements that expire at various dates from January 2025 through July 2038 for our office spaces, outlets, offline stores, employee department, and certain equipment. </w:t>
      </w:r>
    </w:p>
    <w:p>
      <w:pPr>
        <w:pStyle w:val="TextBody"/>
        <w:bidi w:val="0"/>
        <w:spacing w:before="240" w:after="0"/>
        <w:jc w:val="left"/>
        <w:rPr>
          <w:rFonts w:ascii="Times New Roman" w:hAnsi="Times New Roman"/>
          <w:sz w:val="20"/>
        </w:rPr>
      </w:pPr>
      <w:r>
        <w:rPr>
          <w:rFonts w:ascii="Times New Roman" w:hAnsi="Times New Roman"/>
          <w:sz w:val="20"/>
        </w:rPr>
        <w:t xml:space="preserve">Our debt obligations primarily consist of the principal amount and cash interests in connection with banks and other loans from a third party. </w:t>
      </w:r>
    </w:p>
    <w:p>
      <w:pPr>
        <w:pStyle w:val="TextBody"/>
        <w:bidi w:val="0"/>
        <w:spacing w:before="240" w:after="0"/>
        <w:jc w:val="left"/>
        <w:rPr>
          <w:rFonts w:ascii="Times New Roman" w:hAnsi="Times New Roman"/>
          <w:sz w:val="20"/>
        </w:rPr>
      </w:pPr>
      <w:r>
        <w:rPr>
          <w:rFonts w:ascii="Times New Roman" w:hAnsi="Times New Roman"/>
          <w:sz w:val="20"/>
        </w:rPr>
        <w:t xml:space="preserve">Our capital expenditure commitments primarily consist of contracted future purchases of property, plants, and equipment.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we had investment commitment of other several limited partnership funds of RMB654.0 million (US$89.6 million). The amount of our investment in and contribution to the private equity funds may be subject to adjustments in the event of commitment reduction or capital calls by the general partnership of these private equity funds. </w:t>
      </w:r>
    </w:p>
    <w:p>
      <w:pPr>
        <w:pStyle w:val="TextBody"/>
        <w:bidi w:val="0"/>
        <w:spacing w:before="240" w:after="0"/>
        <w:jc w:val="left"/>
        <w:rPr>
          <w:rFonts w:ascii="Times New Roman" w:hAnsi="Times New Roman"/>
          <w:sz w:val="20"/>
        </w:rPr>
      </w:pPr>
      <w:r>
        <w:rPr>
          <w:rFonts w:ascii="Times New Roman" w:hAnsi="Times New Roman"/>
          <w:sz w:val="20"/>
        </w:rPr>
        <w:t xml:space="preserve">We intend to fund our existing and future material cash requirements with our existing cash balance and other financing alternatives. We will continue to make cash commitments, including capital expenditures, to support the growth of our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of December 31, 2024, we had not entered into any other financial guarantees or other commitments to guarantee the payment obligations of any unconsolidated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minimum contractual obligations as of December 31, 2024. </w:t>
      </w:r>
    </w:p>
    <w:p>
      <w:pPr>
        <w:pStyle w:val="TextBody"/>
        <w:bidi w:val="0"/>
        <w:spacing w:before="0" w:after="0"/>
        <w:jc w:val="left"/>
        <w:rPr/>
      </w:pPr>
      <w:r>
        <w:rPr/>
        <w:t> </w:t>
      </w:r>
    </w:p>
    <w:tbl>
      <w:tblPr>
        <w:tblW w:w="8758" w:type="dxa"/>
        <w:jc w:val="left"/>
        <w:tblInd w:w="0" w:type="dxa"/>
        <w:tblLayout w:type="fixed"/>
        <w:tblCellMar>
          <w:top w:w="0" w:type="dxa"/>
          <w:left w:w="0" w:type="dxa"/>
          <w:bottom w:w="0" w:type="dxa"/>
          <w:right w:w="0" w:type="dxa"/>
        </w:tblCellMar>
      </w:tblPr>
      <w:tblGrid>
        <w:gridCol w:w="2795"/>
        <w:gridCol w:w="120"/>
        <w:gridCol w:w="60"/>
        <w:gridCol w:w="980"/>
        <w:gridCol w:w="60"/>
        <w:gridCol w:w="120"/>
        <w:gridCol w:w="60"/>
        <w:gridCol w:w="980"/>
        <w:gridCol w:w="60"/>
        <w:gridCol w:w="120"/>
        <w:gridCol w:w="65"/>
        <w:gridCol w:w="869"/>
        <w:gridCol w:w="60"/>
        <w:gridCol w:w="120"/>
        <w:gridCol w:w="65"/>
        <w:gridCol w:w="869"/>
        <w:gridCol w:w="60"/>
        <w:gridCol w:w="120"/>
        <w:gridCol w:w="76"/>
        <w:gridCol w:w="1024"/>
        <w:gridCol w:w="75"/>
      </w:tblGrid>
      <w:tr>
        <w:trPr/>
        <w:tc>
          <w:tcPr>
            <w:tcW w:w="2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68"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Payment Due by Period</w:t>
            </w:r>
          </w:p>
        </w:tc>
        <w:tc>
          <w:tcPr>
            <w:tcW w:w="75" w:type="dxa"/>
            <w:tcBorders/>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Less than</w:t>
              <w:br/>
              <w:t>1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3-5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More than</w:t>
              <w:br/>
              <w:t>5 years</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obligations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845,438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86,876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70,340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222,790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465,432</w:t>
            </w:r>
          </w:p>
        </w:tc>
        <w:tc>
          <w:tcPr>
            <w:tcW w:w="75" w:type="dxa"/>
            <w:tcBorders/>
            <w:shd w:fill="CCEEFF" w:val="cle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debt obligations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2,605,629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2,605,629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27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Capital expenditures commitment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1,199,691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997,829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150,281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46,126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5,455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Other than as discussed above, we did not have any significant capital and other commitments, long-term obligations or guarantees as of December 31, 2024. While the above indicates our material cash requirements as of December 31, 2024, the actual amounts we are eventually required to pay may be different in the event that any agreements are renegotiated, cancelled or terminated. </w:t>
      </w:r>
    </w:p>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275"/>
        <w:gridCol w:w="4580"/>
      </w:tblGrid>
      <w:tr>
        <w:trPr/>
        <w:tc>
          <w:tcPr>
            <w:tcW w:w="275" w:type="dxa"/>
            <w:tcBorders/>
            <w:vAlign w:val="center"/>
          </w:tcPr>
          <w:p>
            <w:pPr>
              <w:pStyle w:val="TableContents"/>
              <w:bidi w:val="0"/>
              <w:spacing w:before="0" w:after="283"/>
              <w:jc w:val="left"/>
              <w:rPr>
                <w:b/>
              </w:rPr>
            </w:pPr>
            <w:r>
              <w:rPr>
                <w:b/>
              </w:rPr>
              <w:t>C.</w:t>
            </w:r>
          </w:p>
        </w:tc>
        <w:tc>
          <w:tcPr>
            <w:tcW w:w="45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Research and Development, Patents and Licenses, etc.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Research and Development </w:t>
      </w:r>
    </w:p>
    <w:p>
      <w:pPr>
        <w:pStyle w:val="TextBody"/>
        <w:bidi w:val="0"/>
        <w:spacing w:before="120" w:after="0"/>
        <w:jc w:val="left"/>
        <w:rPr>
          <w:rFonts w:ascii="Times New Roman" w:hAnsi="Times New Roman"/>
          <w:i/>
          <w:sz w:val="20"/>
        </w:rPr>
      </w:pPr>
      <w:r>
        <w:rPr>
          <w:rFonts w:ascii="Times New Roman" w:hAnsi="Times New Roman"/>
          <w:i/>
          <w:sz w:val="20"/>
        </w:rPr>
        <w:t xml:space="preserve">Technology Infrastructure </w:t>
      </w:r>
    </w:p>
    <w:p>
      <w:pPr>
        <w:pStyle w:val="TextBody"/>
        <w:bidi w:val="0"/>
        <w:spacing w:before="120" w:after="0"/>
        <w:jc w:val="left"/>
        <w:rPr>
          <w:rFonts w:ascii="Times New Roman" w:hAnsi="Times New Roman"/>
          <w:sz w:val="20"/>
        </w:rPr>
      </w:pPr>
      <w:r>
        <w:rPr>
          <w:rFonts w:ascii="Times New Roman" w:hAnsi="Times New Roman"/>
          <w:sz w:val="20"/>
        </w:rPr>
        <w:t xml:space="preserve">Our technological capabilities play an important role in the success of our business, and enable us to enhance operating efficiency and site scalability. We rely on a combination of our internally developed proprietary technologies, open source solutions, and licensed technologies to optimize every aspect of our operations for the benefit of our customers and brand partners. We have invested in Artificial Intelligence (AI) and our in-house developed AI model enables our team to serve customers and brand partners with greater efficiency. For example, AI capabilities are increasingly applied to improve the relevancy and accuracy of search and recommendation so that customers of different intents are more likely to browse and shop across categories. AI-generated content such as product highlights, photos and videos are applied across our platform to optimize the overall shopping experience for customers. In addition, we have made initial attempts at other application scenarios such as shopping guide, marketing content, customer service and analytics tools for brand partners. </w:t>
      </w:r>
    </w:p>
    <w:p>
      <w:pPr>
        <w:pStyle w:val="TextBody"/>
        <w:bidi w:val="0"/>
        <w:spacing w:before="240" w:after="0"/>
        <w:jc w:val="left"/>
        <w:rPr>
          <w:rFonts w:ascii="Times New Roman" w:hAnsi="Times New Roman"/>
          <w:sz w:val="20"/>
        </w:rPr>
      </w:pPr>
      <w:r>
        <w:rPr>
          <w:rFonts w:ascii="Times New Roman" w:hAnsi="Times New Roman"/>
          <w:sz w:val="20"/>
        </w:rPr>
        <w:t xml:space="preserve">Our systems can be divided into front-end, middle-end, and back-end modules, all built on top of advanced technologies. Together, they form a reliable technology platform that optimizes customer experiences and supports efficient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front-end modules, which refer to modules supporting the user-interfaces of our platform, mainly include product display, member account management, category browsing, product searches, online shopping cart, order processing functions, payment, chatbots, and customer support functions. The front-end modules are supported by our proprietary content distribution network, dynamic and distributed cluster, and a core database, providing our customers with quick access to the product display they are interested in and facilitating a smooth online shopping experience. Please see “Item 4. Information on the Company—B. Business Overview—Payment, Fulfillment, and Return—Fulfillment” for details. </w:t>
      </w:r>
    </w:p>
    <w:p>
      <w:pPr>
        <w:pStyle w:val="TextBody"/>
        <w:bidi w:val="0"/>
        <w:spacing w:before="240" w:after="0"/>
        <w:jc w:val="left"/>
        <w:rPr>
          <w:rFonts w:ascii="Times New Roman" w:hAnsi="Times New Roman"/>
          <w:sz w:val="20"/>
        </w:rPr>
      </w:pPr>
      <w:r>
        <w:rPr>
          <w:rFonts w:ascii="Times New Roman" w:hAnsi="Times New Roman"/>
          <w:sz w:val="20"/>
        </w:rPr>
        <w:t xml:space="preserve">The mid-end modules, which refer to modules supporting the merchant platform that we have launched to equip our brand partners with refined analysis and insights as well as all-round operating capacities, deepen the synergies between our brand partners and us, and further improve operating performance. The merchant platform is an output of our proprietary data analytics and business intelligence capacities. It enables our brand partners to establish their own data analytics infrastructure and diversify their operations monitoring metrics, through which they can fine tune the marketing and branding strategies tailored for target customer groups, optimize their operating strategies, establish additional touchpoints to effectively direct customer traffic, and set up membership programs to further enhance customer loyalty. The merchant platform allows our brand partners and ourselves to simultaneously focus on improving customer growth and experience while optimizing each other’s business operations, in turn serving as an additional compelling value propositions that we offer to our brand partners. With such simultaneous development, we strengthen our relationships with the brand partners and open up more opportunities to pursue further in-depth collaborations.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back-end modules, which refer to modules supporting our business operations, mainly include customer service, ERP, warehouse and logistics management, product information management, business intelligence, and administration management systems. Our customer service system mainly consists of our customer relationship management system. Our ERP system is customized to integrate our business operations with brand partners on orders, accounting, and product distribution. Our operations system for warehouse and logistics management primarily consists of our warehouse management system, automating our warehouse and logistics operations and allowing us to efficiently manage our inventories, track our products, and deliver the orders to our customers in a timely fashion. We have designed our product information management system to perform a variety of functions. Other than basic product information management, it also offers category, pricing, and sales inventory management, and facilitates product lifecycle management for our online and offline businesses. These systems enhance the efficiency of our operations. </w:t>
      </w:r>
    </w:p>
    <w:p>
      <w:pPr>
        <w:pStyle w:val="TextBody"/>
        <w:bidi w:val="0"/>
        <w:spacing w:before="360" w:after="0"/>
        <w:jc w:val="left"/>
        <w:rPr>
          <w:rFonts w:ascii="Times New Roman" w:hAnsi="Times New Roman"/>
          <w:i/>
          <w:sz w:val="20"/>
        </w:rPr>
      </w:pPr>
      <w:r>
        <w:rPr>
          <w:rFonts w:ascii="Times New Roman" w:hAnsi="Times New Roman"/>
          <w:i/>
          <w:sz w:val="20"/>
        </w:rPr>
        <w:t xml:space="preserve">Technology-driven Analytical Capabilities </w:t>
      </w:r>
    </w:p>
    <w:p>
      <w:pPr>
        <w:pStyle w:val="TextBody"/>
        <w:bidi w:val="0"/>
        <w:spacing w:before="120" w:after="0"/>
        <w:jc w:val="left"/>
        <w:rPr>
          <w:rFonts w:ascii="Times New Roman" w:hAnsi="Times New Roman"/>
          <w:sz w:val="20"/>
        </w:rPr>
      </w:pPr>
      <w:r>
        <w:rPr>
          <w:rFonts w:ascii="Times New Roman" w:hAnsi="Times New Roman"/>
          <w:sz w:val="20"/>
        </w:rPr>
        <w:t xml:space="preserve">We have accumulated a large customer base and observed customer behavior and performance throughout our operations. Our customer relationship management and business intelligence systems enable us to effectively use our proprietary transaction information to further analyze and study customer behavior and customer preferences. We regularly use this information in planning our marketing initiatives for upcoming events and making profile-based personalized recommendations to enhance our customers’ shopping experiences. For instance, the comprehensive customer profiles allow us to provide personalized product recommendations to customers that are within their price range, suit their brand preference, and are within their categories of interest. We also use customer profiles in various scenarios for our sales initiatives to effectively interact with its customers, such as notification via push method, text messages, e-mails, and sales events on our WeChat Mini-Program and other social media platforms. In addition, we have developed a real-time customer-intent identification system, which employs proprietary algorithm technologies with recent and real time customer behavioral data to provide recommendations to customers based on the different intentions of customers visiting our platform. Furthermore, our business intelligence system is built with our proprietary cloud computing infrastructure, providing insights for many aspects of our business operations and site functionalities. </w:t>
      </w:r>
    </w:p>
    <w:p>
      <w:pPr>
        <w:pStyle w:val="TextBody"/>
        <w:bidi w:val="0"/>
        <w:spacing w:before="360" w:after="0"/>
        <w:jc w:val="left"/>
        <w:rPr>
          <w:rFonts w:ascii="Times New Roman" w:hAnsi="Times New Roman"/>
          <w:i/>
          <w:sz w:val="20"/>
        </w:rPr>
      </w:pPr>
      <w:r>
        <w:rPr>
          <w:rFonts w:ascii="Times New Roman" w:hAnsi="Times New Roman"/>
          <w:i/>
          <w:sz w:val="20"/>
        </w:rPr>
        <w:t xml:space="preserve">Safety and Scalability </w:t>
      </w:r>
    </w:p>
    <w:p>
      <w:pPr>
        <w:pStyle w:val="TextBody"/>
        <w:bidi w:val="0"/>
        <w:spacing w:before="120" w:after="0"/>
        <w:jc w:val="left"/>
        <w:rPr>
          <w:rFonts w:ascii="Times New Roman" w:hAnsi="Times New Roman"/>
          <w:sz w:val="20"/>
        </w:rPr>
      </w:pPr>
      <w:r>
        <w:rPr>
          <w:rFonts w:ascii="Times New Roman" w:hAnsi="Times New Roman"/>
          <w:sz w:val="20"/>
        </w:rPr>
        <w:t xml:space="preserve">We have developed disaster tolerant systems for our key business modules, which include real-time data mirroring, daily data back-up, and system redundancy solutions. We also adopted a “DevOps” methodology, which enables us to respond quickly towards business requests, significantly decreasing our development cost and improving our time-to-market. Our site is built upon real event processing platforms, and it leverages service-oriented architecture supported by internally developed cloud solutions. This enables us to achieve internal efficiency. Cybersecurity is another key aspect of site operations. Leveraging the real-time event processing systems that keep our site running smoothly, we have improved our protection against online and offline fraud and potential cyber-attacks such as DDoS. </w:t>
      </w:r>
    </w:p>
    <w:p>
      <w:pPr>
        <w:pStyle w:val="TextBody"/>
        <w:bidi w:val="0"/>
        <w:spacing w:before="240" w:after="0"/>
        <w:jc w:val="left"/>
        <w:rPr>
          <w:rFonts w:ascii="Times New Roman" w:hAnsi="Times New Roman"/>
          <w:sz w:val="20"/>
        </w:rPr>
      </w:pPr>
      <w:r>
        <w:rPr>
          <w:rFonts w:ascii="Times New Roman" w:hAnsi="Times New Roman"/>
          <w:sz w:val="20"/>
        </w:rPr>
        <w:t xml:space="preserve">Our technology and content expenses consist primarily of the compensation and benefits of our IT staff, telecommunications expenses, and expenses incurred in creating content for our sales events on our platform, including model fees and professional photography expenses. We incurred RMB1.61 billion, RMB1.77 billion and RMB1.89 billion (US$259.3 million) in technology and content expenses in 2022, 2023 and 2024,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We regard our trademarks, service marks, domain names, trade secrets, proprietary technologies, and similar intellectual property as critical to our success, and we rely on trademark, copyright, and trade secret protection laws in China and other jurisdictions, as well as confidentiality procedures and contractual provisions with our employees, partners, service providers, suppliers, and other parties to protect our proprietary rights. As of December 31, 2024, we had been granted 370 patents and submitted 1,054 patent applications in China, owned 2,264 registered trademarks in China and 103 registered trademarks outside China, 266 copyrights (including copyrights to 235 software products in China that we develop relating to various aspects of our operations), and 30 registered domain names that are material to our business, including vip.com and vipshop.com.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283"/>
              <w:jc w:val="left"/>
              <w:rPr>
                <w:b/>
              </w:rPr>
            </w:pPr>
            <w:r>
              <w:rPr>
                <w:b/>
              </w:rPr>
              <w:t>D.</w:t>
            </w:r>
          </w:p>
        </w:tc>
        <w:tc>
          <w:tcPr>
            <w:tcW w:w="16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Trend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than as disclosed elsewhere in this annual report, we are not aware of any trends, uncertainties, demands, commitments or events for the period since January 1, 2025 that are reasonably likely to have a material adverse effect on our revenues, income, profitability, liquidity or capital resources, or that caused the disclosed financial information to be not necessarily indicative of future operating results or financial conditions. </w:t>
      </w:r>
    </w:p>
    <w:p>
      <w:pPr>
        <w:pStyle w:val="TextBody"/>
        <w:bidi w:val="0"/>
        <w:spacing w:before="0" w:after="0"/>
        <w:jc w:val="left"/>
        <w:rPr/>
      </w:pPr>
      <w:r>
        <w:rPr/>
        <w:t> </w:t>
      </w:r>
    </w:p>
    <w:tbl>
      <w:tblPr>
        <w:tblW w:w="2875" w:type="dxa"/>
        <w:jc w:val="left"/>
        <w:tblInd w:w="0" w:type="dxa"/>
        <w:tblLayout w:type="fixed"/>
        <w:tblCellMar>
          <w:top w:w="0" w:type="dxa"/>
          <w:left w:w="0" w:type="dxa"/>
          <w:bottom w:w="0" w:type="dxa"/>
          <w:right w:w="0" w:type="dxa"/>
        </w:tblCellMar>
      </w:tblPr>
      <w:tblGrid>
        <w:gridCol w:w="260"/>
        <w:gridCol w:w="2615"/>
      </w:tblGrid>
      <w:tr>
        <w:trPr/>
        <w:tc>
          <w:tcPr>
            <w:tcW w:w="260" w:type="dxa"/>
            <w:tcBorders/>
            <w:vAlign w:val="center"/>
          </w:tcPr>
          <w:p>
            <w:pPr>
              <w:pStyle w:val="TableContents"/>
              <w:bidi w:val="0"/>
              <w:spacing w:before="0" w:after="283"/>
              <w:jc w:val="left"/>
              <w:rPr>
                <w:b/>
              </w:rPr>
            </w:pPr>
            <w:r>
              <w:rPr>
                <w:b/>
              </w:rPr>
              <w:t>E.</w:t>
            </w:r>
          </w:p>
        </w:tc>
        <w:tc>
          <w:tcPr>
            <w:tcW w:w="26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Critical Accounting Estimates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 accounting estimate is considered critical if it requires assumptions to be made based on assumptions about matters that are highly uncertain at the time such estimate is made and if different accounting estimates that reasonably could have been used, or changes in the accounting estimates that are reasonably likely to occur, could materially impact the consolidated financial statements. We believe that the following accounting estimates involve a higher degree of judgment and complexity in their application of assumptions. </w:t>
      </w:r>
    </w:p>
    <w:p>
      <w:pPr>
        <w:pStyle w:val="TextBody"/>
        <w:bidi w:val="0"/>
        <w:spacing w:before="240" w:after="0"/>
        <w:jc w:val="left"/>
        <w:rPr>
          <w:rFonts w:ascii="Times New Roman" w:hAnsi="Times New Roman"/>
          <w:sz w:val="20"/>
        </w:rPr>
      </w:pPr>
      <w:r>
        <w:rPr>
          <w:rFonts w:ascii="Times New Roman" w:hAnsi="Times New Roman"/>
          <w:sz w:val="20"/>
        </w:rPr>
        <w:t xml:space="preserve">We prepare our consolidated financial statements in conformity with U.S. GAAP, which requires us to make judgments, estimates and assumptions. We continually evaluate these estimates and assumptions based on the most recently available information, our own historical experiences and various other assumptions that we believe to be reasonable under the circumstances. Since the use of estimates is an integral component of the financial reporting process, actual results could differ from our expectations as a result of changes in our estimates.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We accounted for revenue in accordance with Topic 606, “Revenue from Contracts with Customers.” </w:t>
      </w:r>
    </w:p>
    <w:p>
      <w:pPr>
        <w:pStyle w:val="TextBody"/>
        <w:bidi w:val="0"/>
        <w:spacing w:before="360" w:after="0"/>
        <w:jc w:val="left"/>
        <w:rPr>
          <w:rFonts w:ascii="Times New Roman" w:hAnsi="Times New Roman"/>
          <w:i/>
          <w:sz w:val="20"/>
        </w:rPr>
      </w:pPr>
      <w:r>
        <w:rPr>
          <w:rFonts w:ascii="Times New Roman" w:hAnsi="Times New Roman"/>
          <w:i/>
          <w:sz w:val="20"/>
        </w:rPr>
        <w:t xml:space="preserve">Product 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We derive a majority of our revenue from online product revenue. We recognize revenue from the sale of apparel, fashion goods, cosmetics, home goods and lifestyle products, and other merchandise through our online platforms, including our internet website and cellular phone application. We recognize revenue at the point of time when the goods have been accepted by the customers. The customers have the options to pay for the goods in advance or over an agreed-upon installment period. The delivery day estimate was determined based on the average delivery days for sales made during the last month of the reporting period, derived from customer locations and delivery reports. A one-day change in the estimated goods in-transit period would result in an increase or decrease of approximately RMB469.7 million, RMB436.2 million and RMB560.1 million (US$76.1 million) to our total net revenues in the years ended December 31, 2022, 2023 and 2024,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Return rights </w:t>
      </w:r>
    </w:p>
    <w:p>
      <w:pPr>
        <w:pStyle w:val="TextBody"/>
        <w:bidi w:val="0"/>
        <w:spacing w:before="120" w:after="0"/>
        <w:jc w:val="left"/>
        <w:rPr>
          <w:rFonts w:ascii="Times New Roman" w:hAnsi="Times New Roman"/>
          <w:sz w:val="20"/>
        </w:rPr>
      </w:pPr>
      <w:r>
        <w:rPr>
          <w:rFonts w:ascii="Times New Roman" w:hAnsi="Times New Roman"/>
          <w:sz w:val="20"/>
        </w:rPr>
        <w:t xml:space="preserve">We offer our online sales customers with a right of return for a seven-day period upon receipt of the products on sales from our Vipshop Online Platform. We reduce product revenues by an estimate of expected customer merchandise returns, which is calculated based on historical return patterns and recorded as a refund liability included in accrued expenses and other current liabilities. The estimated refund liability contributed 0.3%, 0.4% and 0.5% of the net revenues for the years ended December 31, 2022, 2023 and 2024,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Inventory write-down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consisting of products available for sales, are valued at the lower of cost or net realizable value with cost determined using the weighted average cost method. Net realizable value is based on estimated selling prices in the ordinary course of business, less reasonably predictable transportation cost. Adjustments are recorded when estimated net realizable value is less than cost. Write-downs are recorded in cost of revenues in the consolidated statements of income and comprehensive income. </w:t>
      </w:r>
    </w:p>
    <w:p>
      <w:pPr>
        <w:pStyle w:val="TextBody"/>
        <w:bidi w:val="0"/>
        <w:spacing w:before="240" w:after="0"/>
        <w:jc w:val="left"/>
        <w:rPr>
          <w:rFonts w:ascii="Times New Roman" w:hAnsi="Times New Roman"/>
          <w:sz w:val="20"/>
        </w:rPr>
      </w:pPr>
      <w:r>
        <w:rPr>
          <w:rFonts w:ascii="Times New Roman" w:hAnsi="Times New Roman"/>
          <w:sz w:val="20"/>
        </w:rPr>
        <w:t xml:space="preserve">Inventory write-down is estimated based on significant management estimates and assumptions used to determine the write-down percentages that are applied to different aging groups and the assessed condition of the merchandise within each category. In determining the write-down percentages on inventories, the Company takes into considerations of factors, such as the inventories’ aging, historical trends, forecasted demands, expected selling prices, and future promotional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Income tax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income taxes in PRC and other jurisdictions. We exercise significant judgment and record a provision for income taxes for the anticipated tax consequences of the reported results of operations using the asset and liability method. Under this method, we recognize deferred income tax assets and liabilities for the expected future tax consequences of temporary differences between the financial reporting and tax bases of assets and liabilities, as well as for loss and tax credit carryforwards. Deferred tax assets and liabilities are measured using the tax rates that are expected to apply to taxable income for the years in which those tax assets and liabilities are expected to be realized or settled. We recognize the deferred income tax effects of a change in tax rates in the period of the enactment. </w:t>
      </w:r>
    </w:p>
    <w:p>
      <w:pPr>
        <w:pStyle w:val="TextBody"/>
        <w:bidi w:val="0"/>
        <w:spacing w:before="240" w:after="0"/>
        <w:jc w:val="left"/>
        <w:rPr>
          <w:rFonts w:ascii="Times New Roman" w:hAnsi="Times New Roman"/>
          <w:sz w:val="20"/>
        </w:rPr>
      </w:pPr>
      <w:r>
        <w:rPr>
          <w:rFonts w:ascii="Times New Roman" w:hAnsi="Times New Roman"/>
          <w:sz w:val="20"/>
        </w:rPr>
        <w:t xml:space="preserve">We record a valuation allowance to reduce our deferred tax assets to the net amount that we believe is more likely than not to be realized. The recognition of deferred tax assets is based on the assessment of whether it is probable that sufficient taxable profit will be available in the future to utilize the deductible temporary differences and the enacted tax rate will be in effect in the period in which the temporary differences are expected to reverse. This assessment requires estimates of the future financial performance of a particular legal entity or a tax group that has recognized the deferred tax asset. The estimates of the future financial performance and the applicability of preferential tax rates attributed to the uncertainty of the estimate. </w:t>
      </w:r>
    </w:p>
    <w:p>
      <w:pPr>
        <w:pStyle w:val="TextBody"/>
        <w:bidi w:val="0"/>
        <w:spacing w:before="240" w:after="0"/>
        <w:jc w:val="left"/>
        <w:rPr>
          <w:rFonts w:ascii="Times New Roman" w:hAnsi="Times New Roman"/>
          <w:sz w:val="20"/>
        </w:rPr>
      </w:pPr>
      <w:r>
        <w:rPr>
          <w:rFonts w:ascii="Times New Roman" w:hAnsi="Times New Roman"/>
          <w:sz w:val="20"/>
        </w:rPr>
        <w:t xml:space="preserve">We recognize in our consolidated financial statements the benefit of a tax position if the tax position is “more likely than not” to prevail based on the facts and technical merits of the position. Tax positions that meet the “more likely than not” recognition threshold are measured at the largest amount of tax benefit that has a greater than 50% likelihood of being realized upon settlement. We estimate our liability for unrecognized tax benefits which are periodically assessed and may be affected by changing interpretations of laws, rulings by tax authorities, changes and/or developments with respect to tax audits, and expiration of the statute of limitations. The ultimate outcome for a particular tax position may not be determined with certainty prior to the conclusion of a tax audit and, in some cases, appeal or litigation process. The actual benefits ultimately realized may differ from our estimates. As each audit is concluded, adjustments, if any, are recorded in our consolidated financial statements in the period in which the audit is concluded. Additionally, in future periods, changes in facts, circumstances, and new information may require us to adjust the recognition and measurement estimates with regard to individual tax positions. Changes in recognition and measurement estimates are recognized in the period in which the changes occur. As of December 31, 2023 and 2024, we did not have any significant unrecognized uncertain tax positions.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Recent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For a summary of recently issued accounting pronouncements, see Note 2(aj) to the consolidated financial statements of Vipshop Holdings Limited pursuant to Item 18 of Part III of this annual report.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175" w:type="dxa"/>
        <w:jc w:val="left"/>
        <w:tblInd w:w="0" w:type="dxa"/>
        <w:tblLayout w:type="fixed"/>
        <w:tblCellMar>
          <w:top w:w="0" w:type="dxa"/>
          <w:left w:w="0" w:type="dxa"/>
          <w:bottom w:w="0" w:type="dxa"/>
          <w:right w:w="0" w:type="dxa"/>
        </w:tblCellMar>
      </w:tblPr>
      <w:tblGrid>
        <w:gridCol w:w="905"/>
        <w:gridCol w:w="5270"/>
      </w:tblGrid>
      <w:tr>
        <w:trPr/>
        <w:tc>
          <w:tcPr>
            <w:tcW w:w="905" w:type="dxa"/>
            <w:tcBorders/>
            <w:vAlign w:val="center"/>
          </w:tcPr>
          <w:p>
            <w:pPr>
              <w:pStyle w:val="TableContents"/>
              <w:bidi w:val="0"/>
              <w:spacing w:before="0" w:after="283"/>
              <w:jc w:val="left"/>
              <w:rPr>
                <w:b/>
              </w:rPr>
            </w:pPr>
            <w:bookmarkStart w:id="12" w:name="toc907177_9"/>
            <w:bookmarkEnd w:id="12"/>
            <w:r>
              <w:rPr>
                <w:b/>
              </w:rPr>
              <w:t>ITEM 6.</w:t>
            </w:r>
          </w:p>
        </w:tc>
        <w:tc>
          <w:tcPr>
            <w:tcW w:w="52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DIRECTORS, SENIOR MANAGEMENT AND EMPLOYEES </w:t>
            </w:r>
          </w:p>
        </w:tc>
      </w:tr>
    </w:tbl>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275"/>
        <w:gridCol w:w="2990"/>
      </w:tblGrid>
      <w:tr>
        <w:trPr/>
        <w:tc>
          <w:tcPr>
            <w:tcW w:w="275" w:type="dxa"/>
            <w:tcBorders/>
            <w:vAlign w:val="center"/>
          </w:tcPr>
          <w:p>
            <w:pPr>
              <w:pStyle w:val="TableContents"/>
              <w:bidi w:val="0"/>
              <w:spacing w:before="0" w:after="283"/>
              <w:jc w:val="left"/>
              <w:rPr>
                <w:b/>
              </w:rPr>
            </w:pPr>
            <w:r>
              <w:rPr>
                <w:b/>
              </w:rPr>
              <w:t>A.</w:t>
            </w:r>
          </w:p>
        </w:tc>
        <w:tc>
          <w:tcPr>
            <w:tcW w:w="29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Directors and Senior Management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regarding our directors and executive officers as of the date of this annual report. None of our directors or directors of our operating entities are officials of the Chinese Communist Party. </w:t>
      </w:r>
    </w:p>
    <w:p>
      <w:pPr>
        <w:pStyle w:val="TextBody"/>
        <w:bidi w:val="0"/>
        <w:spacing w:before="0" w:after="0"/>
        <w:jc w:val="left"/>
        <w:rPr/>
      </w:pPr>
      <w:r>
        <w:rPr/>
        <w:t> </w:t>
      </w:r>
    </w:p>
    <w:tbl>
      <w:tblPr>
        <w:tblW w:w="9240" w:type="dxa"/>
        <w:jc w:val="left"/>
        <w:tblInd w:w="0" w:type="dxa"/>
        <w:tblLayout w:type="fixed"/>
        <w:tblCellMar>
          <w:top w:w="0" w:type="dxa"/>
          <w:left w:w="0" w:type="dxa"/>
          <w:bottom w:w="0" w:type="dxa"/>
          <w:right w:w="0" w:type="dxa"/>
        </w:tblCellMar>
      </w:tblPr>
      <w:tblGrid>
        <w:gridCol w:w="2405"/>
        <w:gridCol w:w="120"/>
        <w:gridCol w:w="305"/>
        <w:gridCol w:w="120"/>
        <w:gridCol w:w="6290"/>
      </w:tblGrid>
      <w:tr>
        <w:trPr/>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90"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Directors and Executive Officers</w:t>
            </w:r>
          </w:p>
        </w:tc>
        <w:tc>
          <w:tcPr>
            <w:tcW w:w="120" w:type="dxa"/>
            <w:tcBorders/>
            <w:vAlign w:val="center"/>
          </w:tcPr>
          <w:p>
            <w:pPr>
              <w:pStyle w:val="TableContents"/>
              <w:bidi w:val="0"/>
              <w:spacing w:before="0" w:after="283"/>
              <w:jc w:val="left"/>
              <w:rPr/>
            </w:pPr>
            <w:r>
              <w:rPr/>
              <w:t>  </w:t>
            </w:r>
          </w:p>
        </w:tc>
        <w:tc>
          <w:tcPr>
            <w:tcW w:w="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Age</w:t>
            </w:r>
          </w:p>
        </w:tc>
        <w:tc>
          <w:tcPr>
            <w:tcW w:w="120" w:type="dxa"/>
            <w:tcBorders/>
            <w:vAlign w:val="center"/>
          </w:tcPr>
          <w:p>
            <w:pPr>
              <w:pStyle w:val="TableContents"/>
              <w:bidi w:val="0"/>
              <w:spacing w:before="0" w:after="283"/>
              <w:jc w:val="left"/>
              <w:rPr/>
            </w:pPr>
            <w:r>
              <w:rPr/>
              <w:t>  </w:t>
            </w:r>
          </w:p>
        </w:tc>
        <w:tc>
          <w:tcPr>
            <w:tcW w:w="62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Position/Title</w:t>
            </w:r>
          </w:p>
        </w:tc>
      </w:tr>
      <w:tr>
        <w:trPr/>
        <w:tc>
          <w:tcPr>
            <w:tcW w:w="2405" w:type="dxa"/>
            <w:tcBorders/>
            <w:vAlign w:val="center"/>
          </w:tcPr>
          <w:p>
            <w:pPr>
              <w:pStyle w:val="TableContents"/>
              <w:bidi w:val="0"/>
              <w:spacing w:before="0" w:after="283"/>
              <w:jc w:val="left"/>
              <w:rPr/>
            </w:pPr>
            <w:r>
              <w:rPr/>
              <w:t>Eric Ya Shen</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53</w:t>
            </w:r>
          </w:p>
        </w:tc>
        <w:tc>
          <w:tcPr>
            <w:tcW w:w="12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Chairman of the Board of Directors, Chief Executive Officer</w:t>
            </w:r>
          </w:p>
        </w:tc>
      </w:tr>
      <w:tr>
        <w:trPr/>
        <w:tc>
          <w:tcPr>
            <w:tcW w:w="2405" w:type="dxa"/>
            <w:tcBorders/>
            <w:vAlign w:val="center"/>
          </w:tcPr>
          <w:p>
            <w:pPr>
              <w:pStyle w:val="TableContents"/>
              <w:bidi w:val="0"/>
              <w:spacing w:before="0" w:after="283"/>
              <w:jc w:val="left"/>
              <w:rPr/>
            </w:pPr>
            <w:r>
              <w:rPr/>
              <w:t>Arthur Xiaobo Hong</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52</w:t>
            </w:r>
          </w:p>
        </w:tc>
        <w:tc>
          <w:tcPr>
            <w:tcW w:w="12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Vice Chairman of the Board of Directors, Chief Operating Officer</w:t>
            </w:r>
          </w:p>
        </w:tc>
      </w:tr>
      <w:tr>
        <w:trPr/>
        <w:tc>
          <w:tcPr>
            <w:tcW w:w="2405" w:type="dxa"/>
            <w:tcBorders/>
            <w:vAlign w:val="center"/>
          </w:tcPr>
          <w:p>
            <w:pPr>
              <w:pStyle w:val="TableContents"/>
              <w:bidi w:val="0"/>
              <w:spacing w:before="0" w:after="283"/>
              <w:jc w:val="left"/>
              <w:rPr/>
            </w:pPr>
            <w:r>
              <w:rPr/>
              <w:t>Martin Chi Ping Lau</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52</w:t>
            </w:r>
          </w:p>
        </w:tc>
        <w:tc>
          <w:tcPr>
            <w:tcW w:w="12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Director</w:t>
            </w:r>
          </w:p>
        </w:tc>
      </w:tr>
      <w:tr>
        <w:trPr/>
        <w:tc>
          <w:tcPr>
            <w:tcW w:w="2405" w:type="dxa"/>
            <w:tcBorders/>
            <w:vAlign w:val="center"/>
          </w:tcPr>
          <w:p>
            <w:pPr>
              <w:pStyle w:val="TableContents"/>
              <w:bidi w:val="0"/>
              <w:spacing w:before="0" w:after="283"/>
              <w:jc w:val="left"/>
              <w:rPr/>
            </w:pPr>
            <w:r>
              <w:rPr/>
              <w:t>Jacky Yu Xu</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53</w:t>
            </w:r>
          </w:p>
        </w:tc>
        <w:tc>
          <w:tcPr>
            <w:tcW w:w="12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Director</w:t>
            </w:r>
          </w:p>
        </w:tc>
      </w:tr>
      <w:tr>
        <w:trPr/>
        <w:tc>
          <w:tcPr>
            <w:tcW w:w="2405" w:type="dxa"/>
            <w:tcBorders/>
            <w:vAlign w:val="center"/>
          </w:tcPr>
          <w:p>
            <w:pPr>
              <w:pStyle w:val="TableContents"/>
              <w:bidi w:val="0"/>
              <w:spacing w:before="0" w:after="283"/>
              <w:jc w:val="left"/>
              <w:rPr/>
            </w:pPr>
            <w:r>
              <w:rPr/>
              <w:t>Donghao Yang</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53</w:t>
            </w:r>
          </w:p>
        </w:tc>
        <w:tc>
          <w:tcPr>
            <w:tcW w:w="12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Director</w:t>
            </w:r>
          </w:p>
        </w:tc>
      </w:tr>
      <w:tr>
        <w:trPr/>
        <w:tc>
          <w:tcPr>
            <w:tcW w:w="2405" w:type="dxa"/>
            <w:tcBorders/>
            <w:vAlign w:val="center"/>
          </w:tcPr>
          <w:p>
            <w:pPr>
              <w:pStyle w:val="TableContents"/>
              <w:bidi w:val="0"/>
              <w:spacing w:before="0" w:after="283"/>
              <w:jc w:val="left"/>
              <w:rPr/>
            </w:pPr>
            <w:r>
              <w:rPr/>
              <w:t>Chun Liu(1)</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57</w:t>
            </w:r>
          </w:p>
        </w:tc>
        <w:tc>
          <w:tcPr>
            <w:tcW w:w="12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Independent Director</w:t>
            </w:r>
          </w:p>
        </w:tc>
      </w:tr>
      <w:tr>
        <w:trPr/>
        <w:tc>
          <w:tcPr>
            <w:tcW w:w="2405" w:type="dxa"/>
            <w:tcBorders/>
            <w:vAlign w:val="center"/>
          </w:tcPr>
          <w:p>
            <w:pPr>
              <w:pStyle w:val="TableContents"/>
              <w:bidi w:val="0"/>
              <w:spacing w:before="0" w:after="283"/>
              <w:jc w:val="left"/>
              <w:rPr/>
            </w:pPr>
            <w:r>
              <w:rPr/>
              <w:t>Frank Lin(2)</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60</w:t>
            </w:r>
          </w:p>
        </w:tc>
        <w:tc>
          <w:tcPr>
            <w:tcW w:w="12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Independent Director</w:t>
            </w:r>
          </w:p>
        </w:tc>
      </w:tr>
      <w:tr>
        <w:trPr/>
        <w:tc>
          <w:tcPr>
            <w:tcW w:w="2405" w:type="dxa"/>
            <w:tcBorders/>
            <w:vAlign w:val="center"/>
          </w:tcPr>
          <w:p>
            <w:pPr>
              <w:pStyle w:val="TableContents"/>
              <w:bidi w:val="0"/>
              <w:spacing w:before="0" w:after="283"/>
              <w:jc w:val="left"/>
              <w:rPr/>
            </w:pPr>
            <w:r>
              <w:rPr/>
              <w:t>Xing Liu(3)</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54</w:t>
            </w:r>
          </w:p>
        </w:tc>
        <w:tc>
          <w:tcPr>
            <w:tcW w:w="12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Independent Director</w:t>
            </w:r>
          </w:p>
        </w:tc>
      </w:tr>
      <w:tr>
        <w:trPr/>
        <w:tc>
          <w:tcPr>
            <w:tcW w:w="2405" w:type="dxa"/>
            <w:tcBorders/>
            <w:vAlign w:val="center"/>
          </w:tcPr>
          <w:p>
            <w:pPr>
              <w:pStyle w:val="TableContents"/>
              <w:bidi w:val="0"/>
              <w:spacing w:before="0" w:after="283"/>
              <w:jc w:val="left"/>
              <w:rPr/>
            </w:pPr>
            <w:r>
              <w:rPr/>
              <w:t>Kathleen Chien(1)(2)(3)</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55</w:t>
            </w:r>
          </w:p>
        </w:tc>
        <w:tc>
          <w:tcPr>
            <w:tcW w:w="12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Independent Director</w:t>
            </w:r>
          </w:p>
        </w:tc>
      </w:tr>
      <w:tr>
        <w:trPr/>
        <w:tc>
          <w:tcPr>
            <w:tcW w:w="2405" w:type="dxa"/>
            <w:tcBorders/>
            <w:vAlign w:val="center"/>
          </w:tcPr>
          <w:p>
            <w:pPr>
              <w:pStyle w:val="TableContents"/>
              <w:bidi w:val="0"/>
              <w:spacing w:before="0" w:after="283"/>
              <w:jc w:val="left"/>
              <w:rPr/>
            </w:pPr>
            <w:r>
              <w:rPr/>
              <w:t>Nanyan Zheng(1)(2)(3)</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56</w:t>
            </w:r>
          </w:p>
        </w:tc>
        <w:tc>
          <w:tcPr>
            <w:tcW w:w="12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Independent Director</w:t>
            </w:r>
          </w:p>
        </w:tc>
      </w:tr>
      <w:tr>
        <w:trPr/>
        <w:tc>
          <w:tcPr>
            <w:tcW w:w="2405" w:type="dxa"/>
            <w:tcBorders/>
            <w:vAlign w:val="center"/>
          </w:tcPr>
          <w:p>
            <w:pPr>
              <w:pStyle w:val="TableContents"/>
              <w:bidi w:val="0"/>
              <w:spacing w:before="0" w:after="283"/>
              <w:jc w:val="left"/>
              <w:rPr/>
            </w:pPr>
            <w:r>
              <w:rPr/>
              <w:t>Mark Wang</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41</w:t>
            </w:r>
          </w:p>
        </w:tc>
        <w:tc>
          <w:tcPr>
            <w:tcW w:w="12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Chief Financial Officer</w:t>
            </w:r>
          </w:p>
        </w:tc>
      </w:tr>
      <w:tr>
        <w:trPr/>
        <w:tc>
          <w:tcPr>
            <w:tcW w:w="2405" w:type="dxa"/>
            <w:tcBorders/>
            <w:vAlign w:val="center"/>
          </w:tcPr>
          <w:p>
            <w:pPr>
              <w:pStyle w:val="TableContents"/>
              <w:bidi w:val="0"/>
              <w:spacing w:before="0" w:after="283"/>
              <w:jc w:val="left"/>
              <w:rPr/>
            </w:pPr>
            <w:r>
              <w:rPr/>
              <w:t>Mike Li</w:t>
            </w:r>
          </w:p>
        </w:tc>
        <w:tc>
          <w:tcPr>
            <w:tcW w:w="12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center"/>
              <w:rPr/>
            </w:pPr>
            <w:r>
              <w:rPr/>
              <w:t>47</w:t>
            </w:r>
          </w:p>
        </w:tc>
        <w:tc>
          <w:tcPr>
            <w:tcW w:w="120" w:type="dxa"/>
            <w:tcBorders/>
            <w:vAlign w:val="center"/>
          </w:tcPr>
          <w:p>
            <w:pPr>
              <w:pStyle w:val="TableContents"/>
              <w:bidi w:val="0"/>
              <w:spacing w:before="0" w:after="283"/>
              <w:jc w:val="left"/>
              <w:rPr/>
            </w:pPr>
            <w:r>
              <w:rPr/>
              <w:t>  </w:t>
            </w:r>
          </w:p>
        </w:tc>
        <w:tc>
          <w:tcPr>
            <w:tcW w:w="6290" w:type="dxa"/>
            <w:tcBorders/>
            <w:vAlign w:val="center"/>
          </w:tcPr>
          <w:p>
            <w:pPr>
              <w:pStyle w:val="TableContents"/>
              <w:bidi w:val="0"/>
              <w:spacing w:before="0" w:after="283"/>
              <w:jc w:val="left"/>
              <w:rPr/>
            </w:pPr>
            <w:r>
              <w:rPr/>
              <w:t>Chief Technology Officer</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6"/>
        </w:rPr>
      </w:pPr>
      <w:r>
        <w:rPr>
          <w:rFonts w:ascii="Times New Roman" w:hAnsi="Times New Roman"/>
          <w:sz w:val="16"/>
        </w:rPr>
        <w:t xml:space="preserve">Notes: </w:t>
      </w:r>
    </w:p>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283"/>
              <w:jc w:val="left"/>
              <w:rPr/>
            </w:pPr>
            <w:r>
              <w:rPr/>
              <w:t>(1)</w:t>
            </w:r>
          </w:p>
        </w:tc>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our audit committee. </w:t>
            </w:r>
          </w:p>
        </w:tc>
      </w:tr>
    </w:tbl>
    <w:tbl>
      <w:tblPr>
        <w:tblW w:w="3715" w:type="dxa"/>
        <w:jc w:val="left"/>
        <w:tblInd w:w="0" w:type="dxa"/>
        <w:tblLayout w:type="fixed"/>
        <w:tblCellMar>
          <w:top w:w="0" w:type="dxa"/>
          <w:left w:w="0" w:type="dxa"/>
          <w:bottom w:w="0" w:type="dxa"/>
          <w:right w:w="0" w:type="dxa"/>
        </w:tblCellMar>
      </w:tblPr>
      <w:tblGrid>
        <w:gridCol w:w="305"/>
        <w:gridCol w:w="3410"/>
      </w:tblGrid>
      <w:tr>
        <w:trPr/>
        <w:tc>
          <w:tcPr>
            <w:tcW w:w="305" w:type="dxa"/>
            <w:tcBorders/>
            <w:vAlign w:val="center"/>
          </w:tcPr>
          <w:p>
            <w:pPr>
              <w:pStyle w:val="TableContents"/>
              <w:bidi w:val="0"/>
              <w:spacing w:before="0" w:after="283"/>
              <w:jc w:val="left"/>
              <w:rPr/>
            </w:pPr>
            <w:r>
              <w:rPr/>
              <w:t>(2)</w:t>
            </w:r>
          </w:p>
        </w:tc>
        <w:tc>
          <w:tcPr>
            <w:tcW w:w="34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our compensation committee. </w:t>
            </w:r>
          </w:p>
        </w:tc>
      </w:tr>
    </w:tbl>
    <w:tbl>
      <w:tblPr>
        <w:tblW w:w="5665" w:type="dxa"/>
        <w:jc w:val="left"/>
        <w:tblInd w:w="0" w:type="dxa"/>
        <w:tblLayout w:type="fixed"/>
        <w:tblCellMar>
          <w:top w:w="0" w:type="dxa"/>
          <w:left w:w="0" w:type="dxa"/>
          <w:bottom w:w="0" w:type="dxa"/>
          <w:right w:w="0" w:type="dxa"/>
        </w:tblCellMar>
      </w:tblPr>
      <w:tblGrid>
        <w:gridCol w:w="305"/>
        <w:gridCol w:w="5360"/>
      </w:tblGrid>
      <w:tr>
        <w:trPr/>
        <w:tc>
          <w:tcPr>
            <w:tcW w:w="305" w:type="dxa"/>
            <w:tcBorders/>
            <w:vAlign w:val="center"/>
          </w:tcPr>
          <w:p>
            <w:pPr>
              <w:pStyle w:val="TableContents"/>
              <w:bidi w:val="0"/>
              <w:spacing w:before="0" w:after="283"/>
              <w:jc w:val="left"/>
              <w:rPr/>
            </w:pPr>
            <w:r>
              <w:rPr/>
              <w:t>(3)</w:t>
            </w:r>
          </w:p>
        </w:tc>
        <w:tc>
          <w:tcPr>
            <w:tcW w:w="5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 of our nominating and corporate governance committee.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currently effective articles of association of our company, our board of directors consists of ten directors, including one director, Mr. Martin Chi Ping Lau, appointed by Tencent. Each of our directors will hold office until the expiration of his or her term and until his or her successor should have been elected and qualified. There are no family relationships among any of the directors or executive officers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Biographical Information </w:t>
      </w:r>
    </w:p>
    <w:p>
      <w:pPr>
        <w:pStyle w:val="TextBody"/>
        <w:bidi w:val="0"/>
        <w:spacing w:before="12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Ya Shen, also known as Eric Ya Shen</w:t>
      </w:r>
      <w:r>
        <w:rPr>
          <w:rFonts w:ascii="Times New Roman" w:hAnsi="Times New Roman"/>
          <w:sz w:val="20"/>
        </w:rPr>
        <w:t xml:space="preserve"> is our co-founder and has served as the chairman of our board of directors and chief executive officer since our inception in August 2010. He has over 20 years of experience in the distribution of consumer goods and e-commerce industry. From 2004 to 2012, Mr. Shen served as the chairman of the board of directors of Guangzhou NEM Import and Export Co., Ltd., a company primarily engaging in the import and export of products. Mr. Shen received an EMBA degree from Cheung Kong Graduate School of Business in Beijing, China in September 2010 and an associate degree in telecommunication from Shanghai Railway College in 1990.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Arthur Xiaobo Hong</w:t>
      </w:r>
      <w:r>
        <w:rPr>
          <w:rFonts w:ascii="Times New Roman" w:hAnsi="Times New Roman"/>
          <w:sz w:val="20"/>
        </w:rPr>
        <w:t xml:space="preserve"> is our co-founder and has served as the vice chairman of our board of directors since January 2011. Mr. Hong has served as our chief operating officer since August 2012. Mr. Hong has over 10 years of experience in the distribution of consumer goods and e-commerce industry.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Martin Chi Ping Lau</w:t>
      </w:r>
      <w:r>
        <w:rPr>
          <w:rFonts w:ascii="Times New Roman" w:hAnsi="Times New Roman"/>
          <w:sz w:val="20"/>
        </w:rPr>
        <w:t xml:space="preserve"> has served as our director since December 2017. Mr. Lau is the president of Tencent Holdings Limited (SEHK: 0700), or Tencent. He joined Tencent in 2005 as the chief strategy and investment officer, and was responsible for corporate strategies, investments, merger and acquisitions, and investor relations. In 2006, Mr. Lau was promoted as president of Tencent to manage the day-to-day operation of Tencent. Prior to joining Tencent, Mr. Lau was an executive director at Goldman Sachs (Asia) L.L.C.’s investment banking division and the chief operating officer of its telecom, media, and technology group. Prior to that, he worked at Mckinsey &amp; Company, Inc. as a management consultant. Mr. Lau received a bachelor of science degree in electrical engineering from the University of Michigan in July 1994, a master of science degree in electrical engineering from Stanford University in July 1995 and an MBA degree from Kellogg Graduate School of Management, Northwestern University in June 1998.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Jacky Xu, also known as Jacky Yu Xu</w:t>
      </w:r>
      <w:r>
        <w:rPr>
          <w:rFonts w:ascii="Times New Roman" w:hAnsi="Times New Roman"/>
          <w:sz w:val="20"/>
        </w:rPr>
        <w:t xml:space="preserve"> is an angel investor of our company and has served as our director since January 2011. Mr. Xu is the director of several privately held companies in China. He is co-founder, chairman and chief executive officer of Trendy International Group Co., Ltd., an international fashion conglomerate.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Donghao Yang</w:t>
      </w:r>
      <w:r>
        <w:rPr>
          <w:rFonts w:ascii="Times New Roman" w:hAnsi="Times New Roman"/>
          <w:sz w:val="20"/>
        </w:rPr>
        <w:t xml:space="preserve"> has served as our director since November 2020. Mr. Yang is currently the director and chief financial officer of Yatsen Holding Limited (NYSE: YSG). Prior to that, he has served as our chief financial officer from August 2011 to November 2020. Mr. Yang has held senior executive and managerial positions in various public and private companies, including serving as the chief finance officer of Synutra International Inc. from May 2010 to August 2011, as the chief financial officer of Greater China of Tyson Foods, Inc. (NYSE: TSN) from March 2007 to April 2010, as a finance director of Asia Pacific of Valmont Industries, Inc. (NYSE: VMI) from October 2003 to March 2007. Mr. Yang also serves as an independent director of Xpeng, Inc. (NYSE: XPEV) since August 2020. Mr. Yang received an MBA degree from Harvard Business School in 2003 and a bachelor’s degree in international economics from Nankai University in 1993.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Chun Liu</w:t>
      </w:r>
      <w:r>
        <w:rPr>
          <w:rFonts w:ascii="Times New Roman" w:hAnsi="Times New Roman"/>
          <w:sz w:val="20"/>
        </w:rPr>
        <w:t xml:space="preserve"> has served as our independent director since March 2013. Mr. Liu is currently the senior vice president of Phoenix TV. Prior to joining Phoenix TV in 2018, he worked at Zhong Nan Wen Hua, and was the vice president and chief editor of Sohu.com Inc., and chairman of Sohu TV. Earlier in his career, Mr. Liu worked at CCTV, China’s state television broadcaster from 1998 to 2002. As the executive producer of a famous program “News Investigation,” he won an award as the editor of “A Memorandum on Dragged-out Constructions.” Mr. Liu has been an independent non-executive director of DL Holdings Group Limited (SEHK: 1709) since April 2020 and was a director of Zhongnanhong Cultural Group Co., Ltd. (SZSE: 002445) from May 2016 to August 2018. Mr. Liu previously studied at Cheung Kong Graduate School of Business in Beijing, China. Mr. Liu received a master’s degree in Arts from the Communication University of China in June 1994, and a bachelor’s degree in Chinese from the Anhui Normal University in 1987.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Frank Lin, also known as Lin Frank Hurst</w:t>
      </w:r>
      <w:r>
        <w:rPr>
          <w:rFonts w:ascii="Times New Roman" w:hAnsi="Times New Roman"/>
          <w:sz w:val="20"/>
        </w:rPr>
        <w:t xml:space="preserve"> has served as our independent director since January 2011. Mr. Lin is a general partner of DCM, a technology venture capital firm. Prior to joining DCM in 2006, Mr. Lin was the chief operating officer of SINA Corporation. He co-founded SINA’s predecessor, SinaNet, in 1995 and later guided SINA through its listing on Nasdaq. Mr. Lin had also held various marketing, engineering, and managerial positions at Octel Communications Corp. and NYNEX. In addition to our company, Mr. Lin currently serves on the board of directors of various DCM portfolio companies, including 51Talk Online Education Group (NYSE: COE), GigaCloud Technology Inc. (Nasdaq: GCT), Kuaishou Technology (SEHK: 1024), YSB Inc. (SEHK: 9885), QuantaSing Group Limited (Nasdaq: QSG), and Tuniu Corporation (Nasdaq: TOUR). Mr. Lin received an MBA degree from Stanford University in June 1993 and a bachelor’s degree in engineering from Dartmouth College in June 1988.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Xing Liu</w:t>
      </w:r>
      <w:r>
        <w:rPr>
          <w:rFonts w:ascii="Times New Roman" w:hAnsi="Times New Roman"/>
          <w:sz w:val="20"/>
        </w:rPr>
        <w:t xml:space="preserve"> has served as our independent director since January 2011. Mr. Liu is currently a partner of HongShan, which he joined in May 2007. Mr. Liu has served a non-executive director of ZTO Express (Cayman) Inc. (NYSE: ZTO, SEHK: 2057) since May 2013. Mr. Liu received an MBA degree from The Wharton School of the University of Pennsylvania in May 2004, a master’s degree in computer engineering from Syracuse University in December 1995, and a bachelor’s degree in management information systems from Fudan University in July 1992. </w:t>
      </w:r>
    </w:p>
    <w:p>
      <w:pPr>
        <w:pStyle w:val="TextBody"/>
        <w:bidi w:val="0"/>
        <w:spacing w:before="240" w:after="0"/>
        <w:jc w:val="left"/>
        <w:rPr>
          <w:rFonts w:ascii="Times New Roman" w:hAnsi="Times New Roman"/>
          <w:sz w:val="20"/>
        </w:rPr>
      </w:pPr>
      <w:r>
        <w:rPr>
          <w:rFonts w:ascii="Times New Roman" w:hAnsi="Times New Roman"/>
          <w:i/>
          <w:sz w:val="20"/>
        </w:rPr>
        <w:t>Ms.</w:t>
      </w:r>
      <w:r>
        <w:rPr>
          <w:rFonts w:ascii="Times New Roman" w:hAnsi="Times New Roman"/>
          <w:sz w:val="20"/>
        </w:rPr>
        <w:t> </w:t>
      </w:r>
      <w:r>
        <w:rPr>
          <w:rFonts w:ascii="Times New Roman" w:hAnsi="Times New Roman"/>
          <w:i/>
          <w:sz w:val="20"/>
        </w:rPr>
        <w:t>Kathleen Chien</w:t>
      </w:r>
      <w:r>
        <w:rPr>
          <w:rFonts w:ascii="Times New Roman" w:hAnsi="Times New Roman"/>
          <w:sz w:val="20"/>
        </w:rPr>
        <w:t xml:space="preserve"> has served as our independent director since March 2012. Ms. Chien is currently the chief operating officer and acting chief financial officer of 51job, Inc., a provider of integrated human resource services in China. Ms. Chien joined 51job, Inc. in 1999 and served as its chief financial officer from 2004 to March 2009. Ms. Chien received her bachelor’s degree in economics from the Massachusetts Institute of Technology in June 1992 and an MBA degree from the Walter A. Haas School of Business at University of California, Berkeley in May 1996.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Nanyan Zheng</w:t>
      </w:r>
      <w:r>
        <w:rPr>
          <w:rFonts w:ascii="Times New Roman" w:hAnsi="Times New Roman"/>
          <w:sz w:val="20"/>
        </w:rPr>
        <w:t xml:space="preserve"> has served as our independent director since March 2012. Mr. Zheng is currently the executive chairman of Delonix group, a hospitality group which runs over 700 hotels in China. Mr. Zheng is also a partner and director of Ocean Link, a private equity firm with a focus on China’s consumer, travel, and TMT sectors. Besides, Mr. Zheng has been the chairman of Cubic City (China) Service Apartment Group since 2018. Mr. Zheng co-founded 7 Days Groups Holdings Ltd., and served as chief executive officer since October 2004 and as a director since its listing in 2009. Mr. Zheng founded Plateno Group Ltd. in 2013, which wholly owned 7 Days Groups Holdings Ltd. after its privatization and launched a series of new mid-level and upscale hotel brands, and served as the chairman of Plateno Group Ltd. from 2013 to 2019.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 xml:space="preserve">Mark Wang </w:t>
      </w:r>
      <w:r>
        <w:rPr>
          <w:rFonts w:ascii="Times New Roman" w:hAnsi="Times New Roman"/>
          <w:sz w:val="20"/>
        </w:rPr>
        <w:t xml:space="preserve">has served as our chief financial officer since May 2023. Prior to joining us, Mr. Wang served as the chief financial officer of Benlai Group, an online fresh grocery player in China, from April 2021 to November 2022. From October 2017 to March 2021, Mr. Wang served as the vice president in the finance department of Xiaomi Corporation (SEHK: 1810). Prior to that, Mr. Wang worked at Changyou.com Limited as a finance director from July 2014 to September 2017. From April 2013 to June 2014, Mr. Wang was a senior manager in the finance department of Huawei Technologies Co., Ltd. Prior to that, Mr. Wang served as a tax manager at PricewaterhouseCoopers Consultants (Shenzhen) Co., Ltd. from August 2006 to April 2013. Currently, Mr. Wang has also served as an independent director of Beijing Kingsoft Office Software, Inc. (SSE: 688111) since April 2022. Mr. Wang received a bachelor degree in finance from Beijing International Studies University. </w:t>
      </w:r>
    </w:p>
    <w:p>
      <w:pPr>
        <w:pStyle w:val="TextBody"/>
        <w:bidi w:val="0"/>
        <w:spacing w:before="240" w:after="0"/>
        <w:jc w:val="left"/>
        <w:rPr>
          <w:rFonts w:ascii="Times New Roman" w:hAnsi="Times New Roman"/>
          <w:sz w:val="20"/>
        </w:rPr>
      </w:pPr>
      <w:r>
        <w:rPr>
          <w:rFonts w:ascii="Times New Roman" w:hAnsi="Times New Roman"/>
          <w:i/>
          <w:sz w:val="20"/>
        </w:rPr>
        <w:t>Mr.</w:t>
      </w:r>
      <w:r>
        <w:rPr>
          <w:rFonts w:ascii="Times New Roman" w:hAnsi="Times New Roman"/>
          <w:sz w:val="20"/>
        </w:rPr>
        <w:t> </w:t>
      </w:r>
      <w:r>
        <w:rPr>
          <w:rFonts w:ascii="Times New Roman" w:hAnsi="Times New Roman"/>
          <w:i/>
          <w:sz w:val="20"/>
        </w:rPr>
        <w:t>Mike Li</w:t>
      </w:r>
      <w:r>
        <w:rPr>
          <w:rFonts w:ascii="Times New Roman" w:hAnsi="Times New Roman"/>
          <w:sz w:val="20"/>
        </w:rPr>
        <w:t xml:space="preserve"> has extensive experience working in China’s internet industry. Prior to joining Vipshop, Mr. Li served as a high-level researcher for the Local Services Group of Alibaba Group Holding Limited (NYSE: BABA; HKEX: 9988 (HKD Counter) and 89988 (RMB Counter)) from December 2020 to September 2024. Prior to that, he served as a senior technology specialist for the search and recommendation business unit of Alibaba Group from January 2013 to December 2020. Prior to joining Alibaba Group, Mr. Li served as a senior technology director of Asiainfo (China) Software Co., Ltd. from July 2003 to January 2013. Mr. Li received his bachelor’s degree in electrical engineering and automation from Changchun University of Technology in 2000. Mr. Li received another bachelor’s degree in computer science and technology from Zhejiang University in 2003.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We have entered into employment agreements with each of our executive officers. Generally,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In such case, the executive officer will not be entitled to receive payment of any severance benefits or other amounts by reason of the termination, and the executive officer’s right to all other benefits will terminate, except as required by any applicable law. We may also terminate an executive officer’s employment without cause upon a two-month advance written notice. In such case of termination by us, we are required to provide compensation to the executive officer, including severance pay, as expressly required by the applicable law of the jurisdiction where the executive officer is based. Generally, the executive officer may terminate the employment at any time with a one-month advance written notice, if there is a material reduction in the executive officer’s authority, duties, and responsibilities or a material reduction in the executive officer’s annual salary before the next annual salary review, or if otherwise approved by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Each executive officer has agreed to hold, both during and after the termination or expiry of his or her employment agreement, in strict confidence and not to use, except as required in the performance of his or her duties in connection with the employment, any of our confidential information or trade secrets, any confidential information or trade secrets of our clients or prospective clients or the confidential or proprietary information of any third party that we receive and for which we have confidential obligations. The executive officers have also agreed to disclose in confidence to us all inventions, designs, and trade secrets which they conceive, develop, or reduce to practice and to assign all right, title, and interest in them to us, and assist us in obtaining patents.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general, each executive officer has agreed to be bound by non-competition and non-solicitation restrictions during the term of his or her employment and for one year following the last date of employment. Specifically, each executive officer has agreed not to (a) approach our clients, customers, contacts or other persons or entities introduced to the executive officer for the purpose of doing business with such persons or entities that will harm our business relationships with these persons or entities; (b) assume employment with or provide services to any of our competitors, or engage with, whether as principal, partner, licensor or otherwise, any of our competitors; or (c) seek directly or indirectly, to solicit the services of any of our employees on or after the date of the executive officer’s termination, or in the year preceding such termination. </w:t>
      </w:r>
    </w:p>
    <w:p>
      <w:pPr>
        <w:pStyle w:val="TextBody"/>
        <w:bidi w:val="0"/>
        <w:spacing w:before="0" w:after="0"/>
        <w:jc w:val="left"/>
        <w:rPr/>
      </w:pPr>
      <w:r>
        <w:rPr/>
        <w:t> </w:t>
      </w:r>
    </w:p>
    <w:tbl>
      <w:tblPr>
        <w:tblW w:w="1555" w:type="dxa"/>
        <w:jc w:val="left"/>
        <w:tblInd w:w="0" w:type="dxa"/>
        <w:tblLayout w:type="fixed"/>
        <w:tblCellMar>
          <w:top w:w="0" w:type="dxa"/>
          <w:left w:w="0" w:type="dxa"/>
          <w:bottom w:w="0" w:type="dxa"/>
          <w:right w:w="0" w:type="dxa"/>
        </w:tblCellMar>
      </w:tblPr>
      <w:tblGrid>
        <w:gridCol w:w="260"/>
        <w:gridCol w:w="1295"/>
      </w:tblGrid>
      <w:tr>
        <w:trPr/>
        <w:tc>
          <w:tcPr>
            <w:tcW w:w="260" w:type="dxa"/>
            <w:tcBorders/>
            <w:vAlign w:val="center"/>
          </w:tcPr>
          <w:p>
            <w:pPr>
              <w:pStyle w:val="TableContents"/>
              <w:bidi w:val="0"/>
              <w:spacing w:before="0" w:after="283"/>
              <w:jc w:val="left"/>
              <w:rPr>
                <w:b/>
              </w:rPr>
            </w:pPr>
            <w:r>
              <w:rPr>
                <w:b/>
              </w:rPr>
              <w:t>B.</w:t>
            </w:r>
          </w:p>
        </w:tc>
        <w:tc>
          <w:tcPr>
            <w:tcW w:w="12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fiscal year ended December 31, 2024, we paid an aggregate of fees, salaries, and benefits (excluding equity-based grants) of approximately RMB7.1 million (US$1.0 million) to our executive officers, and we paid an aggregate of approximately RMB4.4 million (US$0.6 million) to our directors. We have not set aside or accrued any amount to provide pension, retirement, or other similar benefits to our executive officers and directors. Our PRC subsidiaries and the consolidated variable interest entities are required by PRC law to make contributions equal to certain percentages of each employee’s salary for his or her pension insurance, medical insurance, unemployment insurance, and other statutory benefits and a housing provident fund. For equity-based grants to our directors and executive officers, see “—Stock Incentive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Stock Incentive Plans </w:t>
      </w:r>
    </w:p>
    <w:p>
      <w:pPr>
        <w:pStyle w:val="TextBody"/>
        <w:bidi w:val="0"/>
        <w:spacing w:before="120" w:after="0"/>
        <w:jc w:val="left"/>
        <w:rPr>
          <w:rFonts w:ascii="Times New Roman" w:hAnsi="Times New Roman"/>
          <w:sz w:val="20"/>
        </w:rPr>
      </w:pPr>
      <w:r>
        <w:rPr>
          <w:rFonts w:ascii="Times New Roman" w:hAnsi="Times New Roman"/>
          <w:sz w:val="20"/>
        </w:rPr>
        <w:t xml:space="preserve">We have adopted three plans since our inception. The 2011 Stock Incentive Plan and 2012 Share Incentive Plan each terminated at the end of their respective ten-year terms, although some grants from each of these plans are still outstanding. The original term of our 2014 Share Incentive Plan expired in July 2024, and we adopted an Amended and Restated 2014 Share Incentive Plan in August 2024, which amends and restates the 2014 Share Incentive Plan in its entirety and assumes all awards granted under the 2014 Share Incentive Plan. The Amended and Restated 2014 Share Incentive Plan will expire upon the tenth anniversary of the effective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2011 Stock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Our 2011 Stock Incentive Plan was adopted in March 2011 and terminated automatically after its ten-year term in March 2021. The maximum number of shares authorized under the 2011 Stock Incentive Plan was 7,350,000 ordinary shares. The 2011 Stock Incentive Plan expired already while options to acquire 447,234 Class A ordinary shares remained outstanding thereunder as of the date of this annual report. The termination did not adversely affect any rights under awards previously granted. </w:t>
      </w:r>
    </w:p>
    <w:p>
      <w:pPr>
        <w:pStyle w:val="TextBody"/>
        <w:bidi w:val="0"/>
        <w:spacing w:before="240" w:after="0"/>
        <w:jc w:val="left"/>
        <w:rPr>
          <w:rFonts w:ascii="Times New Roman" w:hAnsi="Times New Roman"/>
          <w:sz w:val="20"/>
        </w:rPr>
      </w:pPr>
      <w:r>
        <w:rPr>
          <w:rFonts w:ascii="Times New Roman" w:hAnsi="Times New Roman"/>
          <w:sz w:val="20"/>
        </w:rPr>
        <w:t xml:space="preserve">Awards granted under the 2011 Stock Incentive Plan are evidenced by an award agreement and, in the case of stock options, a notice of stock option award that sets forth the terms, conditions, and limitations for each grant. </w:t>
      </w:r>
    </w:p>
    <w:p>
      <w:pPr>
        <w:pStyle w:val="TextBody"/>
        <w:bidi w:val="0"/>
        <w:spacing w:before="240" w:after="0"/>
        <w:jc w:val="left"/>
        <w:rPr>
          <w:rFonts w:ascii="Times New Roman" w:hAnsi="Times New Roman"/>
          <w:sz w:val="20"/>
        </w:rPr>
      </w:pPr>
      <w:r>
        <w:rPr>
          <w:rFonts w:ascii="Times New Roman" w:hAnsi="Times New Roman"/>
          <w:sz w:val="20"/>
        </w:rPr>
        <w:t xml:space="preserve">Incentive stock options may not be transferred in any manner other than by will or by the laws of descent or distribution and may be exercised, during the lifetime of the grantee, only by the grantee. Other awards are transferable by will and by the laws of descent and distribution, and during the lifetime of the grantee, may be transferred to the extent and in the manner authorized by the plan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 award recipient ceases employment with us or ceases to provide services to us, an award may be exercised following the termination of employment or service to the extent provided in the award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2012 Share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Our 2012 Share Incentive Plan was adopted in March 2012 and terminated automatically after its ten-year term in March 2022. The maximum number of shares authorized under the 2012 Share Incentive Plan was 9,000,000 ordinary shares, and the maximum number of shares authorized under this plan per calendar year from 2012 until the termination of this plan was 1,500,000 ordinary shares. Among these ordinary shares, 10,000 Class A ordinary shares remained outstanding as of the date of this annual report. The termination did not adversely affect any rights under awards previously granted. </w:t>
      </w:r>
    </w:p>
    <w:p>
      <w:pPr>
        <w:pStyle w:val="TextBody"/>
        <w:bidi w:val="0"/>
        <w:spacing w:before="240" w:after="0"/>
        <w:jc w:val="left"/>
        <w:rPr>
          <w:rFonts w:ascii="Times New Roman" w:hAnsi="Times New Roman"/>
          <w:sz w:val="20"/>
        </w:rPr>
      </w:pPr>
      <w:r>
        <w:rPr>
          <w:rFonts w:ascii="Times New Roman" w:hAnsi="Times New Roman"/>
          <w:sz w:val="20"/>
        </w:rPr>
        <w:t xml:space="preserve">We were authorized to grant options, restricted shares or restricted share units to our directors, employees or consultants under the plan. Awards granted under the plan are evidenced by award agreements that set forth the terms, conditions and limitations for each award. These may include the term of an award, the provisions applicable in the event the participant’s employment or service terminates, and our authority to unilaterally or bilaterally amend, modify, suspend, cancel or rescind an award.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by the plan administrator, an award may not be transferred or otherwise disposed of by a participant other than by will or the laws of descent and distribution. The plan administrator may permit an award other than an incentive share option to be transferred to or exercised by certain persons related to the participant by express provision in the award or by an amendment to the award.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an individual award agreement or any other written agreement entered into between a participant and us, our plan administrator may provide for one or more of the following in the event of a change of control or other similar corporate transaction: (i) the termination of each award outstanding under the plan at a specific time in the future, with each participant having the right to exercise the vested portion of the awards during a period of time as determined by the plan administrator; (ii) the termination of any award in exchange for an amount of cash equal to the amount that could have been obtained upon the exercise of the award; (iii) the replacement of an award with other rights or property selected by the plan administrator; (iv) the assumption of the award by our successor, parent or subsidiary, or the substitution of an award granted by our successor, parent or subsidiary, with appropriate adjustments; or (v) payment of an award in cash based on the value of our ordinary shares on the date of the corporate transaction plus reasonable interest on the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Amended and Restated 2014 Share Incentive Plan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we adopted our Amended and Restated 2014 Share Incentive Plan, which permits the grant of options to purchase our ordinary shares, restricted shares, restricted share units, share appreciation rights, and other types of awards as deemed appropriate by the administrator. The Amended and Restated 2014 Share Incentive Plan amends and restates the previously adopted 2014 Share Incentive Plan of the Company in its entirety and assumes all awards granted under the 2014 Share Incentive Plan. The maximum aggregate number of shares authorized under the Amended and Restated 2014 Share Incentive Plan was (i) 13,985,001 Class A ordinary shares, and (ii) an automatic increase on January 1 of each year after the effective date of the 2014 Amended and Restated Share Incentive Plan by that number of shares representing 1.5% of our then total issued and outstanding share capital as of December 31 of the preceding year, or such less number as determined by the board of directors. As of March 31, 2025, options to acquire 5,335,457 Class A ordinary shares and 3,723,979 restricted shares have been granted and are outstanding under the Amended and Restated 2014 Share Incentive Plan. The Amended and Restated 2014 Share Incentive Plan will expire upon the tenth anniversary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paragraphs describe the principal terms of our Amended and Restated 2014 Share Incentive Plan: </w:t>
      </w:r>
    </w:p>
    <w:p>
      <w:pPr>
        <w:pStyle w:val="TextBody"/>
        <w:bidi w:val="0"/>
        <w:spacing w:before="240" w:after="0"/>
        <w:jc w:val="left"/>
        <w:rPr>
          <w:rFonts w:ascii="Times New Roman" w:hAnsi="Times New Roman"/>
          <w:sz w:val="20"/>
        </w:rPr>
      </w:pPr>
      <w:r>
        <w:rPr>
          <w:rFonts w:ascii="Times New Roman" w:hAnsi="Times New Roman"/>
          <w:i/>
          <w:sz w:val="20"/>
        </w:rPr>
        <w:t>Plan Administration</w:t>
      </w:r>
      <w:r>
        <w:rPr>
          <w:rFonts w:ascii="Times New Roman" w:hAnsi="Times New Roman"/>
          <w:sz w:val="20"/>
        </w:rPr>
        <w:t xml:space="preserve">. The plan will be administered by the Compensation Committee, or a committee of two or more directors to whom the Compensation Committee may delegate the authority to grant or amend awards to participants other than independent directors and executive officers. The committee will determine the provisions and terms and conditions of each award grant. </w:t>
      </w:r>
    </w:p>
    <w:p>
      <w:pPr>
        <w:pStyle w:val="TextBody"/>
        <w:bidi w:val="0"/>
        <w:spacing w:before="240" w:after="0"/>
        <w:jc w:val="left"/>
        <w:rPr>
          <w:rFonts w:ascii="Times New Roman" w:hAnsi="Times New Roman"/>
          <w:sz w:val="20"/>
        </w:rPr>
      </w:pPr>
      <w:r>
        <w:rPr>
          <w:rFonts w:ascii="Times New Roman" w:hAnsi="Times New Roman"/>
          <w:i/>
          <w:sz w:val="20"/>
        </w:rPr>
        <w:t>Awards and Award Agreement</w:t>
      </w:r>
      <w:r>
        <w:rPr>
          <w:rFonts w:ascii="Times New Roman" w:hAnsi="Times New Roman"/>
          <w:sz w:val="20"/>
        </w:rPr>
        <w:t xml:space="preserve">. We may grant options, restricted shares, share appreciation rights, or other types of awards to our directors, employees or consultants under the plan. Awards granted under the plan will be evidenced by award agreements that set forth the terms, conditions, and limitations for each award. These may include the term of an award, the provisions applicable in the event the participant’s employment or service terminates, and our authority to unilaterally or bilaterally amend, modify, suspend, cancel or rescind an award. </w:t>
      </w:r>
    </w:p>
    <w:p>
      <w:pPr>
        <w:pStyle w:val="TextBody"/>
        <w:bidi w:val="0"/>
        <w:spacing w:before="240" w:after="0"/>
        <w:jc w:val="left"/>
        <w:rPr>
          <w:rFonts w:ascii="Times New Roman" w:hAnsi="Times New Roman"/>
          <w:sz w:val="20"/>
        </w:rPr>
      </w:pPr>
      <w:r>
        <w:rPr>
          <w:rFonts w:ascii="Times New Roman" w:hAnsi="Times New Roman"/>
          <w:i/>
          <w:sz w:val="20"/>
        </w:rPr>
        <w:t>Option Exercise Price</w:t>
      </w:r>
      <w:r>
        <w:rPr>
          <w:rFonts w:ascii="Times New Roman" w:hAnsi="Times New Roman"/>
          <w:sz w:val="20"/>
        </w:rPr>
        <w:t xml:space="preserve">. The exercise price of an option should be determined by the plan administrator and set forth in the award agreement. It may be a fixed price or a variable price relating to the fair market value of our Class A ordinary shares, to the extent not prohibited by applicable laws. Subject to certain limits set forth in the plan, the exercise price may be amended or adjusted in the absolute discretion of the plan administrator, whose determination should be final, binding, and conclusive. To the extent not prohibited by applicable laws or any exchange rule, a downward adjustment of the exercise prices of options could be effective without the approval of the shareholders or the approval of the affected participants. </w:t>
      </w:r>
    </w:p>
    <w:p>
      <w:pPr>
        <w:pStyle w:val="TextBody"/>
        <w:bidi w:val="0"/>
        <w:spacing w:before="24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We may grant awards to our employees, directors, and consultants or those of any of our related entities, which include our subsidiaries or any entities in which we hold a substantial ownership or control interest, as determined by our plan administrator. Awards other than incentive share options may be granted to our employees, directors, and consultants. Incentive share options may be granted only to employees of our company or a parent or a subsidiary of our company. </w:t>
      </w:r>
    </w:p>
    <w:p>
      <w:pPr>
        <w:pStyle w:val="TextBody"/>
        <w:bidi w:val="0"/>
        <w:spacing w:before="240" w:after="0"/>
        <w:jc w:val="left"/>
        <w:rPr>
          <w:rFonts w:ascii="Times New Roman" w:hAnsi="Times New Roman"/>
          <w:sz w:val="20"/>
        </w:rPr>
      </w:pPr>
      <w:r>
        <w:rPr>
          <w:rFonts w:ascii="Times New Roman" w:hAnsi="Times New Roman"/>
          <w:i/>
          <w:sz w:val="20"/>
        </w:rPr>
        <w:t>Term of the Awards</w:t>
      </w:r>
      <w:r>
        <w:rPr>
          <w:rFonts w:ascii="Times New Roman" w:hAnsi="Times New Roman"/>
          <w:sz w:val="20"/>
        </w:rPr>
        <w:t xml:space="preserve">. The term of each award grant should be determined by our plan administrator, provided that the term for an option should not exceed 10 years from the date of the grant. </w:t>
      </w:r>
    </w:p>
    <w:p>
      <w:pPr>
        <w:pStyle w:val="TextBody"/>
        <w:bidi w:val="0"/>
        <w:spacing w:before="240" w:after="0"/>
        <w:jc w:val="left"/>
        <w:rPr>
          <w:rFonts w:ascii="Times New Roman" w:hAnsi="Times New Roman"/>
          <w:sz w:val="20"/>
        </w:rPr>
      </w:pPr>
      <w:r>
        <w:rPr>
          <w:rFonts w:ascii="Times New Roman" w:hAnsi="Times New Roman"/>
          <w:i/>
          <w:sz w:val="20"/>
        </w:rPr>
        <w:t>Vesting Schedule</w:t>
      </w:r>
      <w:r>
        <w:rPr>
          <w:rFonts w:ascii="Times New Roman" w:hAnsi="Times New Roman"/>
          <w:sz w:val="20"/>
        </w:rPr>
        <w:t xml:space="preserve">. In general, the plan administrator determines, or the award agreement specifies, the vesting schedule. We have the right to repurchase the restricted shares until they have 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Transfer Restrictions</w:t>
      </w:r>
      <w:r>
        <w:rPr>
          <w:rFonts w:ascii="Times New Roman" w:hAnsi="Times New Roman"/>
          <w:sz w:val="20"/>
        </w:rPr>
        <w:t xml:space="preserve">. Except as otherwise provided by the plan administrator, an award may not be transferred or otherwise disposed of by a participant other than by will or the laws of descent and distribution. The plan administrator may permit an award other than an incentive share option to be transferred to or exercised by certain persons related to the participant by express provision in the award or by an amendment to the award. A participant must give us prompt notice of any disposition of shares acquired by exercise of an incentive share option within (i) two years from the date of grant of such incentive share option or (ii) one year after the transfer of such shares to the participant. </w:t>
      </w:r>
    </w:p>
    <w:p>
      <w:pPr>
        <w:pStyle w:val="TextBody"/>
        <w:bidi w:val="0"/>
        <w:spacing w:before="240" w:after="0"/>
        <w:jc w:val="left"/>
        <w:rPr>
          <w:rFonts w:ascii="Times New Roman" w:hAnsi="Times New Roman"/>
          <w:sz w:val="20"/>
        </w:rPr>
      </w:pPr>
      <w:r>
        <w:rPr>
          <w:rFonts w:ascii="Times New Roman" w:hAnsi="Times New Roman"/>
          <w:i/>
          <w:sz w:val="20"/>
        </w:rPr>
        <w:t>Corporate Transactions</w:t>
      </w:r>
      <w:r>
        <w:rPr>
          <w:rFonts w:ascii="Times New Roman" w:hAnsi="Times New Roman"/>
          <w:sz w:val="20"/>
        </w:rPr>
        <w:t xml:space="preserve">. Except as otherwise provided in an individual award agreement or any other written agreement entered into between a participant and us, our plan administrator may provide for one or more of the following in the event of a change of control or other similar corporate transaction: (i) the termination of each award outstanding under the plan at a specific time in the future, with each participant having the right to exercise such awards during a period of time as determined by the plan administrator; (ii) either the purchase of any award for an amount of cash equal to the amount that could have been attained upon the exercise of such award or realization of the participant’s rights had such award been currently exercisable or payable or fully vested; (iii) the replacement of an award with other rights or property selected by the plan administrator in its sole discretion the assumption of or substitution of such award by the successor or surviving corporation, or a parent or subsidiary thereof, with appropriate adjustments as to the number and kind of shares and prices, or (iv) provide for payment of awards in cash based on the value of shares on the date of the change of control plus reasonable interest on the award through the date such award would otherwise be vested or have been paid in accordance with its original terms, if necessary to comply with the United States Internal Revenue Code of 1986, as amended. </w:t>
      </w:r>
    </w:p>
    <w:p>
      <w:pPr>
        <w:pStyle w:val="TextBody"/>
        <w:bidi w:val="0"/>
        <w:spacing w:before="240" w:after="0"/>
        <w:jc w:val="left"/>
        <w:rPr>
          <w:rFonts w:ascii="Times New Roman" w:hAnsi="Times New Roman"/>
          <w:sz w:val="20"/>
        </w:rPr>
      </w:pPr>
      <w:r>
        <w:rPr>
          <w:rFonts w:ascii="Times New Roman" w:hAnsi="Times New Roman"/>
          <w:i/>
          <w:sz w:val="20"/>
        </w:rPr>
        <w:t>Amendment and Termination of the Plan</w:t>
      </w:r>
      <w:r>
        <w:rPr>
          <w:rFonts w:ascii="Times New Roman" w:hAnsi="Times New Roman"/>
          <w:sz w:val="20"/>
        </w:rPr>
        <w:t xml:space="preserve">. With the approval of our board of directors, at any time and from time to time, the plan administrator may terminate, amend or modify the Amended and Restated 2014 Share Incentive Plan; provided, however, that to the extent necessary and desirable to comply with any applicable law, regulation, or stock exchange rule, unless we decide to follow home country practice, shareholder approval is required for any plan amendment, including any amendment to the plan that (i) increases the number of shares available under the Amended and Restated 2014 Share Incentive Plan, (ii) permits the plan administrator to extend the exercise period for an option beyond ten years from the date of grant, or (iii) results in a change in eligibility requirements.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 Incentive Grants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summarizes, as of December 31, 2024, the outstanding options we granted to our directors and executive officers under the 2011 Stock Incentive Plan, the 2012 Share Incentive Plan, and the Amended and Restated 2014 Share Incentive Plan. </w:t>
      </w:r>
    </w:p>
    <w:p>
      <w:pPr>
        <w:pStyle w:val="TextBody"/>
        <w:bidi w:val="0"/>
        <w:spacing w:before="0" w:after="0"/>
        <w:jc w:val="left"/>
        <w:rPr/>
      </w:pPr>
      <w:r>
        <w:rPr/>
        <w:t> </w:t>
      </w:r>
    </w:p>
    <w:tbl>
      <w:tblPr>
        <w:tblW w:w="9054" w:type="dxa"/>
        <w:jc w:val="left"/>
        <w:tblInd w:w="0" w:type="dxa"/>
        <w:tblLayout w:type="fixed"/>
        <w:tblCellMar>
          <w:top w:w="0" w:type="dxa"/>
          <w:left w:w="0" w:type="dxa"/>
          <w:bottom w:w="0" w:type="dxa"/>
          <w:right w:w="0" w:type="dxa"/>
        </w:tblCellMar>
      </w:tblPr>
      <w:tblGrid>
        <w:gridCol w:w="1700"/>
        <w:gridCol w:w="120"/>
        <w:gridCol w:w="99"/>
        <w:gridCol w:w="1631"/>
        <w:gridCol w:w="60"/>
        <w:gridCol w:w="120"/>
        <w:gridCol w:w="121"/>
        <w:gridCol w:w="1143"/>
        <w:gridCol w:w="60"/>
        <w:gridCol w:w="120"/>
        <w:gridCol w:w="60"/>
        <w:gridCol w:w="1610"/>
        <w:gridCol w:w="60"/>
        <w:gridCol w:w="120"/>
        <w:gridCol w:w="60"/>
        <w:gridCol w:w="1895"/>
        <w:gridCol w:w="75"/>
      </w:tblGrid>
      <w:tr>
        <w:trPr/>
        <w:tc>
          <w:tcPr>
            <w:tcW w:w="1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0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17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Ordinary Shares</w:t>
              <w:br/>
              <w:t>Underlying</w:t>
              <w:br/>
              <w:t>Options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w:t>
              <w:br/>
              <w:t>Price</w:t>
              <w:br/>
              <w:t>(US$/Share)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Date of Grant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Date of Expiration</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Eric Ya Shen</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2,601,894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66.85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January 1, 2020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pPr>
            <w:r>
              <w:rPr/>
              <w:t>December 31, 2029</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51,669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68.35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January 1, 2017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pPr>
            <w:r>
              <w:rPr/>
              <w:t>December 31, 2026</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Arthur Xiaobo Hong</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2,681,894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66.85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right"/>
              <w:rPr/>
            </w:pPr>
            <w:r>
              <w:rPr/>
              <w:t>January 1, 2020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right"/>
              <w:rPr/>
            </w:pPr>
            <w:r>
              <w:rPr/>
              <w:t>December 31, 2029</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Donghao Yang</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0.50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August 30, 2011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pPr>
            <w:r>
              <w:rPr/>
              <w:t>January 1, 2026</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Nanyan Zheng</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right"/>
              <w:rPr/>
            </w:pPr>
            <w:r>
              <w:rPr/>
              <w:t>April 16, 2012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right"/>
              <w:rPr/>
            </w:pPr>
            <w:r>
              <w:rPr/>
              <w:t>December 31, 2024</w:t>
            </w:r>
          </w:p>
        </w:tc>
        <w:tc>
          <w:tcPr>
            <w:tcW w:w="75"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Kathleen Chien</w:t>
            </w:r>
          </w:p>
        </w:tc>
        <w:tc>
          <w:tcPr>
            <w:tcW w:w="12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63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0" w:type="dxa"/>
            <w:tcBorders/>
            <w:shd w:fill="CCEEFF" w:val="clear"/>
            <w:vAlign w:val="center"/>
          </w:tcPr>
          <w:p>
            <w:pPr>
              <w:pStyle w:val="TableContents"/>
              <w:bidi w:val="0"/>
              <w:spacing w:before="0" w:after="283"/>
              <w:jc w:val="right"/>
              <w:rPr/>
            </w:pPr>
            <w:r>
              <w:rPr/>
              <w:t>April 16, 2012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5" w:type="dxa"/>
            <w:tcBorders/>
            <w:shd w:fill="CCEEFF" w:val="clear"/>
            <w:vAlign w:val="center"/>
          </w:tcPr>
          <w:p>
            <w:pPr>
              <w:pStyle w:val="TableContents"/>
              <w:bidi w:val="0"/>
              <w:spacing w:before="0" w:after="283"/>
              <w:jc w:val="right"/>
              <w:rPr/>
            </w:pPr>
            <w:r>
              <w:rPr/>
              <w:t>December 31, 2024</w:t>
            </w:r>
          </w:p>
        </w:tc>
        <w:tc>
          <w:tcPr>
            <w:tcW w:w="75" w:type="dxa"/>
            <w:tcBorders/>
            <w:shd w:fill="CCEEFF" w:val="cle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Chun Liu</w:t>
            </w:r>
          </w:p>
        </w:tc>
        <w:tc>
          <w:tcPr>
            <w:tcW w:w="120"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63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143" w:type="dxa"/>
            <w:tcBorders/>
            <w:vAlign w:val="center"/>
          </w:tcPr>
          <w:p>
            <w:pPr>
              <w:pStyle w:val="TableContents"/>
              <w:bidi w:val="0"/>
              <w:spacing w:before="0" w:after="283"/>
              <w:jc w:val="right"/>
              <w:rPr/>
            </w:pPr>
            <w:r>
              <w:rPr/>
              <w:t>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right"/>
              <w:rPr/>
            </w:pPr>
            <w:r>
              <w:rPr/>
              <w:t>January 1, 2013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right"/>
              <w:rPr/>
            </w:pPr>
            <w:r>
              <w:rPr/>
              <w:t>January 1,2026</w:t>
            </w:r>
          </w:p>
        </w:tc>
        <w:tc>
          <w:tcPr>
            <w:tcW w:w="75" w:type="dxa"/>
            <w:tcBorders/>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Note: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Aggregate number of shares beneficially owned by the person account for less than 1% of our total outstanding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summarizes, as of December 31, 2024, the outstanding restricted shares we granted to our directors and executive officers under the 2012 Share Incentive Plan, the 2014 Share Incentive Plan and the Amended and Restated 2014 Share Incentive Plan. </w:t>
      </w:r>
    </w:p>
    <w:p>
      <w:pPr>
        <w:pStyle w:val="TextBody"/>
        <w:bidi w:val="0"/>
        <w:spacing w:before="0" w:after="0"/>
        <w:jc w:val="left"/>
        <w:rPr/>
      </w:pPr>
      <w:r>
        <w:rPr/>
        <w:t> </w:t>
      </w:r>
    </w:p>
    <w:tbl>
      <w:tblPr>
        <w:tblW w:w="5655" w:type="dxa"/>
        <w:jc w:val="left"/>
        <w:tblInd w:w="0" w:type="dxa"/>
        <w:tblLayout w:type="fixed"/>
        <w:tblCellMar>
          <w:top w:w="0" w:type="dxa"/>
          <w:left w:w="0" w:type="dxa"/>
          <w:bottom w:w="0" w:type="dxa"/>
          <w:right w:w="0" w:type="dxa"/>
        </w:tblCellMar>
      </w:tblPr>
      <w:tblGrid>
        <w:gridCol w:w="1520"/>
        <w:gridCol w:w="120"/>
        <w:gridCol w:w="2105"/>
        <w:gridCol w:w="120"/>
        <w:gridCol w:w="1790"/>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rPr/>
        <w:tc>
          <w:tcPr>
            <w:tcW w:w="152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1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Number of Restricted Shares</w:t>
            </w:r>
          </w:p>
        </w:tc>
        <w:tc>
          <w:tcPr>
            <w:tcW w:w="120" w:type="dxa"/>
            <w:tcBorders/>
            <w:vAlign w:val="center"/>
          </w:tcPr>
          <w:p>
            <w:pPr>
              <w:pStyle w:val="TableContents"/>
              <w:bidi w:val="0"/>
              <w:spacing w:before="0" w:after="283"/>
              <w:jc w:val="left"/>
              <w:rPr/>
            </w:pPr>
            <w:r>
              <w:rPr/>
              <w:t>  </w:t>
            </w:r>
          </w:p>
        </w:tc>
        <w:tc>
          <w:tcPr>
            <w:tcW w:w="179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Date of Grant</w:t>
            </w:r>
          </w:p>
        </w:tc>
      </w:tr>
      <w:tr>
        <w:trPr/>
        <w:tc>
          <w:tcPr>
            <w:tcW w:w="1520" w:type="dxa"/>
            <w:tcBorders/>
            <w:vAlign w:val="center"/>
          </w:tcPr>
          <w:p>
            <w:pPr>
              <w:pStyle w:val="TableContents"/>
              <w:bidi w:val="0"/>
              <w:spacing w:before="0" w:after="283"/>
              <w:jc w:val="left"/>
              <w:rPr/>
            </w:pPr>
            <w:r>
              <w:rPr/>
              <w:t>Donghao Yang</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January 1, 2017</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December 1, 2020</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December 1, 2024</w:t>
            </w:r>
          </w:p>
        </w:tc>
      </w:tr>
      <w:tr>
        <w:trPr/>
        <w:tc>
          <w:tcPr>
            <w:tcW w:w="1520" w:type="dxa"/>
            <w:tcBorders/>
            <w:vAlign w:val="center"/>
          </w:tcPr>
          <w:p>
            <w:pPr>
              <w:pStyle w:val="TableContents"/>
              <w:bidi w:val="0"/>
              <w:spacing w:before="0" w:after="283"/>
              <w:jc w:val="left"/>
              <w:rPr/>
            </w:pPr>
            <w:r>
              <w:rPr/>
              <w:t>Frank Lin</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January 1, 2013</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April 1, 2016</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April 1, 2020</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April 1, 2024</w:t>
            </w:r>
          </w:p>
        </w:tc>
      </w:tr>
      <w:tr>
        <w:trPr/>
        <w:tc>
          <w:tcPr>
            <w:tcW w:w="1520" w:type="dxa"/>
            <w:tcBorders/>
            <w:vAlign w:val="center"/>
          </w:tcPr>
          <w:p>
            <w:pPr>
              <w:pStyle w:val="TableContents"/>
              <w:bidi w:val="0"/>
              <w:spacing w:before="0" w:after="283"/>
              <w:jc w:val="left"/>
              <w:rPr/>
            </w:pPr>
            <w:r>
              <w:rPr/>
              <w:t>Xing Liu</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April 1, 2016</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April 1, 2020</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April 1, 2024</w:t>
            </w:r>
          </w:p>
        </w:tc>
      </w:tr>
      <w:tr>
        <w:trPr/>
        <w:tc>
          <w:tcPr>
            <w:tcW w:w="1520" w:type="dxa"/>
            <w:tcBorders/>
            <w:vAlign w:val="center"/>
          </w:tcPr>
          <w:p>
            <w:pPr>
              <w:pStyle w:val="TableContents"/>
              <w:bidi w:val="0"/>
              <w:spacing w:before="0" w:after="283"/>
              <w:jc w:val="left"/>
              <w:rPr/>
            </w:pPr>
            <w:r>
              <w:rPr/>
              <w:t>Nanyan Zheng</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April 1, 2020</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April 1, 2024</w:t>
            </w:r>
          </w:p>
        </w:tc>
      </w:tr>
      <w:tr>
        <w:trPr/>
        <w:tc>
          <w:tcPr>
            <w:tcW w:w="1520" w:type="dxa"/>
            <w:tcBorders/>
            <w:vAlign w:val="center"/>
          </w:tcPr>
          <w:p>
            <w:pPr>
              <w:pStyle w:val="TableContents"/>
              <w:bidi w:val="0"/>
              <w:spacing w:before="0" w:after="283"/>
              <w:jc w:val="left"/>
              <w:rPr/>
            </w:pPr>
            <w:r>
              <w:rPr/>
              <w:t>Kathleen Chien</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April 1, 2016</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April 1, 2020</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April 1, 2024</w:t>
            </w:r>
          </w:p>
        </w:tc>
      </w:tr>
      <w:tr>
        <w:trPr/>
        <w:tc>
          <w:tcPr>
            <w:tcW w:w="1520" w:type="dxa"/>
            <w:tcBorders/>
            <w:vAlign w:val="center"/>
          </w:tcPr>
          <w:p>
            <w:pPr>
              <w:pStyle w:val="TableContents"/>
              <w:bidi w:val="0"/>
              <w:spacing w:before="0" w:after="283"/>
              <w:jc w:val="left"/>
              <w:rPr/>
            </w:pPr>
            <w:r>
              <w:rPr/>
              <w:t>Chun Liu</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January 1, 2013</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April 1, 2016</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April 1, 2020</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April 1, 2024</w:t>
            </w:r>
          </w:p>
        </w:tc>
      </w:tr>
      <w:tr>
        <w:trPr/>
        <w:tc>
          <w:tcPr>
            <w:tcW w:w="1520" w:type="dxa"/>
            <w:tcBorders/>
            <w:vAlign w:val="center"/>
          </w:tcPr>
          <w:p>
            <w:pPr>
              <w:pStyle w:val="TableContents"/>
              <w:bidi w:val="0"/>
              <w:spacing w:before="0" w:after="283"/>
              <w:jc w:val="left"/>
              <w:rPr/>
            </w:pPr>
            <w:r>
              <w:rPr/>
              <w:t>Mark Wang</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June 1, 2023</w:t>
            </w:r>
          </w:p>
        </w:tc>
      </w:tr>
      <w:tr>
        <w:trPr/>
        <w:tc>
          <w:tcPr>
            <w:tcW w:w="1520" w:type="dxa"/>
            <w:tcBorders/>
            <w:vAlign w:val="center"/>
          </w:tcPr>
          <w:p>
            <w:pPr>
              <w:pStyle w:val="TableContents"/>
              <w:bidi w:val="0"/>
              <w:spacing w:before="0" w:after="283"/>
              <w:jc w:val="left"/>
              <w:rPr/>
            </w:pPr>
            <w:r>
              <w:rPr/>
              <w:t>Mike Li</w:t>
            </w:r>
          </w:p>
        </w:tc>
        <w:tc>
          <w:tcPr>
            <w:tcW w:w="120" w:type="dxa"/>
            <w:tcBorders/>
            <w:vAlign w:val="center"/>
          </w:tcPr>
          <w:p>
            <w:pPr>
              <w:pStyle w:val="TableContents"/>
              <w:bidi w:val="0"/>
              <w:spacing w:before="0" w:after="283"/>
              <w:jc w:val="left"/>
              <w:rPr/>
            </w:pPr>
            <w:r>
              <w:rPr/>
              <w:t>  </w:t>
            </w:r>
          </w:p>
        </w:tc>
        <w:tc>
          <w:tcPr>
            <w:tcW w:w="2105"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center"/>
              <w:rPr/>
            </w:pPr>
            <w:r>
              <w:rPr/>
              <w:t>October 1, 2024</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Note: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Aggregate number of shares beneficially owned by the person account for less than 1% of our total outstanding ordinary shares. </w:t>
            </w:r>
          </w:p>
        </w:tc>
      </w:tr>
    </w:tbl>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275"/>
        <w:gridCol w:w="1445"/>
      </w:tblGrid>
      <w:tr>
        <w:trPr/>
        <w:tc>
          <w:tcPr>
            <w:tcW w:w="275" w:type="dxa"/>
            <w:tcBorders/>
            <w:vAlign w:val="center"/>
          </w:tcPr>
          <w:p>
            <w:pPr>
              <w:pStyle w:val="TableContents"/>
              <w:bidi w:val="0"/>
              <w:spacing w:before="0" w:after="283"/>
              <w:jc w:val="left"/>
              <w:rPr>
                <w:b/>
              </w:rPr>
            </w:pPr>
            <w:r>
              <w:rPr>
                <w:b/>
              </w:rPr>
              <w:t>C.</w:t>
            </w:r>
          </w:p>
        </w:tc>
        <w:tc>
          <w:tcPr>
            <w:tcW w:w="1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Board Practices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consists of ten directors. A director is not required to hold any shares in our company by way of qualification. A director may vote with respect to any contract or transaction in which he or she is materially interested provided the nature of the interest is disclosed prior to its consideration. Subject to our second amended and restated memorandum and articles of association, the directors may exercise all the powers of our company to borrow money, mortgage their undertaking, property, and uncalled capital, and issue debentures or other securities whether outright or as security for any debt, liability, or obligation of our company or of any third party. None of our directors has a service contract with us that provides for benefits upon termination of service.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Committees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We have four committees under the board of directors, namely the audit committee, the compensation committee, the nominating and corporate governance committee, and the ESG committee. We have adopted a charter for each of the audit committee, the compensation committee, and the nominating and corporate governance committee. Each committee’s members and functions are described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Audit Committee. Our audit committee consists of Ms. Kathleen Chien, Mr. Nanyan Zheng, and Mr. Chun Liu. Ms. Kathleen Chien, Mr. Nanyan Zheng, and Mr. Chun Liu satisfy the “independence” requirements under Section 303A of the Corporate Governance Rules of NYSE and Rule 10A-3 under the Exchange Act. Ms. Kathleen Chien is the chairperson of our audit committee. We have determined that Ms. Kathleen Chien qualifies as an “audit committee financial expert.” The purpose of the audit committee is to assist our board of directors with its oversight responsibilities regarding: (a) the integrity of our financial statements, (b) our compliance with legal and regulatory requirements, (c) the independent auditor’s qualifications and independence, and (d) the performance of our internal audit function and independent auditor. The audit committee will be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appointing the independent auditors and pre-approving all auditing and non-auditing services permitted to be performed by the independent auditors; </w:t>
            </w:r>
          </w:p>
        </w:tc>
      </w:tr>
    </w:tbl>
    <w:p>
      <w:pPr>
        <w:pStyle w:val="TextBody"/>
        <w:bidi w:val="0"/>
        <w:spacing w:before="0" w:after="0"/>
        <w:jc w:val="left"/>
        <w:rPr/>
      </w:pPr>
      <w:r>
        <w:rPr/>
        <w:t> </w:t>
      </w:r>
    </w:p>
    <w:tbl>
      <w:tblPr>
        <w:tblW w:w="8725" w:type="dxa"/>
        <w:jc w:val="left"/>
        <w:tblInd w:w="0" w:type="dxa"/>
        <w:tblLayout w:type="fixed"/>
        <w:tblCellMar>
          <w:top w:w="0" w:type="dxa"/>
          <w:left w:w="0" w:type="dxa"/>
          <w:bottom w:w="0" w:type="dxa"/>
          <w:right w:w="0" w:type="dxa"/>
        </w:tblCellMar>
      </w:tblPr>
      <w:tblGrid>
        <w:gridCol w:w="75"/>
        <w:gridCol w:w="110"/>
        <w:gridCol w:w="60"/>
        <w:gridCol w:w="8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with the independent auditors any audit problems or difficulties and management’s response; </w:t>
            </w:r>
          </w:p>
        </w:tc>
      </w:tr>
    </w:tbl>
    <w:p>
      <w:pPr>
        <w:pStyle w:val="TextBody"/>
        <w:bidi w:val="0"/>
        <w:spacing w:before="0" w:after="0"/>
        <w:jc w:val="left"/>
        <w:rPr/>
      </w:pPr>
      <w:r>
        <w:rPr/>
        <w:t> </w:t>
      </w:r>
    </w:p>
    <w:tbl>
      <w:tblPr>
        <w:tblW w:w="8365" w:type="dxa"/>
        <w:jc w:val="left"/>
        <w:tblInd w:w="0" w:type="dxa"/>
        <w:tblLayout w:type="fixed"/>
        <w:tblCellMar>
          <w:top w:w="0" w:type="dxa"/>
          <w:left w:w="0" w:type="dxa"/>
          <w:bottom w:w="0" w:type="dxa"/>
          <w:right w:w="0" w:type="dxa"/>
        </w:tblCellMar>
      </w:tblPr>
      <w:tblGrid>
        <w:gridCol w:w="75"/>
        <w:gridCol w:w="110"/>
        <w:gridCol w:w="60"/>
        <w:gridCol w:w="8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discussing the annual audited financial statements with management and the independent auditors;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the adequacy and effectiveness of our accounting and internal control policies and procedures and any steps taken to monitor and control major financial risk exposures;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all proposed related party transactions;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meeting separately and periodically with management and the independent auditors; and monitoring compliance with our code of business conduct and ethics, including reviewing the adequacy and effectiveness of our procedures to ensure proper compliance. </w:t>
            </w:r>
          </w:p>
        </w:tc>
      </w:tr>
    </w:tbl>
    <w:p>
      <w:pPr>
        <w:pStyle w:val="TextBody"/>
        <w:bidi w:val="0"/>
        <w:spacing w:before="240" w:after="0"/>
        <w:jc w:val="left"/>
        <w:rPr>
          <w:rFonts w:ascii="Times New Roman" w:hAnsi="Times New Roman"/>
          <w:sz w:val="20"/>
        </w:rPr>
      </w:pPr>
      <w:r>
        <w:rPr>
          <w:rFonts w:ascii="Times New Roman" w:hAnsi="Times New Roman"/>
          <w:i/>
          <w:sz w:val="20"/>
        </w:rPr>
        <w:t>Compensation Committee</w:t>
      </w:r>
      <w:r>
        <w:rPr>
          <w:rFonts w:ascii="Times New Roman" w:hAnsi="Times New Roman"/>
          <w:sz w:val="20"/>
        </w:rPr>
        <w:t xml:space="preserve">. Our compensation committee consists of Mr. Nanyan Zheng, Ms. Kathleen Chien, and Mr. Frank Lin. Mr. Nanyan Zheng, Mr. Frank Lin, and Ms. Kathleen Chien satisfy the “independence” requirements under Section 303A of the Corporate Governance Rules of the NYSE. Mr. Nanyan Zheng is the chairperson of our compensation committee. The compensation committee assists the board in reviewing and approving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approving, or recommending to the board for its approval, the compensation for our chief executive officer and other executive officers; and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and recommending to the board for determination with respect to the compensation of our directors; and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110"/>
        <w:gridCol w:w="60"/>
        <w:gridCol w:w="9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periodically and approving any incentive compensation or equity plans, programs or similar arrangements. </w:t>
            </w:r>
          </w:p>
        </w:tc>
      </w:tr>
    </w:tbl>
    <w:p>
      <w:pPr>
        <w:pStyle w:val="TextBody"/>
        <w:bidi w:val="0"/>
        <w:spacing w:before="240" w:after="0"/>
        <w:jc w:val="left"/>
        <w:rPr>
          <w:rFonts w:ascii="Times New Roman" w:hAnsi="Times New Roman"/>
          <w:sz w:val="20"/>
        </w:rPr>
      </w:pPr>
      <w:r>
        <w:rPr>
          <w:rFonts w:ascii="Times New Roman" w:hAnsi="Times New Roman"/>
          <w:i/>
          <w:sz w:val="20"/>
        </w:rPr>
        <w:t>Nominating and Corporate Governance Committee</w:t>
      </w:r>
      <w:r>
        <w:rPr>
          <w:rFonts w:ascii="Times New Roman" w:hAnsi="Times New Roman"/>
          <w:sz w:val="20"/>
        </w:rPr>
        <w:t xml:space="preserve">. Our nominating and corporate governance committee consists of Mr. Nanyan Zheng, Ms. Kathleen Chien, and Mr. Xing Liu. Mr. Nanyan Zheng, Ms. Kathleen Chien, and Mr. Xing Liu satisfy the “independence” requirements under Section 303A of the Corporate Governance Rules of the NYSE. Mr. Nanyan Zheng is the chairperson of our nominating and corporate governance committee.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 </w:t>
      </w:r>
    </w:p>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110"/>
        <w:gridCol w:w="60"/>
        <w:gridCol w:w="9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selecting and recommending to the board nominees for election by the shareholders or appointment by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reviewing annually with the board the current composition of the board with regard to characteristics such as independence, knowledge, skills, experience and diversity;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making recommendations on the frequency and structure of board meetings and monitoring the functioning of the committees of the board;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and 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 </w:t>
            </w:r>
          </w:p>
        </w:tc>
      </w:tr>
    </w:tbl>
    <w:p>
      <w:pPr>
        <w:pStyle w:val="TextBody"/>
        <w:bidi w:val="0"/>
        <w:spacing w:before="240" w:after="0"/>
        <w:jc w:val="left"/>
        <w:rPr>
          <w:rFonts w:ascii="Times New Roman" w:hAnsi="Times New Roman"/>
          <w:sz w:val="20"/>
        </w:rPr>
      </w:pPr>
      <w:r>
        <w:rPr>
          <w:rFonts w:ascii="Times New Roman" w:hAnsi="Times New Roman"/>
          <w:i/>
          <w:sz w:val="20"/>
        </w:rPr>
        <w:t>ESG Committee</w:t>
      </w:r>
      <w:r>
        <w:rPr>
          <w:rFonts w:ascii="Times New Roman" w:hAnsi="Times New Roman"/>
          <w:sz w:val="20"/>
        </w:rPr>
        <w:t xml:space="preserve">. Our ESG committee consists of Mr. Eric Ya Shen, Mr. Authur Xiaobo Hong, and Mr. Frank Lin. Mr. Eric Ya Shen is the chairperson of our ESG committee. The ESG committee is responsible for systematically evaluating, monitoring, and carrying out a variety of ESG initiatives with an aim to strengthen the ESG awareness and efforts at full scale, ranging from energy conservation and emission reduction, responsibility management, customer services, and sustainable supply chain, among other things.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Duties of Directors </w:t>
      </w:r>
    </w:p>
    <w:p>
      <w:pPr>
        <w:pStyle w:val="TextBody"/>
        <w:bidi w:val="0"/>
        <w:spacing w:before="120" w:after="0"/>
        <w:jc w:val="left"/>
        <w:rPr>
          <w:rFonts w:ascii="Times New Roman" w:hAnsi="Times New Roman"/>
          <w:sz w:val="20"/>
        </w:rPr>
      </w:pPr>
      <w:r>
        <w:rPr>
          <w:rFonts w:ascii="Times New Roman" w:hAnsi="Times New Roman"/>
          <w:sz w:val="20"/>
        </w:rPr>
        <w:t xml:space="preserve">Under Cayman Islands law, our directors have a duty of loyalty to act honestly in good faith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Our company has the right to seek damages if a duty owed by our directors to us is breached.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Terms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Our officers are elected by and serve at the discretion of the board of directors and the shareholders. Our directors are not subject to a term of office and hold office until such time as they are removed from office by ordinary resolution of the shareholders in a general meeting or by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 </w:t>
      </w:r>
    </w:p>
    <w:p>
      <w:pPr>
        <w:pStyle w:val="TextBody"/>
        <w:bidi w:val="0"/>
        <w:spacing w:before="0" w:after="0"/>
        <w:jc w:val="left"/>
        <w:rPr/>
      </w:pPr>
      <w:r>
        <w:rPr/>
        <w:t> </w:t>
      </w:r>
    </w:p>
    <w:tbl>
      <w:tblPr>
        <w:tblW w:w="1285" w:type="dxa"/>
        <w:jc w:val="left"/>
        <w:tblInd w:w="0" w:type="dxa"/>
        <w:tblLayout w:type="fixed"/>
        <w:tblCellMar>
          <w:top w:w="0" w:type="dxa"/>
          <w:left w:w="0" w:type="dxa"/>
          <w:bottom w:w="0" w:type="dxa"/>
          <w:right w:w="0" w:type="dxa"/>
        </w:tblCellMar>
      </w:tblPr>
      <w:tblGrid>
        <w:gridCol w:w="275"/>
        <w:gridCol w:w="1010"/>
      </w:tblGrid>
      <w:tr>
        <w:trPr/>
        <w:tc>
          <w:tcPr>
            <w:tcW w:w="275" w:type="dxa"/>
            <w:tcBorders/>
            <w:vAlign w:val="center"/>
          </w:tcPr>
          <w:p>
            <w:pPr>
              <w:pStyle w:val="TableContents"/>
              <w:bidi w:val="0"/>
              <w:spacing w:before="0" w:after="283"/>
              <w:jc w:val="left"/>
              <w:rPr>
                <w:b/>
              </w:rPr>
            </w:pPr>
            <w:r>
              <w:rPr>
                <w:b/>
              </w:rPr>
              <w:t>D.</w:t>
            </w:r>
          </w:p>
        </w:tc>
        <w:tc>
          <w:tcPr>
            <w:tcW w:w="10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Employees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of December 31, 2024, we had 14,966 full-time employees, compared with 6,815 and 14,638 employees as of December 31, 2022 and 2023, respectively. The increase in the number of full-time employees as of December 31, 2023, as compared to that of December 31, 2022, was primarily due to increases in headcounts of warehouse management and customer services, as we transferred the outsourced personnel for warehouse management and customer service into direct employment as part of our employee engagement initiatives.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number of our full time employees categorized by areas of operations as of December 31, 2024: </w:t>
      </w:r>
    </w:p>
    <w:p>
      <w:pPr>
        <w:pStyle w:val="TextBody"/>
        <w:bidi w:val="0"/>
        <w:spacing w:before="0" w:after="0"/>
        <w:jc w:val="left"/>
        <w:rPr/>
      </w:pPr>
      <w:r>
        <w:rPr/>
        <w:t> </w:t>
      </w:r>
    </w:p>
    <w:tbl>
      <w:tblPr>
        <w:tblW w:w="4885" w:type="dxa"/>
        <w:jc w:val="left"/>
        <w:tblInd w:w="0" w:type="dxa"/>
        <w:tblLayout w:type="fixed"/>
        <w:tblCellMar>
          <w:top w:w="0" w:type="dxa"/>
          <w:left w:w="0" w:type="dxa"/>
          <w:bottom w:w="0" w:type="dxa"/>
          <w:right w:w="0" w:type="dxa"/>
        </w:tblCellMar>
      </w:tblPr>
      <w:tblGrid>
        <w:gridCol w:w="3560"/>
        <w:gridCol w:w="120"/>
        <w:gridCol w:w="91"/>
        <w:gridCol w:w="1039"/>
        <w:gridCol w:w="75"/>
      </w:tblGrid>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Operations</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Employees</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Merchandising</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1,084</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Products and technology support</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1,726</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Business development, sales and marketing</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154</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Internet finance</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Customer service</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709</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Warehouse management</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8,617</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Offline stores</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556</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Administration and management</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701</w:t>
            </w:r>
          </w:p>
        </w:tc>
        <w:tc>
          <w:tcPr>
            <w:tcW w:w="75"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1,371</w:t>
            </w:r>
          </w:p>
        </w:tc>
        <w:tc>
          <w:tcPr>
            <w:tcW w:w="7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pBdr>
                <w:top w:val="single" w:sz="2" w:space="1" w:color="000000"/>
              </w:pBdr>
              <w:bidi w:val="0"/>
              <w:spacing w:before="0" w:after="0"/>
              <w:jc w:val="left"/>
              <w:rPr/>
            </w:pPr>
            <w:r>
              <w:rPr/>
              <w:t> </w:t>
            </w:r>
          </w:p>
        </w:tc>
        <w:tc>
          <w:tcPr>
            <w:tcW w:w="1039"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14,966</w:t>
            </w:r>
          </w:p>
        </w:tc>
        <w:tc>
          <w:tcPr>
            <w:tcW w:w="7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1" w:type="dxa"/>
            <w:tcBorders/>
            <w:vAlign w:val="center"/>
          </w:tcPr>
          <w:p>
            <w:pPr>
              <w:pStyle w:val="TableContents"/>
              <w:pBdr>
                <w:top w:val="double" w:sz="6" w:space="1" w:color="000000"/>
              </w:pBdr>
              <w:bidi w:val="0"/>
              <w:spacing w:before="0" w:after="0"/>
              <w:jc w:val="left"/>
              <w:rPr/>
            </w:pPr>
            <w:r>
              <w:rPr/>
              <w:t> </w:t>
            </w:r>
          </w:p>
        </w:tc>
        <w:tc>
          <w:tcPr>
            <w:tcW w:w="1039"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success depends on our ability to attract, retain, and motivate qualified personnel. We have developed a corporate culture that encourages teamwork, effectiveness, personal development, and commitment to providing our customers with superior services. We regularly provide our employees with training tailored to each job function to enhance performance and service quality.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the PRC laws and regulations, we participate in various employee social security plans that are organized by municipal and provincial governments, including pension, unemployment insurance, childbirth insurance, work-related injury insurance, medical insurance, and housing insurance. We are required under the PRC law to make contributions to employee benefit plans at specified percentages of the salaries, bonuses, and certain allowances of our employees, up to a maximum amount specified by the local government from time to time. In addition, we also provide our employees fringe benefits such as free lunches and periodic appreciation payments to employees’ family members. For the year ended December 31, 2024, we did not experience any significant labor disputes. </w:t>
      </w:r>
    </w:p>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260"/>
        <w:gridCol w:w="1535"/>
      </w:tblGrid>
      <w:tr>
        <w:trPr/>
        <w:tc>
          <w:tcPr>
            <w:tcW w:w="260" w:type="dxa"/>
            <w:tcBorders/>
            <w:vAlign w:val="center"/>
          </w:tcPr>
          <w:p>
            <w:pPr>
              <w:pStyle w:val="TableContents"/>
              <w:bidi w:val="0"/>
              <w:spacing w:before="0" w:after="283"/>
              <w:jc w:val="left"/>
              <w:rPr>
                <w:b/>
              </w:rPr>
            </w:pPr>
            <w:r>
              <w:rPr>
                <w:b/>
              </w:rPr>
              <w:t>E.</w:t>
            </w:r>
          </w:p>
        </w:tc>
        <w:tc>
          <w:tcPr>
            <w:tcW w:w="15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 Ownership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information with respect to the beneficial ownership of our ordinary shares as of March 31, 2025 by: </w:t>
      </w:r>
    </w:p>
    <w:p>
      <w:pPr>
        <w:pStyle w:val="TextBody"/>
        <w:bidi w:val="0"/>
        <w:spacing w:before="0" w:after="0"/>
        <w:jc w:val="left"/>
        <w:rPr/>
      </w:pPr>
      <w:r>
        <w:rPr/>
        <w:t> </w:t>
      </w:r>
    </w:p>
    <w:tbl>
      <w:tblPr>
        <w:tblW w:w="4210" w:type="dxa"/>
        <w:jc w:val="left"/>
        <w:tblInd w:w="0" w:type="dxa"/>
        <w:tblLayout w:type="fixed"/>
        <w:tblCellMar>
          <w:top w:w="0" w:type="dxa"/>
          <w:left w:w="0" w:type="dxa"/>
          <w:bottom w:w="0" w:type="dxa"/>
          <w:right w:w="0" w:type="dxa"/>
        </w:tblCellMar>
      </w:tblPr>
      <w:tblGrid>
        <w:gridCol w:w="75"/>
        <w:gridCol w:w="110"/>
        <w:gridCol w:w="60"/>
        <w:gridCol w:w="39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executive officers; and </w:t>
            </w:r>
          </w:p>
        </w:tc>
      </w:tr>
    </w:tbl>
    <w:p>
      <w:pPr>
        <w:pStyle w:val="TextBody"/>
        <w:bidi w:val="0"/>
        <w:spacing w:before="0" w:after="0"/>
        <w:jc w:val="left"/>
        <w:rPr/>
      </w:pPr>
      <w:r>
        <w:rPr/>
        <w:t> </w:t>
      </w:r>
    </w:p>
    <w:tbl>
      <w:tblPr>
        <w:tblW w:w="6760" w:type="dxa"/>
        <w:jc w:val="left"/>
        <w:tblInd w:w="0" w:type="dxa"/>
        <w:tblLayout w:type="fixed"/>
        <w:tblCellMar>
          <w:top w:w="0" w:type="dxa"/>
          <w:left w:w="0" w:type="dxa"/>
          <w:bottom w:w="0" w:type="dxa"/>
          <w:right w:w="0" w:type="dxa"/>
        </w:tblCellMar>
      </w:tblPr>
      <w:tblGrid>
        <w:gridCol w:w="75"/>
        <w:gridCol w:w="110"/>
        <w:gridCol w:w="60"/>
        <w:gridCol w:w="6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beneficially own 5% or more of our ordinary shares.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calculations in the shareholder table below are based on 102,976,663 ordinary shares issued and outstanding as of March 31, 2025, comprising of (i) 87,416,305 Class A ordinary shares, excluding the 12,655,663 Class A ordinary shares issued to Deutsche Bank Trust Company Americas, the depositary of our ADS program, for bulk issuance of ADSs reserved for future issuances upon the exercise or vesting of awards granted under our stock incentive plans and our treasury ADSs, and (ii) 15,560,358 Class B ordinary shares. </w:t>
      </w:r>
    </w:p>
    <w:p>
      <w:pPr>
        <w:pStyle w:val="TextBody"/>
        <w:bidi w:val="0"/>
        <w:spacing w:before="0" w:after="0"/>
        <w:jc w:val="left"/>
        <w:rPr/>
      </w:pPr>
      <w:r>
        <w:rPr/>
        <w:t> </w:t>
      </w:r>
    </w:p>
    <w:tbl>
      <w:tblPr>
        <w:tblW w:w="7009" w:type="dxa"/>
        <w:jc w:val="left"/>
        <w:tblInd w:w="0" w:type="dxa"/>
        <w:tblLayout w:type="fixed"/>
        <w:tblCellMar>
          <w:top w:w="0" w:type="dxa"/>
          <w:left w:w="0" w:type="dxa"/>
          <w:bottom w:w="0" w:type="dxa"/>
          <w:right w:w="0" w:type="dxa"/>
        </w:tblCellMar>
      </w:tblPr>
      <w:tblGrid>
        <w:gridCol w:w="3740"/>
        <w:gridCol w:w="120"/>
        <w:gridCol w:w="111"/>
        <w:gridCol w:w="2039"/>
        <w:gridCol w:w="60"/>
        <w:gridCol w:w="120"/>
        <w:gridCol w:w="63"/>
        <w:gridCol w:w="466"/>
        <w:gridCol w:w="290"/>
      </w:tblGrid>
      <w:tr>
        <w:trPr/>
        <w:tc>
          <w:tcPr>
            <w:tcW w:w="3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50" w:type="dxa"/>
            <w:gridSpan w:val="2"/>
            <w:tcBorders>
              <w:bottom w:val="single" w:sz="8" w:space="0" w:color="000000"/>
            </w:tcBorders>
            <w:tcMar>
              <w:bottom w:w="28" w:type="dxa"/>
            </w:tcMar>
            <w:vAlign w:val="center"/>
          </w:tcPr>
          <w:p>
            <w:pPr>
              <w:pStyle w:val="TableContents"/>
              <w:bidi w:val="0"/>
              <w:spacing w:before="0" w:after="283"/>
              <w:jc w:val="center"/>
              <w:rPr/>
            </w:pPr>
            <w:r>
              <w:rPr>
                <w:b/>
              </w:rPr>
              <w:t>Number of Ordinary</w:t>
              <w:br/>
              <w:t>Shares</w:t>
            </w:r>
            <w:r>
              <w:rPr/>
              <w:br/>
            </w:r>
            <w:r>
              <w:rPr>
                <w:b/>
              </w:rPr>
              <w:t>Beneficially</w:t>
              <w:br/>
              <w:t>Owned(1)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w:t>
            </w:r>
          </w:p>
        </w:tc>
        <w:tc>
          <w:tcPr>
            <w:tcW w:w="29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 **:</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Eric Ya Shen(3)</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right"/>
              <w:rPr/>
            </w:pPr>
            <w:r>
              <w:rPr/>
              <w:t>18,299,191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17.4</w:t>
            </w:r>
          </w:p>
        </w:tc>
        <w:tc>
          <w:tcPr>
            <w:tcW w:w="29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Arthur Xiaobo Hong(4)</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39" w:type="dxa"/>
            <w:tcBorders/>
            <w:shd w:fill="CCEEFF" w:val="clear"/>
            <w:vAlign w:val="center"/>
          </w:tcPr>
          <w:p>
            <w:pPr>
              <w:pStyle w:val="TableContents"/>
              <w:bidi w:val="0"/>
              <w:spacing w:before="0" w:after="283"/>
              <w:jc w:val="right"/>
              <w:rPr/>
            </w:pPr>
            <w:r>
              <w:rPr/>
              <w:t>11,091,048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10.5</w:t>
            </w:r>
          </w:p>
        </w:tc>
        <w:tc>
          <w:tcPr>
            <w:tcW w:w="29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Martin Chi Ping Lau(5)</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Jacky Xu(6)</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Chun Liu(7)</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Frank Lin(8)</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Xing Liu(9)</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Kathleen Chien(10)</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Nanyan Zheng(11)</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Donghao Yang(12)</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 Wang</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Mike Li</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3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right"/>
              <w:rPr/>
            </w:pPr>
            <w:r>
              <w:rPr/>
              <w:t>29,901,130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27.7</w:t>
            </w:r>
          </w:p>
        </w:tc>
        <w:tc>
          <w:tcPr>
            <w:tcW w:w="29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Principal Shareholders:</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203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 **:</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Elegant Motion Holdings Limited(13)</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39" w:type="dxa"/>
            <w:tcBorders/>
            <w:shd w:fill="CCEEFF" w:val="clear"/>
            <w:vAlign w:val="center"/>
          </w:tcPr>
          <w:p>
            <w:pPr>
              <w:pStyle w:val="TableContents"/>
              <w:bidi w:val="0"/>
              <w:spacing w:before="0" w:after="283"/>
              <w:jc w:val="right"/>
              <w:rPr/>
            </w:pPr>
            <w:r>
              <w:rPr/>
              <w:t>15,941,084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15.5</w:t>
            </w:r>
          </w:p>
        </w:tc>
        <w:tc>
          <w:tcPr>
            <w:tcW w:w="290"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Tencent Mobility Limited(14)</w:t>
            </w:r>
          </w:p>
        </w:tc>
        <w:tc>
          <w:tcPr>
            <w:tcW w:w="120" w:type="dxa"/>
            <w:tcBorders/>
            <w:vAlign w:val="center"/>
          </w:tcPr>
          <w:p>
            <w:pPr>
              <w:pStyle w:val="TableContents"/>
              <w:bidi w:val="0"/>
              <w:spacing w:before="0" w:after="283"/>
              <w:jc w:val="left"/>
              <w:rPr/>
            </w:pPr>
            <w:r>
              <w:rPr/>
              <w:t>  </w:t>
            </w:r>
          </w:p>
        </w:tc>
        <w:tc>
          <w:tcPr>
            <w:tcW w:w="111" w:type="dxa"/>
            <w:tcBorders/>
            <w:vAlign w:val="center"/>
          </w:tcPr>
          <w:p>
            <w:pPr>
              <w:pStyle w:val="TableContents"/>
              <w:bidi w:val="0"/>
              <w:spacing w:before="0" w:after="283"/>
              <w:jc w:val="left"/>
              <w:rPr/>
            </w:pPr>
            <w:r>
              <w:rPr/>
              <w:t> </w:t>
            </w:r>
          </w:p>
        </w:tc>
        <w:tc>
          <w:tcPr>
            <w:tcW w:w="2039" w:type="dxa"/>
            <w:tcBorders/>
            <w:vAlign w:val="center"/>
          </w:tcPr>
          <w:p>
            <w:pPr>
              <w:pStyle w:val="TableContents"/>
              <w:bidi w:val="0"/>
              <w:spacing w:before="0" w:after="283"/>
              <w:jc w:val="right"/>
              <w:rPr/>
            </w:pPr>
            <w:r>
              <w:rPr/>
              <w:t>12,852,698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right"/>
              <w:rPr/>
            </w:pPr>
            <w:r>
              <w:rPr/>
              <w:t>12.5</w:t>
            </w:r>
          </w:p>
        </w:tc>
        <w:tc>
          <w:tcPr>
            <w:tcW w:w="290"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High Vivacity Holdings Limited(15)</w:t>
            </w:r>
          </w:p>
        </w:tc>
        <w:tc>
          <w:tcPr>
            <w:tcW w:w="12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2039" w:type="dxa"/>
            <w:tcBorders/>
            <w:shd w:fill="CCEEFF" w:val="clear"/>
            <w:vAlign w:val="center"/>
          </w:tcPr>
          <w:p>
            <w:pPr>
              <w:pStyle w:val="TableContents"/>
              <w:bidi w:val="0"/>
              <w:spacing w:before="0" w:after="283"/>
              <w:jc w:val="right"/>
              <w:rPr/>
            </w:pPr>
            <w:r>
              <w:rPr/>
              <w:t>8,707,142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right"/>
              <w:rPr/>
            </w:pPr>
            <w:r>
              <w:rPr/>
              <w:t>8.5</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6"/>
        </w:rPr>
      </w:pPr>
      <w:r>
        <w:rPr>
          <w:rFonts w:ascii="Times New Roman" w:hAnsi="Times New Roman"/>
          <w:sz w:val="16"/>
        </w:rPr>
        <w:t xml:space="preserve">Notes: </w:t>
      </w:r>
    </w:p>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155"/>
        <w:gridCol w:w="4445"/>
      </w:tblGrid>
      <w:tr>
        <w:trPr/>
        <w:tc>
          <w:tcPr>
            <w:tcW w:w="155"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than 1% of our total outstanding ordinary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283"/>
              <w:jc w:val="left"/>
              <w:rPr/>
            </w:pPr>
            <w:r>
              <w:rPr/>
              <w:t>**</w:t>
            </w:r>
          </w:p>
        </w:tc>
        <w:tc>
          <w:tcPr>
            <w:tcW w:w="100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Except for Mr. Frank Lin, Mr. Jacky Xu, Mr. Donghao Yang, Mr. Xing Liu, Mr. Nanyan Zheng, Ms. Kathleen Chien, Mr. Chun Liu, and Mr. Martin Chi Ping Lau, the business address of our directors and executive officers is c/o 128 Dingxin Road, Haizhu District, Guangzhou 510220, People’s Republic of China. </w:t>
            </w:r>
          </w:p>
        </w:tc>
      </w:tr>
    </w:tbl>
    <w:tbl>
      <w:tblPr>
        <w:tblW w:w="10205" w:type="dxa"/>
        <w:jc w:val="left"/>
        <w:tblInd w:w="0" w:type="dxa"/>
        <w:tblLayout w:type="fixed"/>
        <w:tblCellMar>
          <w:top w:w="0" w:type="dxa"/>
          <w:left w:w="0" w:type="dxa"/>
          <w:bottom w:w="0" w:type="dxa"/>
          <w:right w:w="0" w:type="dxa"/>
        </w:tblCellMar>
      </w:tblPr>
      <w:tblGrid>
        <w:gridCol w:w="268"/>
        <w:gridCol w:w="9937"/>
      </w:tblGrid>
      <w:tr>
        <w:trPr/>
        <w:tc>
          <w:tcPr>
            <w:tcW w:w="268"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our directors and executive officers have been granted options and restricted shares pursuant to our stock incentive plans. See “Item 6. Directors, Senior Management and Employees—B. Compensation-Stock Incentive Plans.” </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pPr>
            <w:r>
              <w:rPr/>
              <w:t>(1)</w:t>
            </w:r>
          </w:p>
        </w:tc>
        <w:tc>
          <w:tcPr>
            <w:tcW w:w="991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is determined in accordance with the SEC rules and includes voting or investment power with respect to the securities.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(2)</w:t>
            </w:r>
          </w:p>
        </w:tc>
        <w:tc>
          <w:tcPr>
            <w:tcW w:w="99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each person and group included in this column, percentage ownership is calculated by dividing the number of shares beneficially owned by such person or group by the sum of the number of shares outstanding and the number of shares such person or group has the right to acquire upon exercise of the stock options or vesting of restricted shares within 60 days after March 31, 2025.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(3)</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Beneficially owned through Elegant Motion Holdings Limited, a British Virgin Islands company, and options of Mr. Eric Ya Shen granted under our share incentive plans to acquire Class A ordinary shares. Elegant Motion Holdings Limited is ultimately wholly owned by the SYZXC Trust. Under the terms of the SYZXC Trust, Mr. Eric Ya Shen and his wife Ms. Xiaochun Zhang have the power to jointly direct the trustee with respect to the retention or disposal of, and the exercise of any voting and other rights attached to these shares. As of March 31, 2025, Mr. Eric Ya Shen beneficially owned (i) 2,533 Class A ordinary shares, (ii) 2,355,574 Class A ordinary shares issuable to Mr. Eric Ya Shen upon the exercise of options within 60 days after March 31, 2025, and (iii) 380,726 Class A ordinary shares and 15,560,358 Class B ordinary shares held by Elegant Motion Holdings Limited, representing 64.5% of the aggregate voting power of our company. </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(4)</w:t>
            </w:r>
          </w:p>
        </w:tc>
        <w:tc>
          <w:tcPr>
            <w:tcW w:w="996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Beneficially owned through High Vivacity Holdings Limited, a British Virgin Islands company, which is ultimately wholly owned by the Nasa Stand Trust, and options of Mr. Hong granted under our share incentive plans to acquire Class A ordinary shares. Under the terms of the Nasa Stand Trust, Mr. Hong has the power to direct the trustee with respect to the retention or disposal of, and the exercise of any voting and other rights attached to these shares. As of March 31, 2025, Mr. Hong beneficially owned (i) 2,383,906 Class A ordinary shares that can be acquired by Mr. Arthur Xiaobo Hong within 60 days after March 31, 2025, and (ii) 8,707,142 Class A ordinary shares held by High Vivacity Holdings Limited. </w:t>
            </w:r>
          </w:p>
        </w:tc>
      </w:tr>
    </w:tbl>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(5)</w:t>
            </w:r>
          </w:p>
        </w:tc>
        <w:tc>
          <w:tcPr>
            <w:tcW w:w="992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Mr. Martin Chi Ping Lau is Tencent Binhai Towers, No. 33 Haitian 2nd Road, Nanshan District, Shenzhen 518054, People’s Republic of China. </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(6)</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Mr. Jacky Xu is 17/F, HNA Tower, No. 8 Linhe Zhong Road, Tianhe District, Guangzhou, People’s Republic of China. </w:t>
            </w:r>
          </w:p>
        </w:tc>
      </w:tr>
    </w:tbl>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before="0" w:after="283"/>
              <w:jc w:val="left"/>
              <w:rPr/>
            </w:pPr>
            <w:r>
              <w:rPr/>
              <w:t>(7)</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Mr. Liu is Level 11, Sohu.com Internet Plaza, No. 1 Unit Zhongguancun East Road, Haidian District, Beijing 100084, People’s Republic of China.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(8)</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Mr. Lin is Unit 1, Level 10, Tower W2, Oriental Plaza, Dongcheng District, Beijing, People’s Republic of China.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(9)</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Mr. Liu is a partner of HongShan. The business address of Mr. Liu is Suite 3613, 36/F, Two Pacific Place, 88 Queensway, Hong Kong. </w:t>
            </w:r>
          </w:p>
        </w:tc>
      </w:tr>
    </w:tbl>
    <w:tbl>
      <w:tblPr>
        <w:tblW w:w="10205" w:type="dxa"/>
        <w:jc w:val="left"/>
        <w:tblInd w:w="0" w:type="dxa"/>
        <w:tblLayout w:type="fixed"/>
        <w:tblCellMar>
          <w:top w:w="0" w:type="dxa"/>
          <w:left w:w="0" w:type="dxa"/>
          <w:bottom w:w="0" w:type="dxa"/>
          <w:right w:w="0" w:type="dxa"/>
        </w:tblCellMar>
      </w:tblPr>
      <w:tblGrid>
        <w:gridCol w:w="421"/>
        <w:gridCol w:w="9784"/>
      </w:tblGrid>
      <w:tr>
        <w:trPr/>
        <w:tc>
          <w:tcPr>
            <w:tcW w:w="421" w:type="dxa"/>
            <w:tcBorders/>
            <w:vAlign w:val="center"/>
          </w:tcPr>
          <w:p>
            <w:pPr>
              <w:pStyle w:val="TableContents"/>
              <w:bidi w:val="0"/>
              <w:spacing w:before="0" w:after="283"/>
              <w:jc w:val="left"/>
              <w:rPr/>
            </w:pPr>
            <w:r>
              <w:rPr/>
              <w:t>(10)</w:t>
            </w:r>
          </w:p>
        </w:tc>
        <w:tc>
          <w:tcPr>
            <w:tcW w:w="97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Ms. Chien is Building 3, No. 1387 Zhang Dong Road, Shanghai 201203, People’s Republic of China. </w:t>
            </w:r>
          </w:p>
        </w:tc>
      </w:tr>
    </w:tbl>
    <w:tbl>
      <w:tblPr>
        <w:tblW w:w="10205" w:type="dxa"/>
        <w:jc w:val="left"/>
        <w:tblInd w:w="0" w:type="dxa"/>
        <w:tblLayout w:type="fixed"/>
        <w:tblCellMar>
          <w:top w:w="0" w:type="dxa"/>
          <w:left w:w="0" w:type="dxa"/>
          <w:bottom w:w="0" w:type="dxa"/>
          <w:right w:w="0" w:type="dxa"/>
        </w:tblCellMar>
      </w:tblPr>
      <w:tblGrid>
        <w:gridCol w:w="420"/>
        <w:gridCol w:w="9785"/>
      </w:tblGrid>
      <w:tr>
        <w:trPr/>
        <w:tc>
          <w:tcPr>
            <w:tcW w:w="420" w:type="dxa"/>
            <w:tcBorders/>
            <w:vAlign w:val="center"/>
          </w:tcPr>
          <w:p>
            <w:pPr>
              <w:pStyle w:val="TableContents"/>
              <w:bidi w:val="0"/>
              <w:spacing w:before="0" w:after="283"/>
              <w:jc w:val="left"/>
              <w:rPr/>
            </w:pPr>
            <w:r>
              <w:rPr/>
              <w:t>(11)</w:t>
            </w:r>
          </w:p>
        </w:tc>
        <w:tc>
          <w:tcPr>
            <w:tcW w:w="97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Mr. Zheng is 10F, 705 Guangzhou Da Dao Nan Road, Guangzhou 510290, People’s Republic of China. </w:t>
            </w:r>
          </w:p>
        </w:tc>
      </w:tr>
    </w:tbl>
    <w:tbl>
      <w:tblPr>
        <w:tblW w:w="10205" w:type="dxa"/>
        <w:jc w:val="left"/>
        <w:tblInd w:w="0" w:type="dxa"/>
        <w:tblLayout w:type="fixed"/>
        <w:tblCellMar>
          <w:top w:w="0" w:type="dxa"/>
          <w:left w:w="0" w:type="dxa"/>
          <w:bottom w:w="0" w:type="dxa"/>
          <w:right w:w="0" w:type="dxa"/>
        </w:tblCellMar>
      </w:tblPr>
      <w:tblGrid>
        <w:gridCol w:w="410"/>
        <w:gridCol w:w="9795"/>
      </w:tblGrid>
      <w:tr>
        <w:trPr/>
        <w:tc>
          <w:tcPr>
            <w:tcW w:w="410" w:type="dxa"/>
            <w:tcBorders/>
            <w:vAlign w:val="center"/>
          </w:tcPr>
          <w:p>
            <w:pPr>
              <w:pStyle w:val="TableContents"/>
              <w:bidi w:val="0"/>
              <w:spacing w:before="0" w:after="283"/>
              <w:jc w:val="left"/>
              <w:rPr/>
            </w:pPr>
            <w:r>
              <w:rPr/>
              <w:t>(12)</w:t>
            </w:r>
          </w:p>
        </w:tc>
        <w:tc>
          <w:tcPr>
            <w:tcW w:w="9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business address of Mr. Yang is Building 35, No. 2519 East Xingang Road, Haizhu District, Guangzhou 510330, People’s Republic of China. </w:t>
            </w:r>
          </w:p>
        </w:tc>
      </w:tr>
    </w:tbl>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(13)</w:t>
            </w:r>
          </w:p>
        </w:tc>
        <w:tc>
          <w:tcPr>
            <w:tcW w:w="98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Elegant Motion Holdings Limited, or Elegant Motion, is a British Virgin Islands company. Elegant Motion is ultimately wholly owned by the SYZXC Trust. Under the terms of the SYZXC Trust, Mr. Eric Ya Shen and his wife Ms. Xiaochun Zhang have the power to jointly direct the trustee with respect to the retention or disposal of, and the exercise of any voting and other rights attached to these shares, as reported by Elegant Motion, Eric Ya Shen, and Xiaochun Zhang on the Schedule 13G/A filed with the SEC on November 15, 2024. The ordinary shares directly held by Elegrant Motion as of December 31, 2023 were also reported by UBS Group AG directly and on behalf of certain subsidiaries, including UBS TC (Jersey) Ltd., the entity serving as the trustee of the SYZXC Trust, on the Schedule 13G/A filed with the SEC on February 5, 2024. The registered address of Elegant Motion Holdings Limited is Trident Chambers, Wickhams Cay, PO Box 146, Road Town, Tortola, British Virgin Islands.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pPr>
            <w:r>
              <w:rPr/>
              <w:t>(14)</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12,852,698 Class A ordinary shares held by Tencent Mobility Limited as reported on the Schedule 13D/A filed with the SEC on December 16, 2019. Tencent Mobility Limited is a company limited by shares incorporated in Hong Kong and is wholly owned by Tencent Holdings Limited (SEHK: 0700), a Hong Kong-listed Cayman Islands company, based on the Schedule 13D/A filed by Tencent Mobility Limited and Tencent Holdings Limited with the SEC on December 16, 2019. The principal office address of Tencent Mobility Limited is 29/F., Three Pacific Place, No. 1 Queen’s Road East, Wanchai, Hong Kong. </w:t>
            </w:r>
          </w:p>
        </w:tc>
      </w:tr>
    </w:tbl>
    <w:tbl>
      <w:tblPr>
        <w:tblW w:w="10205" w:type="dxa"/>
        <w:jc w:val="left"/>
        <w:tblInd w:w="0" w:type="dxa"/>
        <w:tblLayout w:type="fixed"/>
        <w:tblCellMar>
          <w:top w:w="0" w:type="dxa"/>
          <w:left w:w="0" w:type="dxa"/>
          <w:bottom w:w="0" w:type="dxa"/>
          <w:right w:w="0" w:type="dxa"/>
        </w:tblCellMar>
      </w:tblPr>
      <w:tblGrid>
        <w:gridCol w:w="363"/>
        <w:gridCol w:w="9842"/>
      </w:tblGrid>
      <w:tr>
        <w:trPr/>
        <w:tc>
          <w:tcPr>
            <w:tcW w:w="363" w:type="dxa"/>
            <w:tcBorders/>
            <w:vAlign w:val="center"/>
          </w:tcPr>
          <w:p>
            <w:pPr>
              <w:pStyle w:val="TableContents"/>
              <w:bidi w:val="0"/>
              <w:spacing w:before="0" w:after="283"/>
              <w:jc w:val="left"/>
              <w:rPr/>
            </w:pPr>
            <w:r>
              <w:rPr/>
              <w:t>(15)</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High Vivacity Holdings Limited, or High Vivacity, is a British Virgin Islands company, which is ultimately wholly owned by the Nasa Stand Trust. Under the terms of the Nasa Stand Trust, Mr. Hong has the power to direct the trustee with respect to the retention or disposal of, and the exercise of any voting and other rights attached to these shares, as reported by High Vivacity and Arthur Xiaobo Hong on the Schedule 13G/A filed with the SEC on February 8, 2024. The registered address of High Vivacity Holdings Limited is Palm Grove House, P.O. Box 438, Road Town, Tortola, British Virgin Islands.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our knowledge and based on our review of our register of shareholders as of March 31, 2025, 82,489,720 Class A ordinary shares were held of record by one holder that resides in the United States, Deutsche Bank Trust Company Americas, the depositary of our ADS program. The number of beneficial owners of our ADSs in the United States is likely to be much larger than the number of record holders of our Class A ordinary shares in the United States. For the different voting rights of our Class A ordinary shareholders and Class B ordinary shareholders, please refer to “Item 4. Information on the Company—A. History and Development of the Company—Our Company.” We are not aware of any arrangement that may, at a subsequent date, result in a change of control of our company.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annual report, none of our ordinary shares are held by governmental entities of our place of incorporation, and no government entity in the place where our registered public accounting firm is located and organized has a controlling financial interest in our company. </w:t>
      </w:r>
    </w:p>
    <w:p>
      <w:pPr>
        <w:pStyle w:val="TextBody"/>
        <w:bidi w:val="0"/>
        <w:spacing w:before="240" w:after="0"/>
        <w:jc w:val="left"/>
        <w:rPr>
          <w:rFonts w:ascii="Times New Roman" w:hAnsi="Times New Roman"/>
          <w:sz w:val="20"/>
        </w:rPr>
      </w:pPr>
      <w:r>
        <w:rPr>
          <w:rFonts w:ascii="Times New Roman" w:hAnsi="Times New Roman"/>
          <w:sz w:val="20"/>
        </w:rPr>
        <w:t xml:space="preserve">For the options granted to our directors, officers and employees, please refer to “Item 6. Directors, Senior Management and Employees—B. Compensation.” </w:t>
      </w:r>
    </w:p>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245"/>
        <w:gridCol w:w="7130"/>
      </w:tblGrid>
      <w:tr>
        <w:trPr/>
        <w:tc>
          <w:tcPr>
            <w:tcW w:w="245" w:type="dxa"/>
            <w:tcBorders/>
            <w:vAlign w:val="center"/>
          </w:tcPr>
          <w:p>
            <w:pPr>
              <w:pStyle w:val="TableContents"/>
              <w:bidi w:val="0"/>
              <w:spacing w:before="0" w:after="283"/>
              <w:jc w:val="left"/>
              <w:rPr>
                <w:b/>
              </w:rPr>
            </w:pPr>
            <w:r>
              <w:rPr>
                <w:b/>
              </w:rPr>
              <w:t>F.</w:t>
            </w:r>
          </w:p>
        </w:tc>
        <w:tc>
          <w:tcPr>
            <w:tcW w:w="71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Disclosure of a Registrant’s Action to Recover Erroneously Awarded Compensation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Enforceability of Civil Liabilities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in the Cayman Islands and conduct substantially all of our operations in China through our PRC subsidiaries and the consolidated variable interest entities. Among our directors and executive officers, Arthur Xiaobo Hong, Martin Chi Ping Lau, Jacky Yu Xu, Xing Liu, and Nanyan Zheng habitually reside in Hong Kong while the other directors and executive officers all habitually reside in mainland China. As a result, it may be difficult for a shareholder to effect service of process within the United States upon these individuals,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We have been informed by our Cayman Islands legal counsel that 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We have also been advised by our Cayman Islands legal counsel that a judgment obtained in any federal or state court in the United States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and conclusive, (iv) is not in respect of taxes, a fine, or a penalty, and (v) was not obtained in a manner and is not of a kind the enforcement of which is contrary to natural justice or the public policy of the Cayman Islands.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Because the courts of the Cayman Islands have yet to rule on whether such judgments are penal or punitive in nature, it is uncertain whether such civil liability judgments from U.S. courts would be enforceable in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Our PRC legal counsel has advised us that there is uncertainty as to whether the courts in mainland China would: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recognize or enforce judgments of United States courts obtained against us or our directors or officers predicated upon the civil liability provisions of the securities laws of the United States or any state in the United States;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entertain original actions brought in each respective jurisdiction against us or our directors or officers predicated upon the securities laws of the United States or any state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PRC legal counsel has further advised us that the recognition and enforcement of foreign judgments are provided for under the PRC Civil Procedures Law. Courts in mainland China may recognize and enforce foreign judgments in accordance with the requirements of the PRC Civil Procedures Law and other applicable laws and regulations based either on treaties between mainland China and the country where the judgment is made or on principles of reciprocity between jurisdictions. Mainland China does not have any treaties or other form of reciprocity with the United States or the Cayman Islands that provide for the reciprocal recognition and enforcement of foreign judgments. In addition, according to the PRC Civil Procedures Law, courts in mainland China will not enforce a foreign judgment against us or our directors and officers if they decide that the judgment violates the basic principles of laws of mainland China or national sovereignty, security or public interest. As a result, it is uncertain whether and on what basis a court in mainland China would enforce a judgment rendered by a court in the United States or in the Cayman Islands. Under the PRC Civil Procedures Law, foreign shareholders may originate actions based on PRC laws against a company in mainland China for disputes if they can establish sufficient nexus to mainland China for a court in mainland China to have jurisdiction, and meet other procedural requirements. It will be, however, difficult for U.S. shareholders to originate actions against us in mainland China in accordance with PRC laws because we are incorporated under the laws of the Cayman Islands and it will be difficult for U.S. shareholders, by virtue only of holding the ADSs or ordinary shares, to establish a connection to mainland China for a court in mainland China to have jurisdiction as required under the PRC Civil Procedures Law. </w:t>
      </w:r>
    </w:p>
    <w:p>
      <w:pPr>
        <w:pStyle w:val="TextBody"/>
        <w:bidi w:val="0"/>
        <w:spacing w:before="240" w:after="0"/>
        <w:jc w:val="left"/>
        <w:rPr>
          <w:rFonts w:ascii="Times New Roman" w:hAnsi="Times New Roman"/>
          <w:sz w:val="20"/>
        </w:rPr>
      </w:pPr>
      <w:r>
        <w:rPr>
          <w:rFonts w:ascii="Times New Roman" w:hAnsi="Times New Roman"/>
          <w:sz w:val="20"/>
        </w:rPr>
        <w:t xml:space="preserve">Furthermore, the United States and Hong Kong do not have a bilateral treaty or multilateral convention in force on reciprocal recognition and enforcement of judgments either. As a result, any United States judgment is enforceable in Hong Kong pursuant to the common law regime in Hong Kong for recognizing and enforcing foreign judgments, which provides that a foreign judgment is enforceable if (i) it is final and conclusive on the merits, (ii) the judgment has been rendered by a court of competent jurisdiction, (iii) the judgment must be for a fixed sum of money, (iv) the judgment must be between the same parties as those before the Hong Kong court, and (v) enforcement of the judgment is not a breach of natural justice or against public policy. </w:t>
      </w:r>
    </w:p>
    <w:p>
      <w:pPr>
        <w:pStyle w:val="TextBody"/>
        <w:bidi w:val="0"/>
        <w:spacing w:before="240" w:after="0"/>
        <w:jc w:val="left"/>
        <w:rPr>
          <w:rFonts w:ascii="Times New Roman" w:hAnsi="Times New Roman"/>
          <w:sz w:val="20"/>
        </w:rPr>
      </w:pPr>
      <w:r>
        <w:rPr>
          <w:rFonts w:ascii="Times New Roman" w:hAnsi="Times New Roman"/>
          <w:sz w:val="20"/>
        </w:rPr>
        <w:t xml:space="preserve">Therefore, any United States judgement may only be enforceable in mainland China or Hong Kong provided that the conditions set forth in the laws of these jurisdictions are determined by the courts of mainland China or Hong Kong, as applicable, to have been fulfilled.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045" w:type="dxa"/>
        <w:jc w:val="left"/>
        <w:tblInd w:w="0" w:type="dxa"/>
        <w:tblLayout w:type="fixed"/>
        <w:tblCellMar>
          <w:top w:w="0" w:type="dxa"/>
          <w:left w:w="0" w:type="dxa"/>
          <w:bottom w:w="0" w:type="dxa"/>
          <w:right w:w="0" w:type="dxa"/>
        </w:tblCellMar>
      </w:tblPr>
      <w:tblGrid>
        <w:gridCol w:w="905"/>
        <w:gridCol w:w="6140"/>
      </w:tblGrid>
      <w:tr>
        <w:trPr/>
        <w:tc>
          <w:tcPr>
            <w:tcW w:w="905" w:type="dxa"/>
            <w:tcBorders/>
            <w:vAlign w:val="center"/>
          </w:tcPr>
          <w:p>
            <w:pPr>
              <w:pStyle w:val="TableContents"/>
              <w:bidi w:val="0"/>
              <w:spacing w:before="0" w:after="283"/>
              <w:jc w:val="left"/>
              <w:rPr>
                <w:b/>
              </w:rPr>
            </w:pPr>
            <w:bookmarkStart w:id="13" w:name="toc907177_10"/>
            <w:bookmarkEnd w:id="13"/>
            <w:r>
              <w:rPr>
                <w:b/>
              </w:rPr>
              <w:t>ITEM 7.</w:t>
            </w:r>
          </w:p>
        </w:tc>
        <w:tc>
          <w:tcPr>
            <w:tcW w:w="61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MAJOR SHAREHOLDERS AND RELATED PARTY TRANSACTIONS </w:t>
            </w:r>
          </w:p>
        </w:tc>
      </w:tr>
    </w:tbl>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275"/>
        <w:gridCol w:w="1790"/>
      </w:tblGrid>
      <w:tr>
        <w:trPr/>
        <w:tc>
          <w:tcPr>
            <w:tcW w:w="275" w:type="dxa"/>
            <w:tcBorders/>
            <w:vAlign w:val="center"/>
          </w:tcPr>
          <w:p>
            <w:pPr>
              <w:pStyle w:val="TableContents"/>
              <w:bidi w:val="0"/>
              <w:spacing w:before="0" w:after="283"/>
              <w:jc w:val="left"/>
              <w:rPr>
                <w:b/>
              </w:rPr>
            </w:pPr>
            <w:r>
              <w:rPr>
                <w:b/>
              </w:rPr>
              <w:t>A.</w:t>
            </w:r>
          </w:p>
        </w:tc>
        <w:tc>
          <w:tcPr>
            <w:tcW w:w="17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Major Shareholders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Please refer to “Item 6. Directors, Senior Management and Employees—E. Share Ownership.”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260"/>
        <w:gridCol w:w="2405"/>
      </w:tblGrid>
      <w:tr>
        <w:trPr/>
        <w:tc>
          <w:tcPr>
            <w:tcW w:w="260" w:type="dxa"/>
            <w:tcBorders/>
            <w:vAlign w:val="center"/>
          </w:tcPr>
          <w:p>
            <w:pPr>
              <w:pStyle w:val="TableContents"/>
              <w:bidi w:val="0"/>
              <w:spacing w:before="0" w:after="283"/>
              <w:jc w:val="left"/>
              <w:rPr>
                <w:b/>
              </w:rPr>
            </w:pPr>
            <w:r>
              <w:rPr>
                <w:b/>
              </w:rPr>
              <w:t>B.</w:t>
            </w:r>
          </w:p>
        </w:tc>
        <w:tc>
          <w:tcPr>
            <w:tcW w:w="24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Contractual Arrangements </w:t>
      </w:r>
    </w:p>
    <w:p>
      <w:pPr>
        <w:pStyle w:val="TextBody"/>
        <w:bidi w:val="0"/>
        <w:spacing w:before="120" w:after="0"/>
        <w:jc w:val="left"/>
        <w:rPr>
          <w:rFonts w:ascii="Times New Roman" w:hAnsi="Times New Roman"/>
          <w:sz w:val="20"/>
        </w:rPr>
      </w:pPr>
      <w:r>
        <w:rPr>
          <w:rFonts w:ascii="Times New Roman" w:hAnsi="Times New Roman"/>
          <w:sz w:val="20"/>
        </w:rPr>
        <w:t xml:space="preserve">Our wholly-owned subsidiary, Vipshop China, has entered into a series of contractual arrangements with the consolidated variable interest entity, Vipshop E-Commerce, and its shareholders, which enable us to make management decisions of Vipshop E-Commerce, receive substantially all of the economic benefits of Vipshop E-Commerce through service fees in consideration for the technical and consulting services provided by Vipshop China, and have an exclusive option to purchase, or designate one or more person(s) to purchase, all of the equity interests in Vipshop E-Commerce to the extent permitted under PRC laws, regulations, and legal procedures. For a description of these contractual arrangements, see “Item 4. Information on the Company—C. Organizational Structure—Contractual Arrangements Relating to the Consolidated Variable Interest Entities.”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Transactions with Our Directors and Shareholders </w:t>
      </w:r>
    </w:p>
    <w:p>
      <w:pPr>
        <w:pStyle w:val="TextBody"/>
        <w:bidi w:val="0"/>
        <w:spacing w:before="120" w:after="0"/>
        <w:jc w:val="left"/>
        <w:rPr>
          <w:rFonts w:ascii="Times New Roman" w:hAnsi="Times New Roman"/>
          <w:sz w:val="20"/>
        </w:rPr>
      </w:pPr>
      <w:r>
        <w:rPr>
          <w:rFonts w:ascii="Times New Roman" w:hAnsi="Times New Roman"/>
          <w:sz w:val="20"/>
        </w:rPr>
        <w:t xml:space="preserve">We purchased products and goods from companies controlled by our directors or major shareholders in the amount of RMB198.8 million (US$27.2 million) and received service from companies controlled by our directors or major shareholders in the amount of RMB817.0 million (US$111.9 million), for the year ended December 31, 2024. As of December 31, 2024, the amounts due to companies controlled by our directors or major shareholders were RMB80.8 million (US$11.1 million), which was unsecured and interest free. We also provided service and sold products to companies controlled or significantly influenced by our directors or major shareholders in the amount of RMB0.9 million (US$0.1 million) and RMB0.3 million (US$0.04 million), respectively, for the year ended December 31, 2024. As of December 31, 2024, the amounts due from our directors or major shareholders and companies controlled or significantly influenced by our directors or major shareholders were RMB72.6 million (US$10.0 million), which were unsecured and interest free.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Transactions with Other Related Parties </w:t>
      </w:r>
    </w:p>
    <w:p>
      <w:pPr>
        <w:pStyle w:val="TextBody"/>
        <w:bidi w:val="0"/>
        <w:spacing w:before="120" w:after="0"/>
        <w:jc w:val="left"/>
        <w:rPr>
          <w:rFonts w:ascii="Times New Roman" w:hAnsi="Times New Roman"/>
          <w:sz w:val="20"/>
        </w:rPr>
      </w:pPr>
      <w:r>
        <w:rPr>
          <w:rFonts w:ascii="Times New Roman" w:hAnsi="Times New Roman"/>
          <w:sz w:val="20"/>
        </w:rPr>
        <w:t xml:space="preserve">We purchased products and goods from companies significantly influenced by us in the amount of RMB96.1 million (US$13.2 million) and received service from companies significantly influenced by us in the amount of RMB6.4 million (US$0.9 million), for the year ended December 31, 2024. As of December 31, 2024, the amounts due to companies significantly influenced by us were RMB23.4 million (US$3.2 million), which were unsecured and interest free. We also provided service to companies significantly influenced by us in the amount of RMB30.0 million (US$4.1 million) for the year ended December 31, 2024. As of December 31, 2024, the amounts due from companies significantly influenced by us were RMB475.5 million (US$65.1 million), of which RMB454.5 million (US$62.3 million) were short-term loan originated to our company’s joint ventures and affiliates carried an interest rate of 2.85% or free interest rate and deposits to Sichuan VipFubon Consumer Finance Co., Ltd as shareholder deposits at interest rate of 3.3%. The interest income from the loan and deposit amounted to RMB17.5 million (US$2.4 million) for the year ended December 31,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Employment Agreements </w:t>
      </w:r>
    </w:p>
    <w:p>
      <w:pPr>
        <w:pStyle w:val="TextBody"/>
        <w:bidi w:val="0"/>
        <w:spacing w:before="120" w:after="0"/>
        <w:jc w:val="left"/>
        <w:rPr>
          <w:rFonts w:ascii="Times New Roman" w:hAnsi="Times New Roman"/>
          <w:sz w:val="20"/>
        </w:rPr>
      </w:pPr>
      <w:r>
        <w:rPr>
          <w:rFonts w:ascii="Times New Roman" w:hAnsi="Times New Roman"/>
          <w:sz w:val="20"/>
        </w:rPr>
        <w:t xml:space="preserve">See “Item 6. Directors, Senior Management and Employees—A. Directors and Senior Management—Employment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Share Options </w:t>
      </w:r>
    </w:p>
    <w:p>
      <w:pPr>
        <w:pStyle w:val="TextBody"/>
        <w:bidi w:val="0"/>
        <w:spacing w:before="120" w:after="0"/>
        <w:jc w:val="left"/>
        <w:rPr>
          <w:rFonts w:ascii="Times New Roman" w:hAnsi="Times New Roman"/>
          <w:sz w:val="20"/>
        </w:rPr>
      </w:pPr>
      <w:r>
        <w:rPr>
          <w:rFonts w:ascii="Times New Roman" w:hAnsi="Times New Roman"/>
          <w:sz w:val="20"/>
        </w:rPr>
        <w:t xml:space="preserve">See “Item 6. Directors, Senior Management and Employees—B. Compensation—Stock Incentive Plans.” </w:t>
      </w:r>
    </w:p>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75"/>
        <w:gridCol w:w="2795"/>
      </w:tblGrid>
      <w:tr>
        <w:trPr/>
        <w:tc>
          <w:tcPr>
            <w:tcW w:w="275" w:type="dxa"/>
            <w:tcBorders/>
            <w:vAlign w:val="center"/>
          </w:tcPr>
          <w:p>
            <w:pPr>
              <w:pStyle w:val="TableContents"/>
              <w:bidi w:val="0"/>
              <w:spacing w:before="0" w:after="283"/>
              <w:jc w:val="left"/>
              <w:rPr>
                <w:b/>
              </w:rPr>
            </w:pPr>
            <w:r>
              <w:rPr>
                <w:b/>
              </w:rPr>
              <w:t>C.</w:t>
            </w:r>
          </w:p>
        </w:tc>
        <w:tc>
          <w:tcPr>
            <w:tcW w:w="27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Interests of Experts and Counsel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535" w:type="dxa"/>
        <w:jc w:val="left"/>
        <w:tblInd w:w="0" w:type="dxa"/>
        <w:tblLayout w:type="fixed"/>
        <w:tblCellMar>
          <w:top w:w="0" w:type="dxa"/>
          <w:left w:w="0" w:type="dxa"/>
          <w:bottom w:w="0" w:type="dxa"/>
          <w:right w:w="0" w:type="dxa"/>
        </w:tblCellMar>
      </w:tblPr>
      <w:tblGrid>
        <w:gridCol w:w="905"/>
        <w:gridCol w:w="2630"/>
      </w:tblGrid>
      <w:tr>
        <w:trPr/>
        <w:tc>
          <w:tcPr>
            <w:tcW w:w="905" w:type="dxa"/>
            <w:tcBorders/>
            <w:vAlign w:val="center"/>
          </w:tcPr>
          <w:p>
            <w:pPr>
              <w:pStyle w:val="TableContents"/>
              <w:bidi w:val="0"/>
              <w:spacing w:before="0" w:after="283"/>
              <w:jc w:val="left"/>
              <w:rPr>
                <w:b/>
              </w:rPr>
            </w:pPr>
            <w:bookmarkStart w:id="14" w:name="toc907177_11"/>
            <w:bookmarkEnd w:id="14"/>
            <w:r>
              <w:rPr>
                <w:b/>
              </w:rPr>
              <w:t>ITEM 8.</w:t>
            </w:r>
          </w:p>
        </w:tc>
        <w:tc>
          <w:tcPr>
            <w:tcW w:w="26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INFORMATION </w:t>
            </w:r>
          </w:p>
        </w:tc>
      </w:tr>
    </w:tbl>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275"/>
        <w:gridCol w:w="4985"/>
      </w:tblGrid>
      <w:tr>
        <w:trPr/>
        <w:tc>
          <w:tcPr>
            <w:tcW w:w="275" w:type="dxa"/>
            <w:tcBorders/>
            <w:vAlign w:val="center"/>
          </w:tcPr>
          <w:p>
            <w:pPr>
              <w:pStyle w:val="TableContents"/>
              <w:bidi w:val="0"/>
              <w:spacing w:before="0" w:after="283"/>
              <w:jc w:val="left"/>
              <w:rPr>
                <w:b/>
              </w:rPr>
            </w:pPr>
            <w:r>
              <w:rPr>
                <w:b/>
              </w:rPr>
              <w:t>A.</w:t>
            </w:r>
          </w:p>
        </w:tc>
        <w:tc>
          <w:tcPr>
            <w:tcW w:w="49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Consolidated Statements and Other Financial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appended consolidated financial statements filed as part of this annual report.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Proceedings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have become and may in the future become a party to various legal or administrative proceedings arising in the ordinary course of our business, including actions with respect to intellectual property infringement, violation of third-party license or other rights, breach of contract, labor and employment claims. We are currently not a party to, and we are not aware of any threat of, any legal or administrative proceedings that, in the opinion of our management, are likely to have a material and adverse effect on our business, financial condition, or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Policy </w:t>
      </w:r>
    </w:p>
    <w:p>
      <w:pPr>
        <w:pStyle w:val="TextBody"/>
        <w:bidi w:val="0"/>
        <w:spacing w:before="120" w:after="0"/>
        <w:jc w:val="left"/>
        <w:rPr>
          <w:rFonts w:ascii="Times New Roman" w:hAnsi="Times New Roman"/>
          <w:sz w:val="20"/>
        </w:rPr>
      </w:pPr>
      <w:r>
        <w:rPr>
          <w:rFonts w:ascii="Times New Roman" w:hAnsi="Times New Roman"/>
          <w:sz w:val="20"/>
        </w:rPr>
        <w:t xml:space="preserve">On February 22, 2024, we adopted an annual cash dividend policy. Under the annual cash dividend policy, we have discretion to declare and distribute a cash dividend each year in accordance with our memorandum and articles of association and the applicable laws and regulations. Our board of directors has discretion as to whether to distribute dividends, subject to applicable laws. Even if our board of directors decides to declare dividends, the timing, amount, and form of future dividends, if any, will depend on, among other things, our future results of operations and cash flow, our capital requirements and surplus, the amount of distributions, if any, that we receive from our subsidiaries, our financial condition, contractual restrictions, and other factors deemed relevant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On February 28, 2024, we declared a cash dividend of US$2.15 per ordinary share, or US$0.43 per ADS, to holders of ordinary shares and holders of ADSs of record as of the close of business on March 15, 2024. The cash dividends were paid in April 2024 and the net cash dividends we paid amounted to US$233.3 million, excluding the cash dividends distributed to the bulk issuance of ADSs reserved for future issuances upon the exercise or vesting of awards granted under our stock incentive plans and our treasury ADSs. </w:t>
      </w:r>
    </w:p>
    <w:p>
      <w:pPr>
        <w:pStyle w:val="TextBody"/>
        <w:bidi w:val="0"/>
        <w:spacing w:before="240" w:after="0"/>
        <w:jc w:val="left"/>
        <w:rPr>
          <w:rFonts w:ascii="Times New Roman" w:hAnsi="Times New Roman"/>
          <w:sz w:val="20"/>
        </w:rPr>
      </w:pPr>
      <w:r>
        <w:rPr>
          <w:rFonts w:ascii="Times New Roman" w:hAnsi="Times New Roman"/>
          <w:sz w:val="20"/>
        </w:rPr>
        <w:t xml:space="preserve">On February 21, 2025, we declared a cash dividend of US$2.40 per ordinary share, or US$0.48 per ADS, to holders of ordinary shares and holders of ADSs of record as of the close of business on April 11, 2025. The cash dividends are expected to be paid on April 25, 2025.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incorporated in the Cayman Islands. We principally rely on dividends from our subsidiaries in China and Hong Kong and payments made by the VIEs to us in accordance with the contractual arrangements for our cash needs. To make payments to us, our subsidiaries in China and Hong Kong and the VIEs need to comply with the applicable regulations. See “Item 3. Key Information—D. Risk Factors—Risks Relating to Doing Business in China—We principally rely on dividends and other distributions on equity paid by our PRC subsidiaries and payments made by the VIEs to us in accordance with the contractual arrangements to fund our cash and financing requirements, and any limitation on the ability of our PRC subsidiaries and the VIEs to make payments to us could materially and adversely affect our ability to conduct our business.” </w:t>
      </w:r>
    </w:p>
    <w:p>
      <w:pPr>
        <w:pStyle w:val="TextBody"/>
        <w:bidi w:val="0"/>
        <w:spacing w:before="240" w:after="0"/>
        <w:jc w:val="left"/>
        <w:rPr>
          <w:rFonts w:ascii="Times New Roman" w:hAnsi="Times New Roman"/>
          <w:sz w:val="20"/>
        </w:rPr>
      </w:pPr>
      <w:r>
        <w:rPr>
          <w:rFonts w:ascii="Times New Roman" w:hAnsi="Times New Roman"/>
          <w:sz w:val="20"/>
        </w:rPr>
        <w:t xml:space="preserve">Holders of our ADSs will be entitled to receive dividends, if any, subject to the terms of the deposit agreement, to the same extent as the holders of our ordinary shares. Cash dividends will be paid to the depositary of our ADSs in U.S. dollars, which will distribute them to the holders of ADSs according to the terms of the deposit agreement. Other distributions, if any, will be paid by the depositary to the holders of ADSs in any means it deems legal, fair, and practical. </w:t>
      </w:r>
    </w:p>
    <w:p>
      <w:pPr>
        <w:pStyle w:val="TextBody"/>
        <w:bidi w:val="0"/>
        <w:spacing w:before="0" w:after="0"/>
        <w:jc w:val="left"/>
        <w:rPr/>
      </w:pPr>
      <w:r>
        <w:rPr/>
        <w:t> </w:t>
      </w:r>
    </w:p>
    <w:tbl>
      <w:tblPr>
        <w:tblW w:w="2020" w:type="dxa"/>
        <w:jc w:val="left"/>
        <w:tblInd w:w="0" w:type="dxa"/>
        <w:tblLayout w:type="fixed"/>
        <w:tblCellMar>
          <w:top w:w="0" w:type="dxa"/>
          <w:left w:w="0" w:type="dxa"/>
          <w:bottom w:w="0" w:type="dxa"/>
          <w:right w:w="0" w:type="dxa"/>
        </w:tblCellMar>
      </w:tblPr>
      <w:tblGrid>
        <w:gridCol w:w="260"/>
        <w:gridCol w:w="1760"/>
      </w:tblGrid>
      <w:tr>
        <w:trPr/>
        <w:tc>
          <w:tcPr>
            <w:tcW w:w="260" w:type="dxa"/>
            <w:tcBorders/>
            <w:vAlign w:val="center"/>
          </w:tcPr>
          <w:p>
            <w:pPr>
              <w:pStyle w:val="TableContents"/>
              <w:bidi w:val="0"/>
              <w:spacing w:before="0" w:after="283"/>
              <w:jc w:val="left"/>
              <w:rPr>
                <w:b/>
              </w:rPr>
            </w:pPr>
            <w:r>
              <w:rPr>
                <w:b/>
              </w:rPr>
              <w:t>B.</w:t>
            </w:r>
          </w:p>
        </w:tc>
        <w:tc>
          <w:tcPr>
            <w:tcW w:w="17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Significant Changes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Except as disclosed elsewhere in this annual report, we have not experienced any significant changes since the date of our audited consolidated financial statements included in this annual report. </w:t>
      </w:r>
    </w:p>
    <w:p>
      <w:pPr>
        <w:pStyle w:val="TextBody"/>
        <w:bidi w:val="0"/>
        <w:spacing w:before="0" w:after="0"/>
        <w:jc w:val="left"/>
        <w:rPr/>
      </w:pPr>
      <w:r>
        <w:rPr/>
        <w:t> </w:t>
      </w:r>
    </w:p>
    <w:tbl>
      <w:tblPr>
        <w:tblW w:w="3415" w:type="dxa"/>
        <w:jc w:val="left"/>
        <w:tblInd w:w="0" w:type="dxa"/>
        <w:tblLayout w:type="fixed"/>
        <w:tblCellMar>
          <w:top w:w="0" w:type="dxa"/>
          <w:left w:w="0" w:type="dxa"/>
          <w:bottom w:w="0" w:type="dxa"/>
          <w:right w:w="0" w:type="dxa"/>
        </w:tblCellMar>
      </w:tblPr>
      <w:tblGrid>
        <w:gridCol w:w="905"/>
        <w:gridCol w:w="2510"/>
      </w:tblGrid>
      <w:tr>
        <w:trPr/>
        <w:tc>
          <w:tcPr>
            <w:tcW w:w="905" w:type="dxa"/>
            <w:tcBorders/>
            <w:vAlign w:val="center"/>
          </w:tcPr>
          <w:p>
            <w:pPr>
              <w:pStyle w:val="TableContents"/>
              <w:bidi w:val="0"/>
              <w:spacing w:before="0" w:after="283"/>
              <w:jc w:val="left"/>
              <w:rPr>
                <w:b/>
              </w:rPr>
            </w:pPr>
            <w:bookmarkStart w:id="15" w:name="toc907177_12"/>
            <w:bookmarkEnd w:id="15"/>
            <w:r>
              <w:rPr>
                <w:b/>
              </w:rPr>
              <w:t>ITEM 9.</w:t>
            </w:r>
          </w:p>
        </w:tc>
        <w:tc>
          <w:tcPr>
            <w:tcW w:w="25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THE OFFER AND LISTING </w:t>
            </w:r>
          </w:p>
        </w:tc>
      </w:tr>
    </w:tbl>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275"/>
        <w:gridCol w:w="2165"/>
      </w:tblGrid>
      <w:tr>
        <w:trPr/>
        <w:tc>
          <w:tcPr>
            <w:tcW w:w="275" w:type="dxa"/>
            <w:tcBorders/>
            <w:vAlign w:val="center"/>
          </w:tcPr>
          <w:p>
            <w:pPr>
              <w:pStyle w:val="TableContents"/>
              <w:bidi w:val="0"/>
              <w:spacing w:before="0" w:after="283"/>
              <w:jc w:val="left"/>
              <w:rPr>
                <w:b/>
              </w:rPr>
            </w:pPr>
            <w:r>
              <w:rPr>
                <w:b/>
              </w:rPr>
              <w:t>A.</w:t>
            </w:r>
          </w:p>
        </w:tc>
        <w:tc>
          <w:tcPr>
            <w:tcW w:w="21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Offer and Listing Details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ADSs, each representing 0.2 Class A ordinary shares, have been listed on the NYSE since March 23, 2012. Our ADSs trade under the symbol “VIPS.”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005" w:type="dxa"/>
        <w:jc w:val="left"/>
        <w:tblInd w:w="0" w:type="dxa"/>
        <w:tblLayout w:type="fixed"/>
        <w:tblCellMar>
          <w:top w:w="0" w:type="dxa"/>
          <w:left w:w="0" w:type="dxa"/>
          <w:bottom w:w="0" w:type="dxa"/>
          <w:right w:w="0" w:type="dxa"/>
        </w:tblCellMar>
      </w:tblPr>
      <w:tblGrid>
        <w:gridCol w:w="260"/>
        <w:gridCol w:w="1745"/>
      </w:tblGrid>
      <w:tr>
        <w:trPr/>
        <w:tc>
          <w:tcPr>
            <w:tcW w:w="260" w:type="dxa"/>
            <w:tcBorders/>
            <w:vAlign w:val="center"/>
          </w:tcPr>
          <w:p>
            <w:pPr>
              <w:pStyle w:val="TableContents"/>
              <w:bidi w:val="0"/>
              <w:spacing w:before="0" w:after="283"/>
              <w:jc w:val="left"/>
              <w:rPr>
                <w:b/>
              </w:rPr>
            </w:pPr>
            <w:r>
              <w:rPr>
                <w:b/>
              </w:rPr>
              <w:t>B.</w:t>
            </w:r>
          </w:p>
        </w:tc>
        <w:tc>
          <w:tcPr>
            <w:tcW w:w="17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Plan of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1060" w:type="dxa"/>
        <w:jc w:val="left"/>
        <w:tblInd w:w="0" w:type="dxa"/>
        <w:tblLayout w:type="fixed"/>
        <w:tblCellMar>
          <w:top w:w="0" w:type="dxa"/>
          <w:left w:w="0" w:type="dxa"/>
          <w:bottom w:w="0" w:type="dxa"/>
          <w:right w:w="0" w:type="dxa"/>
        </w:tblCellMar>
      </w:tblPr>
      <w:tblGrid>
        <w:gridCol w:w="275"/>
        <w:gridCol w:w="785"/>
      </w:tblGrid>
      <w:tr>
        <w:trPr/>
        <w:tc>
          <w:tcPr>
            <w:tcW w:w="275" w:type="dxa"/>
            <w:tcBorders/>
            <w:vAlign w:val="center"/>
          </w:tcPr>
          <w:p>
            <w:pPr>
              <w:pStyle w:val="TableContents"/>
              <w:bidi w:val="0"/>
              <w:spacing w:before="0" w:after="283"/>
              <w:jc w:val="left"/>
              <w:rPr>
                <w:b/>
              </w:rPr>
            </w:pPr>
            <w:r>
              <w:rPr>
                <w:b/>
              </w:rPr>
              <w:t>C.</w:t>
            </w:r>
          </w:p>
        </w:tc>
        <w:tc>
          <w:tcPr>
            <w:tcW w:w="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Markets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ADSs, each representing 0.2 Class A ordinary shares, have been listed on the NYSE since March 23, 2012. Our ADSs trade under the symbol “VIPS.” </w:t>
      </w:r>
    </w:p>
    <w:p>
      <w:pPr>
        <w:pStyle w:val="TextBody"/>
        <w:bidi w:val="0"/>
        <w:spacing w:before="0" w:after="0"/>
        <w:jc w:val="left"/>
        <w:rPr/>
      </w:pPr>
      <w:r>
        <w:rPr/>
        <w:t> </w:t>
      </w:r>
    </w:p>
    <w:tbl>
      <w:tblPr>
        <w:tblW w:w="2110" w:type="dxa"/>
        <w:jc w:val="left"/>
        <w:tblInd w:w="0" w:type="dxa"/>
        <w:tblLayout w:type="fixed"/>
        <w:tblCellMar>
          <w:top w:w="0" w:type="dxa"/>
          <w:left w:w="0" w:type="dxa"/>
          <w:bottom w:w="0" w:type="dxa"/>
          <w:right w:w="0" w:type="dxa"/>
        </w:tblCellMar>
      </w:tblPr>
      <w:tblGrid>
        <w:gridCol w:w="275"/>
        <w:gridCol w:w="1835"/>
      </w:tblGrid>
      <w:tr>
        <w:trPr/>
        <w:tc>
          <w:tcPr>
            <w:tcW w:w="275" w:type="dxa"/>
            <w:tcBorders/>
            <w:vAlign w:val="center"/>
          </w:tcPr>
          <w:p>
            <w:pPr>
              <w:pStyle w:val="TableContents"/>
              <w:bidi w:val="0"/>
              <w:spacing w:before="0" w:after="283"/>
              <w:jc w:val="left"/>
              <w:rPr>
                <w:b/>
              </w:rPr>
            </w:pPr>
            <w:r>
              <w:rPr>
                <w:b/>
              </w:rPr>
              <w:t>D.</w:t>
            </w:r>
          </w:p>
        </w:tc>
        <w:tc>
          <w:tcPr>
            <w:tcW w:w="1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Selling Shareholders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283"/>
              <w:jc w:val="left"/>
              <w:rPr>
                <w:b/>
              </w:rPr>
            </w:pPr>
            <w:r>
              <w:rPr>
                <w:b/>
              </w:rPr>
              <w:t>E.</w:t>
            </w:r>
          </w:p>
        </w:tc>
        <w:tc>
          <w:tcPr>
            <w:tcW w:w="7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Dilution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245"/>
        <w:gridCol w:w="1835"/>
      </w:tblGrid>
      <w:tr>
        <w:trPr/>
        <w:tc>
          <w:tcPr>
            <w:tcW w:w="245" w:type="dxa"/>
            <w:tcBorders/>
            <w:vAlign w:val="center"/>
          </w:tcPr>
          <w:p>
            <w:pPr>
              <w:pStyle w:val="TableContents"/>
              <w:bidi w:val="0"/>
              <w:spacing w:before="0" w:after="283"/>
              <w:jc w:val="left"/>
              <w:rPr>
                <w:b/>
              </w:rPr>
            </w:pPr>
            <w:r>
              <w:rPr>
                <w:b/>
              </w:rPr>
              <w:t>F.</w:t>
            </w:r>
          </w:p>
        </w:tc>
        <w:tc>
          <w:tcPr>
            <w:tcW w:w="1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Expenses of the Issue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1025"/>
        <w:gridCol w:w="2795"/>
      </w:tblGrid>
      <w:tr>
        <w:trPr/>
        <w:tc>
          <w:tcPr>
            <w:tcW w:w="1025" w:type="dxa"/>
            <w:tcBorders/>
            <w:vAlign w:val="center"/>
          </w:tcPr>
          <w:p>
            <w:pPr>
              <w:pStyle w:val="TableContents"/>
              <w:bidi w:val="0"/>
              <w:spacing w:before="0" w:after="283"/>
              <w:jc w:val="left"/>
              <w:rPr>
                <w:b/>
              </w:rPr>
            </w:pPr>
            <w:bookmarkStart w:id="16" w:name="toc907177_13"/>
            <w:bookmarkEnd w:id="16"/>
            <w:r>
              <w:rPr>
                <w:b/>
              </w:rPr>
              <w:t>ITEM 10.</w:t>
            </w:r>
          </w:p>
        </w:tc>
        <w:tc>
          <w:tcPr>
            <w:tcW w:w="27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ADDITIONAL INFORMATION </w:t>
            </w:r>
          </w:p>
        </w:tc>
      </w:tr>
    </w:tbl>
    <w:p>
      <w:pPr>
        <w:pStyle w:val="TextBody"/>
        <w:bidi w:val="0"/>
        <w:spacing w:before="0" w:after="0"/>
        <w:jc w:val="left"/>
        <w:rPr/>
      </w:pPr>
      <w:r>
        <w:rPr/>
        <w:t> </w:t>
      </w:r>
    </w:p>
    <w:tbl>
      <w:tblPr>
        <w:tblW w:w="1525" w:type="dxa"/>
        <w:jc w:val="left"/>
        <w:tblInd w:w="0" w:type="dxa"/>
        <w:tblLayout w:type="fixed"/>
        <w:tblCellMar>
          <w:top w:w="0" w:type="dxa"/>
          <w:left w:w="0" w:type="dxa"/>
          <w:bottom w:w="0" w:type="dxa"/>
          <w:right w:w="0" w:type="dxa"/>
        </w:tblCellMar>
      </w:tblPr>
      <w:tblGrid>
        <w:gridCol w:w="275"/>
        <w:gridCol w:w="1250"/>
      </w:tblGrid>
      <w:tr>
        <w:trPr/>
        <w:tc>
          <w:tcPr>
            <w:tcW w:w="275" w:type="dxa"/>
            <w:tcBorders/>
            <w:vAlign w:val="center"/>
          </w:tcPr>
          <w:p>
            <w:pPr>
              <w:pStyle w:val="TableContents"/>
              <w:bidi w:val="0"/>
              <w:spacing w:before="0" w:after="283"/>
              <w:jc w:val="left"/>
              <w:rPr>
                <w:b/>
              </w:rPr>
            </w:pPr>
            <w:r>
              <w:rPr>
                <w:b/>
              </w:rPr>
              <w:t>A.</w:t>
            </w:r>
          </w:p>
        </w:tc>
        <w:tc>
          <w:tcPr>
            <w:tcW w:w="12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 Capital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850" w:type="dxa"/>
        <w:jc w:val="left"/>
        <w:tblInd w:w="0" w:type="dxa"/>
        <w:tblLayout w:type="fixed"/>
        <w:tblCellMar>
          <w:top w:w="0" w:type="dxa"/>
          <w:left w:w="0" w:type="dxa"/>
          <w:bottom w:w="0" w:type="dxa"/>
          <w:right w:w="0" w:type="dxa"/>
        </w:tblCellMar>
      </w:tblPr>
      <w:tblGrid>
        <w:gridCol w:w="260"/>
        <w:gridCol w:w="3590"/>
      </w:tblGrid>
      <w:tr>
        <w:trPr/>
        <w:tc>
          <w:tcPr>
            <w:tcW w:w="260" w:type="dxa"/>
            <w:tcBorders/>
            <w:vAlign w:val="center"/>
          </w:tcPr>
          <w:p>
            <w:pPr>
              <w:pStyle w:val="TableContents"/>
              <w:bidi w:val="0"/>
              <w:spacing w:before="0" w:after="283"/>
              <w:jc w:val="left"/>
              <w:rPr>
                <w:b/>
              </w:rPr>
            </w:pPr>
            <w:r>
              <w:rPr>
                <w:b/>
              </w:rPr>
              <w:t>B.</w:t>
            </w:r>
          </w:p>
        </w:tc>
        <w:tc>
          <w:tcPr>
            <w:tcW w:w="35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Memorandum and Articles of Association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Registered Office and Objects </w:t>
      </w:r>
    </w:p>
    <w:p>
      <w:pPr>
        <w:pStyle w:val="TextBody"/>
        <w:bidi w:val="0"/>
        <w:spacing w:before="120" w:after="0"/>
        <w:jc w:val="left"/>
        <w:rPr>
          <w:rFonts w:ascii="Times New Roman" w:hAnsi="Times New Roman"/>
          <w:sz w:val="20"/>
        </w:rPr>
      </w:pPr>
      <w:r>
        <w:rPr>
          <w:rFonts w:ascii="Times New Roman" w:hAnsi="Times New Roman"/>
          <w:sz w:val="20"/>
        </w:rPr>
        <w:t xml:space="preserve">Pursuant to Article 2 of our second amended and restated memorandum of association, our registered office is at the offices of International Corporation Services Ltd, PO Box 472, 2nd Floor, Harbour Place, 103 South Church Street, George Town, Grand Cayman KY1-1106, Cayman Islands or at such other place as our board of directors may from time to time decide. Pursuant to Article 3 of our second amended and restated memorandum of association, the objects for which our company is established are unrestricted and our company has full power and authority to carry out any object not prohibited by the Companies Act as the same may be revised from time to time, or any other law of the Cayman Islands.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Directors </w:t>
      </w:r>
    </w:p>
    <w:p>
      <w:pPr>
        <w:pStyle w:val="TextBody"/>
        <w:bidi w:val="0"/>
        <w:spacing w:before="120" w:after="0"/>
        <w:jc w:val="left"/>
        <w:rPr>
          <w:rFonts w:ascii="Times New Roman" w:hAnsi="Times New Roman"/>
          <w:sz w:val="20"/>
        </w:rPr>
      </w:pPr>
      <w:r>
        <w:rPr>
          <w:rFonts w:ascii="Times New Roman" w:hAnsi="Times New Roman"/>
          <w:sz w:val="20"/>
        </w:rPr>
        <w:t xml:space="preserve">See “Item 6. Directors, Senior Management and Employees—C. Board Practices.”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General. All of our outstanding Class A and Class B ordinary shares are fully paid and non-assessable. Certificates representing the Class A and Class B ordinary shares are issued in registered form. Our shareholders may freely hold and vote their shares. Each holder of our Class A ordinary shares is entitled to one vote for each Class A ordinary share held on matters submitted to a vote of shareholders, and each holder of our Class B ordinary shares is entitled to ten votes for each Class B ordinary share held on matters submitted to a vote of shareholders. </w:t>
      </w:r>
    </w:p>
    <w:p>
      <w:pPr>
        <w:pStyle w:val="TextBody"/>
        <w:bidi w:val="0"/>
        <w:spacing w:before="240" w:after="0"/>
        <w:jc w:val="left"/>
        <w:rPr>
          <w:rFonts w:ascii="Times New Roman" w:hAnsi="Times New Roman"/>
          <w:sz w:val="20"/>
        </w:rPr>
      </w:pPr>
      <w:r>
        <w:rPr>
          <w:rFonts w:ascii="Times New Roman" w:hAnsi="Times New Roman"/>
          <w:sz w:val="20"/>
        </w:rPr>
        <w:t xml:space="preserve">Dividends. The holders of our ordinary shares are entitled to such dividends as may be declared by our board of directors subject to the Companies Act. </w:t>
      </w:r>
    </w:p>
    <w:p>
      <w:pPr>
        <w:pStyle w:val="TextBody"/>
        <w:bidi w:val="0"/>
        <w:spacing w:before="240" w:after="0"/>
        <w:jc w:val="left"/>
        <w:rPr>
          <w:rFonts w:ascii="Times New Roman" w:hAnsi="Times New Roman"/>
          <w:sz w:val="20"/>
        </w:rPr>
      </w:pPr>
      <w:r>
        <w:rPr>
          <w:rFonts w:ascii="Times New Roman" w:hAnsi="Times New Roman"/>
          <w:sz w:val="20"/>
        </w:rPr>
        <w:t xml:space="preserve">Voting Rights. Each Class A ordinary share is entitled to one vote and each Class B ordinary share is entitled to ten votes on all matters upon which the ordinary shares are entitled to vote. Voting at any shareholders’ meeting is by show of hands unless a poll is demanded. A poll may be demanded by one or more shareholders holding at least 10% of the paid up voting share capital, present in person or by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quorum required for a meeting of shareholders consists of at least one shareholder present in person or by proxy or, if a corporation or other non-natural person, by its duly authorized representative, who holds no less than one-third of our voting share capital. Shareholders’ meetings are held annually and may be convened by our board of directors on its own initiative or upon a request to the directors by shareholders holding in aggregate at least one-third of our voting share capital. Advance notice to shareholders of at least seven days is required for the convening of our annual general meeting and other shareholders’ meetings. </w:t>
      </w:r>
    </w:p>
    <w:p>
      <w:pPr>
        <w:pStyle w:val="TextBody"/>
        <w:bidi w:val="0"/>
        <w:spacing w:before="240" w:after="0"/>
        <w:jc w:val="left"/>
        <w:rPr>
          <w:rFonts w:ascii="Times New Roman" w:hAnsi="Times New Roman"/>
          <w:sz w:val="20"/>
        </w:rPr>
      </w:pPr>
      <w:r>
        <w:rPr>
          <w:rFonts w:ascii="Times New Roman" w:hAnsi="Times New Roman"/>
          <w:sz w:val="20"/>
        </w:rPr>
        <w:t xml:space="preserve">An ordinary resolution to be passed by the shareholders requires a simple majority of votes cast in a general meeting, while a special resolution requires no less than two-thirds of the votes cast. A special resolution is required for important matters such as a change of name. Our shareholders may effect certain changes by ordinary resolution, including increasing the amount of our authorized share capital, consolidating and dividing all or any of our share capital into shares of larger amount than our existing shares and canceling any shares. </w:t>
      </w:r>
    </w:p>
    <w:p>
      <w:pPr>
        <w:pStyle w:val="TextBody"/>
        <w:bidi w:val="0"/>
        <w:spacing w:before="240" w:after="0"/>
        <w:jc w:val="left"/>
        <w:rPr>
          <w:rFonts w:ascii="Times New Roman" w:hAnsi="Times New Roman"/>
          <w:sz w:val="20"/>
        </w:rPr>
      </w:pPr>
      <w:r>
        <w:rPr>
          <w:rFonts w:ascii="Times New Roman" w:hAnsi="Times New Roman"/>
          <w:sz w:val="20"/>
        </w:rPr>
        <w:t xml:space="preserve">Transfer of Shares. Subject to the restrictions of our memorandum and articles of association, as applicable, any of our shareholders may transfer all or any of his or her ordinary shares by an instrument of transfer in the usual or common form or any other form approved by our board.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in its sole discretion, decline to register any transfer of any ordinary share which is not fully paid up or on which we have a lien. Our directors may also decline to register any transfer of any share unless (i) the instrument of transfer is lodged with us, accompanied by the certificate for the shares to which it relates and such other evidence as our board of directors may reasonably require to show the right of the transferor to make the transfer; (ii) the instrument of transfer is in respect of only one class of shares; (iii) the instrument of transfer is properly stamped, if required; (iv) in the case of a transfer to joint holders, the number of joint holders to whom the share is to be transferred does not exceed four; (v) the shares conceded are free of any lien in favor of us; or (vi) a fee of such maximum sum as the NYSE may determine to be payable, or such lesser sum as our board of directors may from time to time require, has been paid to us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our directors refuse to register a transfer they should, within two months after the date on which the instrument of transfer was lodged, send to each of the transferor and the transferee notice of such refusal. The registration of transfers may, on 14 days’ notice being given by advertisement in such one or more newspapers or by electronic means, be suspended and the register closed at such times and for such periods as our board of directors may from time to time determine, provided, however, that the registration of transfers should not be suspended nor the register closed for more than 30 days in any year. </w:t>
      </w:r>
    </w:p>
    <w:p>
      <w:pPr>
        <w:pStyle w:val="TextBody"/>
        <w:bidi w:val="0"/>
        <w:spacing w:before="240" w:after="0"/>
        <w:jc w:val="left"/>
        <w:rPr>
          <w:rFonts w:ascii="Times New Roman" w:hAnsi="Times New Roman"/>
          <w:sz w:val="20"/>
        </w:rPr>
      </w:pPr>
      <w:r>
        <w:rPr>
          <w:rFonts w:ascii="Times New Roman" w:hAnsi="Times New Roman"/>
          <w:sz w:val="20"/>
        </w:rPr>
        <w:t xml:space="preserve">Liquidation. On a return of capital on winding up or otherwise (other than on conversion, redemption or purchase of shares), assets available for distribution among the holders of ordinary shares should be distributed among the holders of the ordinary shares in accordance with the Companies Act and the memorandum or articles of association of the company. If our assets available for distribution are insufficient to repay all of the paid-up capital, the assets will be distributed so that the losses are borne by our shareholders proportionately. </w:t>
      </w:r>
    </w:p>
    <w:p>
      <w:pPr>
        <w:pStyle w:val="TextBody"/>
        <w:bidi w:val="0"/>
        <w:spacing w:before="240" w:after="0"/>
        <w:jc w:val="left"/>
        <w:rPr>
          <w:rFonts w:ascii="Times New Roman" w:hAnsi="Times New Roman"/>
          <w:sz w:val="20"/>
        </w:rPr>
      </w:pPr>
      <w:r>
        <w:rPr>
          <w:rFonts w:ascii="Times New Roman" w:hAnsi="Times New Roman"/>
          <w:i/>
          <w:sz w:val="20"/>
        </w:rPr>
        <w:t>Calls on Shares and Forfeiture of Shares</w:t>
      </w:r>
      <w:r>
        <w:rPr>
          <w:rFonts w:ascii="Times New Roman" w:hAnsi="Times New Roman"/>
          <w:sz w:val="20"/>
        </w:rPr>
        <w:t xml:space="preserve">. Our board of directors may from time to time make calls upon shareholders for any amounts unpaid on their shares in a notice served to such shareholders at least 14 days prior to the specified time of payment. The shares that have been called upon and remain unpaid on the specified time are subject to forfeiture. </w:t>
      </w:r>
    </w:p>
    <w:p>
      <w:pPr>
        <w:pStyle w:val="TextBody"/>
        <w:bidi w:val="0"/>
        <w:spacing w:before="240" w:after="0"/>
        <w:jc w:val="left"/>
        <w:rPr>
          <w:rFonts w:ascii="Times New Roman" w:hAnsi="Times New Roman"/>
          <w:sz w:val="20"/>
        </w:rPr>
      </w:pPr>
      <w:r>
        <w:rPr>
          <w:rFonts w:ascii="Times New Roman" w:hAnsi="Times New Roman"/>
          <w:i/>
          <w:sz w:val="20"/>
        </w:rPr>
        <w:t>Redemption of Shares</w:t>
      </w:r>
      <w:r>
        <w:rPr>
          <w:rFonts w:ascii="Times New Roman" w:hAnsi="Times New Roman"/>
          <w:sz w:val="20"/>
        </w:rPr>
        <w:t xml:space="preserve">. Subject to the provisions of the Companies Act, we may issue shares on terms that are subject to redemption, at our option or at the option of the holders, on such terms and in such manner as may be determined by our board of directors before the issuance of such shares. </w:t>
      </w:r>
    </w:p>
    <w:p>
      <w:pPr>
        <w:pStyle w:val="TextBody"/>
        <w:bidi w:val="0"/>
        <w:spacing w:before="240" w:after="0"/>
        <w:jc w:val="left"/>
        <w:rPr>
          <w:rFonts w:ascii="Times New Roman" w:hAnsi="Times New Roman"/>
          <w:sz w:val="20"/>
        </w:rPr>
      </w:pPr>
      <w:r>
        <w:rPr>
          <w:rFonts w:ascii="Times New Roman" w:hAnsi="Times New Roman"/>
          <w:i/>
          <w:sz w:val="20"/>
        </w:rPr>
        <w:t>Variations of Rights of Shares</w:t>
      </w:r>
      <w:r>
        <w:rPr>
          <w:rFonts w:ascii="Times New Roman" w:hAnsi="Times New Roman"/>
          <w:sz w:val="20"/>
        </w:rPr>
        <w:t xml:space="preserve">. All or any of the special rights attached to any class of shares may, subject to the provisions of the Companies Act, be varied either with the written consent of the holders of a majority of the issued shares of that class or with the sanction of a special resolution passed at a general meeting of the holders of the shares of that class. The rights conferred upon the holders of the shares of any class should not, unless otherwise expressly provided by the terms of issue of the shares of that class, be deemed to be varied by the creation or issue of further shares ranking in priority to or pari passu with such previously existing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Inspection of Books and Records</w:t>
      </w:r>
      <w:r>
        <w:rPr>
          <w:rFonts w:ascii="Times New Roman" w:hAnsi="Times New Roman"/>
          <w:sz w:val="20"/>
        </w:rPr>
        <w:t xml:space="preserve">. Holders of our ordinary shares will have no general right under Cayman Islands law to inspect or obtain copies of our list of shareholders or our corporate records. However, we will provide our shareholders with annual audited financial statements. </w:t>
      </w:r>
    </w:p>
    <w:p>
      <w:pPr>
        <w:pStyle w:val="TextBody"/>
        <w:bidi w:val="0"/>
        <w:spacing w:before="240" w:after="0"/>
        <w:jc w:val="left"/>
        <w:rPr>
          <w:rFonts w:ascii="Times New Roman" w:hAnsi="Times New Roman"/>
          <w:sz w:val="20"/>
        </w:rPr>
      </w:pPr>
      <w:r>
        <w:rPr>
          <w:rFonts w:ascii="Times New Roman" w:hAnsi="Times New Roman"/>
          <w:i/>
          <w:sz w:val="20"/>
        </w:rPr>
        <w:t>Anti-Takeover Provisions</w:t>
      </w:r>
      <w:r>
        <w:rPr>
          <w:rFonts w:ascii="Times New Roman" w:hAnsi="Times New Roman"/>
          <w:sz w:val="20"/>
        </w:rPr>
        <w:t xml:space="preserve">. Some provisions of our second amended and restated memorandum and articles of association may discourage, delay or prevent a change of control of our company or management that shareholders may consider favorable, including provisions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to issue preferred shares in one or more series and to designate the price, rights, preferences, privileges and restrictions of such preferred shares without any further vote or action by our shareholders; and </w:t>
            </w:r>
          </w:p>
        </w:tc>
      </w:tr>
    </w:tbl>
    <w:p>
      <w:pPr>
        <w:pStyle w:val="TextBody"/>
        <w:bidi w:val="0"/>
        <w:spacing w:before="0" w:after="0"/>
        <w:jc w:val="left"/>
        <w:rPr/>
      </w:pPr>
      <w:r>
        <w:rPr/>
        <w:t> </w:t>
      </w:r>
    </w:p>
    <w:tbl>
      <w:tblPr>
        <w:tblW w:w="7840" w:type="dxa"/>
        <w:jc w:val="left"/>
        <w:tblInd w:w="0" w:type="dxa"/>
        <w:tblLayout w:type="fixed"/>
        <w:tblCellMar>
          <w:top w:w="0" w:type="dxa"/>
          <w:left w:w="0" w:type="dxa"/>
          <w:bottom w:w="0" w:type="dxa"/>
          <w:right w:w="0" w:type="dxa"/>
        </w:tblCellMar>
      </w:tblPr>
      <w:tblGrid>
        <w:gridCol w:w="75"/>
        <w:gridCol w:w="110"/>
        <w:gridCol w:w="60"/>
        <w:gridCol w:w="75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limit the ability of shareholders to requisition and convene general meetings of shareholders.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under Cayman Islands law, our directors may only exercise the rights and powers granted to them under our second amended and restated memorandum and articles of association for a proper purpose and for what they believe in good faith to be in the best interests of our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Differences Between the Law of Different Jurisdictions </w:t>
      </w:r>
    </w:p>
    <w:p>
      <w:pPr>
        <w:pStyle w:val="TextBody"/>
        <w:bidi w:val="0"/>
        <w:spacing w:before="120" w:after="0"/>
        <w:jc w:val="left"/>
        <w:rPr>
          <w:rFonts w:ascii="Times New Roman" w:hAnsi="Times New Roman"/>
          <w:sz w:val="20"/>
        </w:rPr>
      </w:pPr>
      <w:r>
        <w:rPr>
          <w:rFonts w:ascii="Times New Roman" w:hAnsi="Times New Roman"/>
          <w:sz w:val="20"/>
        </w:rPr>
        <w:t xml:space="preserve">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 </w:t>
      </w:r>
    </w:p>
    <w:p>
      <w:pPr>
        <w:pStyle w:val="TextBody"/>
        <w:bidi w:val="0"/>
        <w:spacing w:before="240" w:after="0"/>
        <w:jc w:val="left"/>
        <w:rPr>
          <w:rFonts w:ascii="Times New Roman" w:hAnsi="Times New Roman"/>
          <w:sz w:val="20"/>
        </w:rPr>
      </w:pPr>
      <w:r>
        <w:rPr>
          <w:rFonts w:ascii="Times New Roman" w:hAnsi="Times New Roman"/>
          <w:i/>
          <w:sz w:val="20"/>
        </w:rPr>
        <w:t>Mergers and Similar Arrangements</w:t>
      </w:r>
      <w:r>
        <w:rPr>
          <w:rFonts w:ascii="Times New Roman" w:hAnsi="Times New Roman"/>
          <w:sz w:val="20"/>
        </w:rPr>
        <w:t xml:space="preserve">. In certain circumstances, the Cayman Islands Companies Act allows for mergers or consolidations between two Cayman Islands companies, or between a Cayman Islands company and a company incorporated in another jurisdiction (provided that is facilitated by the laws of that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Where the merger or consolidation is between two Cayman Islands companies, the directors of each company must approve a written plan of merger or consolidation containing certain prescribed information. That plan or merger or consolidation must then be authorized by (a) a special resolution (usually a majority of 662/3% in value) of the shareholders of each company and (b) such other authorization, if any, as is required by such constituent company’s memorandum and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Act (which includes certain other formalities) have been complied with, the Registrar of Companies will register the plan of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Where the merger or consolidation involves a non-Cayman Islands company, the procedure is similar, save that with respect to the foreign company, the director of the Cayman Islands company is required to make a declaration to the effect that, having made due enquiry, he is of the opinion that the requirements set out below have been met: (a) that the merger or consolidation is permitted or not prohibited by the constitutional documents of the non-Cayman Islands company and by the laws of the jurisdiction in which the non-Cayman Islands company is incorporated, and that those laws and any requirements of those constitutional documents have been or will be complied with; (b) that no petition or other similar proceeding has been filed and remains outstanding or order made or resolution adopted to wind up or liquidate the non-Cayman Islands company in any jurisdictions; (c) that no receiver, trustee, administrator or other similar person has been appointed in any jurisdiction and is acting in respect of the non-Cayman Islands company, its affairs or its property or any part thereof; and (d) that no scheme, order, compromise or other similar arrangement has been entered into or made in any jurisdiction whereby the rights of creditors of the non-Cayman Islands company are and continue to be suspended or restricted.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the surviving company is the Cayman Islands company, the director of the Cayman Islands company is further required to make a declaration to the effect that, having made due enquiry, he is of the opinion that the requirements set out below have been met: (i) that the non-Cayman Islands company is able to pay its debts as they fall due and that the merger or consolidation is bona fide and not intended to defraud unsecured creditors of the non-Cayman Islands company; (ii) that in respect of the transfer of any security interest granted by the non-Cayman Islands company to the surviving or consolidated company (a) consent or approval to the transfer has been obtained, released or waived; (b) the transfer is permitted by and has been approved in accordance with the constitutional documents of the non-Cayman Islands company; and (c) the laws of the jurisdiction of the non-Cayman Islands company with respect to the transfer have been or will be complied with; (iii) that the non-Cayman Islands company will, upon the merger or consolidation becoming effective, cease to be incorporated, registered or exist under the laws of the relevant non-Cayman Islands jurisdiction; and (iv) that there is no other reason why it would be against the public interest to permit the merger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Where the above procedures are adopted, the Companies Act provides for a right of dissenting shareholders to be paid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(e) if the company and the shareholder fail to agree a price within such 30-day period, within 20 days following the date on which such 30-day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 </w:t>
      </w:r>
    </w:p>
    <w:p>
      <w:pPr>
        <w:pStyle w:val="TextBody"/>
        <w:bidi w:val="0"/>
        <w:spacing w:before="240" w:after="0"/>
        <w:jc w:val="left"/>
        <w:rPr>
          <w:rFonts w:ascii="Times New Roman" w:hAnsi="Times New Roman"/>
          <w:sz w:val="20"/>
        </w:rPr>
      </w:pPr>
      <w:r>
        <w:rPr>
          <w:rFonts w:ascii="Times New Roman" w:hAnsi="Times New Roman"/>
          <w:sz w:val="20"/>
        </w:rPr>
        <w:t xml:space="preserve">Moreover, Cayman Islands law also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 Islands as a “scheme of arrangement” which may be tantamount to a merger. In the event that a merger was sought pursuant to a scheme of arrangement (the procedure of which is more rigorous and takes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a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not proposing to act illegally or beyond the scope of our corporate authority and the statutory provisions as to majority vote have been complied with;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75"/>
        <w:gridCol w:w="110"/>
        <w:gridCol w:w="60"/>
        <w:gridCol w:w="59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shareholders have been fairly represented at the meeting in question;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arrangement is such as a businessman would reasonably approve; and the arrangement is not one that would more properly be sanctioned under some other provision of the Companies Act or that would amount to a “fraud on the minority.”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scheme of arrangement or takeover offer (as described below) is approved, any dissenting shareholder would have no rights comparable to appraisal rights, which would otherwise ordinarily be available to dissenting shareholders of United States corporations, providing rights to receive payment in cash for the judicially determined value of the shares. </w:t>
      </w:r>
    </w:p>
    <w:p>
      <w:pPr>
        <w:pStyle w:val="TextBody"/>
        <w:bidi w:val="0"/>
        <w:spacing w:before="240" w:after="0"/>
        <w:jc w:val="left"/>
        <w:rPr>
          <w:rFonts w:ascii="Times New Roman" w:hAnsi="Times New Roman"/>
          <w:sz w:val="20"/>
        </w:rPr>
      </w:pPr>
      <w:r>
        <w:rPr>
          <w:rFonts w:ascii="Times New Roman" w:hAnsi="Times New Roman"/>
          <w:i/>
          <w:sz w:val="20"/>
        </w:rPr>
        <w:t>Squeeze-out Provisions</w:t>
      </w:r>
      <w:r>
        <w:rPr>
          <w:rFonts w:ascii="Times New Roman" w:hAnsi="Times New Roman"/>
          <w:sz w:val="20"/>
        </w:rPr>
        <w:t xml:space="preserve">. When a takeover offer is made and accepted by holders of 90% of the shares to whom the offer is made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 </w:t>
      </w:r>
    </w:p>
    <w:p>
      <w:pPr>
        <w:pStyle w:val="TextBody"/>
        <w:bidi w:val="0"/>
        <w:spacing w:before="240" w:after="0"/>
        <w:jc w:val="left"/>
        <w:rPr>
          <w:rFonts w:ascii="Times New Roman" w:hAnsi="Times New Roman"/>
          <w:sz w:val="20"/>
        </w:rPr>
      </w:pPr>
      <w:r>
        <w:rPr>
          <w:rFonts w:ascii="Times New Roman" w:hAnsi="Times New Roman"/>
          <w:sz w:val="20"/>
        </w:rPr>
        <w:t xml:space="preserve">Further, transactions similar to a merger, reconstruction and/or an amalgamation may in some circumstances be achieved through means other than under the statutory provisions, such as a share capital exchange, asset acquisition or control, through contractual arrangements, of an operating business. </w:t>
      </w:r>
    </w:p>
    <w:p>
      <w:pPr>
        <w:pStyle w:val="TextBody"/>
        <w:bidi w:val="0"/>
        <w:spacing w:before="240" w:after="0"/>
        <w:jc w:val="left"/>
        <w:rPr>
          <w:rFonts w:ascii="Times New Roman" w:hAnsi="Times New Roman"/>
          <w:sz w:val="20"/>
        </w:rPr>
      </w:pPr>
      <w:r>
        <w:rPr>
          <w:rFonts w:ascii="Times New Roman" w:hAnsi="Times New Roman"/>
          <w:i/>
          <w:sz w:val="20"/>
        </w:rPr>
        <w:t>Restructuring Officer.</w:t>
      </w:r>
      <w:r>
        <w:rPr>
          <w:rFonts w:ascii="Times New Roman" w:hAnsi="Times New Roman"/>
          <w:sz w:val="20"/>
        </w:rPr>
        <w:t xml:space="preserve"> 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 During such time as a petition is presented or an order appointing a restructuring officer remains on foot, Section 91G of the Companies Act prescribes an automatic worldwide moratorium on any suits, action or other proceedings, other than criminal proceedings against the company. </w:t>
      </w:r>
    </w:p>
    <w:p>
      <w:pPr>
        <w:pStyle w:val="TextBody"/>
        <w:bidi w:val="0"/>
        <w:spacing w:before="240" w:after="0"/>
        <w:jc w:val="left"/>
        <w:rPr>
          <w:rFonts w:ascii="Times New Roman" w:hAnsi="Times New Roman"/>
          <w:sz w:val="20"/>
        </w:rPr>
      </w:pPr>
      <w:r>
        <w:rPr>
          <w:rFonts w:ascii="Times New Roman" w:hAnsi="Times New Roman"/>
          <w:i/>
          <w:sz w:val="20"/>
        </w:rPr>
        <w:t>Shareholders’ Suits</w:t>
      </w:r>
      <w:r>
        <w:rPr>
          <w:rFonts w:ascii="Times New Roman" w:hAnsi="Times New Roman"/>
          <w:sz w:val="20"/>
        </w:rPr>
        <w:t xml:space="preserve">. Our Cayman Islands counsel is not aware of any reported class action having been brought in a Cayman Islands court. Derivative actions have been brought in the Cayman Islands courts, and the Cayman Islands courts have confirmed their availability. In principle, we will normally be the proper plaintiff and a claim against (for example) our officers or directors usually may not be brought by a shareholder. However, based on English authorities, which would in all likelihood be of persuasive authority and be applied by a court in the Cayman Islands, exceptions to the foregoing principle apply in circumstances in which: </w:t>
      </w:r>
    </w:p>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75"/>
        <w:gridCol w:w="110"/>
        <w:gridCol w:w="60"/>
        <w:gridCol w:w="69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company is acting or proposing to act illegally or beyond the scope of its authority;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act complained of, although not beyond the scope of the authority, could be effected if duly authorized by more than the number of votes which have actually been obtained; or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those who control the company are perpetrating a “fraud on the minority.” </w:t>
            </w:r>
          </w:p>
        </w:tc>
      </w:tr>
    </w:tbl>
    <w:p>
      <w:pPr>
        <w:pStyle w:val="TextBody"/>
        <w:bidi w:val="0"/>
        <w:spacing w:before="240" w:after="0"/>
        <w:jc w:val="left"/>
        <w:rPr>
          <w:rFonts w:ascii="Times New Roman" w:hAnsi="Times New Roman"/>
          <w:sz w:val="20"/>
        </w:rPr>
      </w:pPr>
      <w:r>
        <w:rPr>
          <w:rFonts w:ascii="Times New Roman" w:hAnsi="Times New Roman"/>
          <w:i/>
          <w:sz w:val="20"/>
        </w:rPr>
        <w:t>Transactions with Directors</w:t>
      </w:r>
      <w:r>
        <w:rPr>
          <w:rFonts w:ascii="Times New Roman" w:hAnsi="Times New Roman"/>
          <w:sz w:val="20"/>
        </w:rPr>
        <w:t xml:space="preserve">. Under the Delaware General Corporation Law, transactions with directors must be approved by disinterested directors or by the shareholders, or otherwise proven to be fair to the company as of the time it is approved. Such transaction will be void or voidable, unless (a) the material facts of any interested directors’ interests are disclosed or are known to the board of directors and the transaction is approved by the affirmative votes of a majority of the disinterested directors, even though the disinterested directors be less than a quorum; (b) the material facts of any interested directors’ interests are disclosed or are known to the shareholders entitled to vote thereon, and the transaction is specifically approved in good faith by a vote of the shareholders; or (c) the transaction is fair to the company as of the time it is approved.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laws do not restrict transactions with directors, requiring only that directors exercise a duty of care and owe a fiduciary duty to the companies for which they serve. Under our second amended and restated memorandum and articles of association, subject to any separate requirement for audit committee approval under the NYSE rules or unless disqualified by the chairman of the relevant board meeting, so long as a director discloses the nature of his interest in any contract or arrangement which he is interested in, such a director may vote in respect of any contract or proposed contract or arrangement in which such director is interested and may be counted in the quorum at such a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Indemnification</w:t>
      </w:r>
      <w:r>
        <w:rPr>
          <w:rFonts w:ascii="Times New Roman" w:hAnsi="Times New Roman"/>
          <w:sz w:val="20"/>
        </w:rPr>
        <w:t xml:space="preserve">. 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conduct amounting to willful default, willful neglect, fraud or dishonesty, for example, civil fraud or the consequences of committing a crime. </w:t>
      </w:r>
    </w:p>
    <w:p>
      <w:pPr>
        <w:pStyle w:val="TextBody"/>
        <w:bidi w:val="0"/>
        <w:spacing w:before="240" w:after="0"/>
        <w:jc w:val="left"/>
        <w:rPr>
          <w:rFonts w:ascii="Times New Roman" w:hAnsi="Times New Roman"/>
          <w:sz w:val="20"/>
        </w:rPr>
      </w:pPr>
      <w:r>
        <w:rPr>
          <w:rFonts w:ascii="Times New Roman" w:hAnsi="Times New Roman"/>
          <w:sz w:val="20"/>
        </w:rPr>
        <w:t xml:space="preserve">Under our second amended and restated memorandum and articles of association, we may indemnify our directors, officers, employees, and agents against expenses, judgments, fines, and amounts paid in settlement actually and reasonably incurred by such persons in connection with actions, suits or proceedings to which they are party or are threatened to be made a party by reason of their acting as our directors, officers, employees or agents, except through their own dishonesty, willful default or fraud. To be entitled to indemnification, these persons must have acted in good faith and in the best interest and not contrary to the interest of our company, and must not have acted in a manner willfully or grossly negligent and, with respect to any criminal action, they must have had no reasonable cause to believe their conduct was unlawful. Our second amended and restated memorandum and articles of association may also provide for indemnification of such person in the case of a suit initiated by our company or in the right of our company. </w:t>
      </w:r>
    </w:p>
    <w:p>
      <w:pPr>
        <w:pStyle w:val="TextBody"/>
        <w:bidi w:val="0"/>
        <w:spacing w:before="240" w:after="0"/>
        <w:jc w:val="left"/>
        <w:rPr>
          <w:rFonts w:ascii="Times New Roman" w:hAnsi="Times New Roman"/>
          <w:sz w:val="20"/>
        </w:rPr>
      </w:pPr>
      <w:r>
        <w:rPr>
          <w:rFonts w:ascii="Times New Roman" w:hAnsi="Times New Roman"/>
          <w:sz w:val="20"/>
        </w:rPr>
        <w:t xml:space="preserve">We intend to enter into indemnification agreements with our directors and executive officers to indemnify them to the fullest extent permitted by applicable law and our articles of association, from and against all costs, charges, expenses, liabilities, and losses incurred in connection with any litigation, suit or proceeding to which such director is or is threatened to be made a party, witness or other participant.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us under the foregoing provisions, we have been advised that in the opinion of the SEC, such indemnification is against public policy as expressed in the Securities Act and therefore is unenforceable. </w:t>
      </w:r>
    </w:p>
    <w:p>
      <w:pPr>
        <w:pStyle w:val="TextBody"/>
        <w:bidi w:val="0"/>
        <w:spacing w:before="240" w:after="0"/>
        <w:jc w:val="left"/>
        <w:rPr>
          <w:rFonts w:ascii="Times New Roman" w:hAnsi="Times New Roman"/>
          <w:sz w:val="20"/>
        </w:rPr>
      </w:pPr>
      <w:r>
        <w:rPr>
          <w:rFonts w:ascii="Times New Roman" w:hAnsi="Times New Roman"/>
          <w:i/>
          <w:sz w:val="20"/>
        </w:rPr>
        <w:t>Directors’ Fiduciary Duties</w:t>
      </w:r>
      <w:r>
        <w:rPr>
          <w:rFonts w:ascii="Times New Roman" w:hAnsi="Times New Roman"/>
          <w:sz w:val="20"/>
        </w:rPr>
        <w:t xml:space="preserve">. Under Delaware corporate law, a director of a Delaware corporation has a fiduciary duty to the corporation and its shareholders. This duty has two components: the duty of care and the duty of loyalty.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director of a Cayman Islands company is in the position of a fiduciary with respect to the company, and therefore it is considered that he or she owes the following duties to the company: a duty to act bona fide in the best interests of the company and for a proper purpose; a duty not to make a profit out of his or her position as director (unless the company permits him or her to do so); and a duty not to put himself or herself in a position where the interests of the company conflict with his or her personal interests or his or her duty to a third party. A director of a Cayman Islands company owes to the company a duty to act with skill, diligence,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 </w:t>
      </w:r>
    </w:p>
    <w:p>
      <w:pPr>
        <w:pStyle w:val="TextBody"/>
        <w:bidi w:val="0"/>
        <w:spacing w:before="240" w:after="0"/>
        <w:jc w:val="left"/>
        <w:rPr>
          <w:rFonts w:ascii="Times New Roman" w:hAnsi="Times New Roman"/>
          <w:sz w:val="20"/>
        </w:rPr>
      </w:pPr>
      <w:r>
        <w:rPr>
          <w:rFonts w:ascii="Times New Roman" w:hAnsi="Times New Roman"/>
          <w:sz w:val="20"/>
        </w:rPr>
        <w:t xml:space="preserve">Under our second amended and restated memorandum and articles of association, directors who are in any way, whether directly or indirectly, interested in a contract or proposed contract with our company should declare the nature of their interest at a meeting of the board of directors. Following such declaration, a director may vote in respect of any contract or proposed contract notwithstanding his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Majority Independent Board</w:t>
      </w:r>
      <w:r>
        <w:rPr>
          <w:rFonts w:ascii="Times New Roman" w:hAnsi="Times New Roman"/>
          <w:sz w:val="20"/>
        </w:rPr>
        <w:t xml:space="preserve">. A domestic U.S. company listed on the NYSE must comply with the requirement that a majority of the board of directors must be comprised of independent directors as defined under the NYSE rules. As a Cayman Islands exempted company, we are allowed to follow home country practices in lieu of certain corporate governance requirements under the NYSE rules where there is no similar requirement under the laws of the Cayman Islands. </w:t>
      </w:r>
    </w:p>
    <w:p>
      <w:pPr>
        <w:pStyle w:val="TextBody"/>
        <w:bidi w:val="0"/>
        <w:spacing w:before="240" w:after="0"/>
        <w:jc w:val="left"/>
        <w:rPr>
          <w:rFonts w:ascii="Times New Roman" w:hAnsi="Times New Roman"/>
          <w:sz w:val="20"/>
        </w:rPr>
      </w:pPr>
      <w:r>
        <w:rPr>
          <w:rFonts w:ascii="Times New Roman" w:hAnsi="Times New Roman"/>
          <w:i/>
          <w:sz w:val="20"/>
        </w:rPr>
        <w:t>Shareholder Action by Written Consent</w:t>
      </w:r>
      <w:r>
        <w:rPr>
          <w:rFonts w:ascii="Times New Roman" w:hAnsi="Times New Roman"/>
          <w:sz w:val="20"/>
        </w:rPr>
        <w:t xml:space="preserve">. Under the Delaware General Corporation Law, a corporation may eliminate the right of shareholders to act by written consent by inclusion of such a restriction in its certificate of incorporation. Cayman Islands law and our amended and restated articles of association provide that shareholders may approve corporate matters by way of a unanimous written resolution signed by or on behalf of each shareholder who would have been entitled to vote on such matter at a general meeting without a meeting being held. </w:t>
      </w:r>
    </w:p>
    <w:p>
      <w:pPr>
        <w:pStyle w:val="TextBody"/>
        <w:bidi w:val="0"/>
        <w:spacing w:before="240" w:after="0"/>
        <w:jc w:val="left"/>
        <w:rPr>
          <w:rFonts w:ascii="Times New Roman" w:hAnsi="Times New Roman"/>
          <w:sz w:val="20"/>
        </w:rPr>
      </w:pPr>
      <w:r>
        <w:rPr>
          <w:rFonts w:ascii="Times New Roman" w:hAnsi="Times New Roman"/>
          <w:i/>
          <w:sz w:val="20"/>
        </w:rPr>
        <w:t>Shareholder Proposals</w:t>
      </w:r>
      <w:r>
        <w:rPr>
          <w:rFonts w:ascii="Times New Roman" w:hAnsi="Times New Roman"/>
          <w:sz w:val="20"/>
        </w:rPr>
        <w:t xml:space="preserve">.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certificate of incorporation or bylaws, but shareholders may be precluded from calling special meetings. With respect to shareholder proposals, Cayman law is essentially the same as Delaware law. The Companies Act does not provide shareholders with an express right to put forth any proposal before the annual meeting of the shareholders. However, depending on what is stipulated in a company’s articles of associations, shareholders in an exempted Cayman Islands company may make proposals in accordance with the notice provisions. For shares that are represented by ADSs, the depositary in many cases may be the only shareholder. In such cases, only the depositary has the direct right to requisition a shareholders’ meeting. However, unless otherwise provided in the deposit agreement, the holders of the ADSs generally do not have the right to petition the depositary to requisition a shareholders’ meeting or put forth shareholder proposals through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Our second amended and restated memorandum and articles of association allow our shareholders holding not less than one-third of our paid-up voting share capital to requisition a shareholders’ meeting. At such shareholders’ meeting, the shareholders who have requisitioned the meeting may put forth proposals, provided the details of such proposals are set forth in their notice requisitioning the meeting. As an exempted Cayman Islands company, we are not obliged by law to call shareholders’ annual general meetings. </w:t>
      </w:r>
    </w:p>
    <w:p>
      <w:pPr>
        <w:pStyle w:val="TextBody"/>
        <w:bidi w:val="0"/>
        <w:spacing w:before="240" w:after="0"/>
        <w:jc w:val="left"/>
        <w:rPr>
          <w:rFonts w:ascii="Times New Roman" w:hAnsi="Times New Roman"/>
          <w:sz w:val="20"/>
        </w:rPr>
      </w:pPr>
      <w:r>
        <w:rPr>
          <w:rFonts w:ascii="Times New Roman" w:hAnsi="Times New Roman"/>
          <w:i/>
          <w:sz w:val="20"/>
        </w:rPr>
        <w:t>Cumulative Voting.</w:t>
      </w:r>
      <w:r>
        <w:rPr>
          <w:rFonts w:ascii="Times New Roman" w:hAnsi="Times New Roman"/>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w:t>
      </w:r>
    </w:p>
    <w:p>
      <w:pPr>
        <w:pStyle w:val="TextBody"/>
        <w:bidi w:val="0"/>
        <w:spacing w:before="240" w:after="0"/>
        <w:jc w:val="left"/>
        <w:rPr>
          <w:rFonts w:ascii="Times New Roman" w:hAnsi="Times New Roman"/>
          <w:sz w:val="20"/>
        </w:rPr>
      </w:pPr>
      <w:r>
        <w:rPr>
          <w:rFonts w:ascii="Times New Roman" w:hAnsi="Times New Roman"/>
          <w:sz w:val="20"/>
        </w:rPr>
        <w:t xml:space="preserve">There are no prohibitions in relation to cumulative voting under the laws of the Cayman Islands, but our amended and restated articles of association do not provide for cumulative voting. As a result, our shareholders are not afforded any less protections or rights on this issue than shareholders of a Delaware corporation. </w:t>
      </w:r>
    </w:p>
    <w:p>
      <w:pPr>
        <w:pStyle w:val="TextBody"/>
        <w:bidi w:val="0"/>
        <w:spacing w:before="240" w:after="0"/>
        <w:jc w:val="left"/>
        <w:rPr>
          <w:rFonts w:ascii="Times New Roman" w:hAnsi="Times New Roman"/>
          <w:sz w:val="20"/>
        </w:rPr>
      </w:pPr>
      <w:r>
        <w:rPr>
          <w:rFonts w:ascii="Times New Roman" w:hAnsi="Times New Roman"/>
          <w:i/>
          <w:sz w:val="20"/>
        </w:rPr>
        <w:t>Removal of Directors</w:t>
      </w:r>
      <w:r>
        <w:rPr>
          <w:rFonts w:ascii="Times New Roman" w:hAnsi="Times New Roman"/>
          <w:sz w:val="20"/>
        </w:rPr>
        <w:t xml:space="preserve">. Under the Delaware General Corporation Law, a director of a corporation with a classified board may be removed only for cause with the approval of a majority of the outstanding shares entitled to vote, unless the certificate of incorporation provides otherwise. Under our amended and restated articles of association, directors can be removed by an ordinary resolution of shareholders. </w:t>
      </w:r>
    </w:p>
    <w:p>
      <w:pPr>
        <w:pStyle w:val="TextBody"/>
        <w:bidi w:val="0"/>
        <w:spacing w:before="240" w:after="0"/>
        <w:jc w:val="left"/>
        <w:rPr>
          <w:rFonts w:ascii="Times New Roman" w:hAnsi="Times New Roman"/>
          <w:sz w:val="20"/>
        </w:rPr>
      </w:pPr>
      <w:r>
        <w:rPr>
          <w:rFonts w:ascii="Times New Roman" w:hAnsi="Times New Roman"/>
          <w:i/>
          <w:sz w:val="20"/>
        </w:rPr>
        <w:t>Transactions with Interested Shareholders</w:t>
      </w:r>
      <w:r>
        <w:rPr>
          <w:rFonts w:ascii="Times New Roman" w:hAnsi="Times New Roman"/>
          <w:sz w:val="20"/>
        </w:rPr>
        <w:t xml:space="preserve">. The Delaware General Corporation Law contains a business combination statute applicable to Delaware public corporations whereby, unless the corporation has specifically elected not to be governed by such statute by an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15% or more of the corporation’s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public corporation to negotiate the terms of any acquisition transaction with the target’s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perpetuating a fraud on the minority shareholders. </w:t>
      </w:r>
    </w:p>
    <w:p>
      <w:pPr>
        <w:pStyle w:val="TextBody"/>
        <w:bidi w:val="0"/>
        <w:spacing w:before="240" w:after="0"/>
        <w:jc w:val="left"/>
        <w:rPr>
          <w:rFonts w:ascii="Times New Roman" w:hAnsi="Times New Roman"/>
          <w:sz w:val="20"/>
        </w:rPr>
      </w:pPr>
      <w:r>
        <w:rPr>
          <w:rFonts w:ascii="Times New Roman" w:hAnsi="Times New Roman"/>
          <w:i/>
          <w:sz w:val="20"/>
        </w:rPr>
        <w:t>Dissolution; Winding Up</w:t>
      </w:r>
      <w:r>
        <w:rPr>
          <w:rFonts w:ascii="Times New Roman" w:hAnsi="Times New Roman"/>
          <w:sz w:val="20"/>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w:t>
      </w:r>
    </w:p>
    <w:p>
      <w:pPr>
        <w:pStyle w:val="TextBody"/>
        <w:bidi w:val="0"/>
        <w:spacing w:before="240" w:after="0"/>
        <w:jc w:val="left"/>
        <w:rPr>
          <w:rFonts w:ascii="Times New Roman" w:hAnsi="Times New Roman"/>
          <w:sz w:val="20"/>
        </w:rPr>
      </w:pPr>
      <w:r>
        <w:rPr>
          <w:rFonts w:ascii="Times New Roman" w:hAnsi="Times New Roman"/>
          <w:i/>
          <w:sz w:val="20"/>
        </w:rPr>
        <w:t>Variation of Rights of Shares</w:t>
      </w:r>
      <w:r>
        <w:rPr>
          <w:rFonts w:ascii="Times New Roman" w:hAnsi="Times New Roman"/>
          <w:sz w:val="20"/>
        </w:rPr>
        <w:t xml:space="preserve">. 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materially adversely vary the rights attached to any class with the written consent of the holders of two-thirds of the issued shares of that class or with the sanction of a special resolution passed at a separate meeting of the holders of the shares of that class. </w:t>
      </w:r>
    </w:p>
    <w:p>
      <w:pPr>
        <w:pStyle w:val="TextBody"/>
        <w:bidi w:val="0"/>
        <w:spacing w:before="240" w:after="0"/>
        <w:jc w:val="left"/>
        <w:rPr>
          <w:rFonts w:ascii="Times New Roman" w:hAnsi="Times New Roman"/>
          <w:sz w:val="20"/>
        </w:rPr>
      </w:pPr>
      <w:r>
        <w:rPr>
          <w:rFonts w:ascii="Times New Roman" w:hAnsi="Times New Roman"/>
          <w:i/>
          <w:sz w:val="20"/>
        </w:rPr>
        <w:t>Amendment of Governing Documents</w:t>
      </w:r>
      <w:r>
        <w:rPr>
          <w:rFonts w:ascii="Times New Roman" w:hAnsi="Times New Roman"/>
          <w:sz w:val="20"/>
        </w:rPr>
        <w:t xml:space="preserve">. 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As permitted by Cayman Islands law, our second amended and restated memorandum and articles of association may be amended by a special resolution of the shareholders. </w:t>
      </w:r>
    </w:p>
    <w:p>
      <w:pPr>
        <w:pStyle w:val="TextBody"/>
        <w:bidi w:val="0"/>
        <w:spacing w:before="240" w:after="0"/>
        <w:jc w:val="left"/>
        <w:rPr>
          <w:rFonts w:ascii="Times New Roman" w:hAnsi="Times New Roman"/>
          <w:sz w:val="20"/>
        </w:rPr>
      </w:pPr>
      <w:r>
        <w:rPr>
          <w:rFonts w:ascii="Times New Roman" w:hAnsi="Times New Roman"/>
          <w:i/>
          <w:sz w:val="20"/>
        </w:rPr>
        <w:t>Rights of Non-Resident or Foreign Shareholders</w:t>
      </w:r>
      <w:r>
        <w:rPr>
          <w:rFonts w:ascii="Times New Roman" w:hAnsi="Times New Roman"/>
          <w:sz w:val="20"/>
        </w:rPr>
        <w:t xml:space="preserve">. There are no limitations imposed by our second amended and restated memorandum and articles of association on the rights of non-resident or foreign shareholders to hold or exercise voting rights on our shares. In addition, there are no provisions in our second amended and restated memorandum and articles of association governing the ownership threshold above which shareholder ownership must be disclosed. </w:t>
      </w:r>
    </w:p>
    <w:p>
      <w:pPr>
        <w:pStyle w:val="TextBody"/>
        <w:bidi w:val="0"/>
        <w:spacing w:before="240" w:after="0"/>
        <w:jc w:val="left"/>
        <w:rPr>
          <w:rFonts w:ascii="Times New Roman" w:hAnsi="Times New Roman"/>
          <w:sz w:val="20"/>
        </w:rPr>
      </w:pPr>
      <w:r>
        <w:rPr>
          <w:rFonts w:ascii="Times New Roman" w:hAnsi="Times New Roman"/>
          <w:i/>
          <w:sz w:val="20"/>
        </w:rPr>
        <w:t>Exempted Company</w:t>
      </w:r>
      <w:r>
        <w:rPr>
          <w:rFonts w:ascii="Times New Roman" w:hAnsi="Times New Roman"/>
          <w:sz w:val="20"/>
        </w:rPr>
        <w:t xml:space="preserve">. The Companies Act in the Cayman Islands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 </w:t>
      </w:r>
    </w:p>
    <w:p>
      <w:pPr>
        <w:pStyle w:val="TextBody"/>
        <w:bidi w:val="0"/>
        <w:spacing w:before="0" w:after="0"/>
        <w:jc w:val="left"/>
        <w:rPr/>
      </w:pPr>
      <w:r>
        <w:rPr/>
        <w:t> </w:t>
      </w:r>
    </w:p>
    <w:tbl>
      <w:tblPr>
        <w:tblW w:w="9445" w:type="dxa"/>
        <w:jc w:val="left"/>
        <w:tblInd w:w="0" w:type="dxa"/>
        <w:tblLayout w:type="fixed"/>
        <w:tblCellMar>
          <w:top w:w="0" w:type="dxa"/>
          <w:left w:w="0" w:type="dxa"/>
          <w:bottom w:w="0" w:type="dxa"/>
          <w:right w:w="0" w:type="dxa"/>
        </w:tblCellMar>
      </w:tblPr>
      <w:tblGrid>
        <w:gridCol w:w="75"/>
        <w:gridCol w:w="110"/>
        <w:gridCol w:w="60"/>
        <w:gridCol w:w="92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does not have to file an annual return of its shareholders with the Registrar of Companies;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110"/>
        <w:gridCol w:w="60"/>
        <w:gridCol w:w="70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0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company’s register of members is not required to be open for inspection;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110"/>
        <w:gridCol w:w="60"/>
        <w:gridCol w:w="5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does not have to hold an annual general meeting;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may issue no par value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may obtain an undertaking against the imposition of any future taxation (such undertakings are usually given for 20 years in the first instance);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may register by way of continuation in another jurisdiction and be deregistered in the Cayman Islands;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exempted company may register as a limited duration company; and an exempted company may register as a segregated portfolio company. </w:t>
            </w:r>
          </w:p>
        </w:tc>
      </w:tr>
    </w:tbl>
    <w:p>
      <w:pPr>
        <w:pStyle w:val="TextBody"/>
        <w:bidi w:val="0"/>
        <w:spacing w:before="240" w:after="0"/>
        <w:jc w:val="left"/>
        <w:rPr/>
      </w:pPr>
      <w:r>
        <w:rPr/>
        <w:t>“</w:t>
      </w:r>
      <w:r>
        <w:rPr>
          <w:rFonts w:ascii="Times New Roman" w:hAnsi="Times New Roman"/>
          <w:sz w:val="20"/>
        </w:rPr>
        <w:t xml:space="preserve">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 </w:t>
      </w:r>
    </w:p>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283"/>
              <w:jc w:val="left"/>
              <w:rPr>
                <w:b/>
              </w:rPr>
            </w:pPr>
            <w:r>
              <w:rPr>
                <w:b/>
              </w:rPr>
              <w:t>C.</w:t>
            </w:r>
          </w:p>
        </w:tc>
        <w:tc>
          <w:tcPr>
            <w:tcW w:w="17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Contracts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than in the ordinary course of business and other than those described under this item, in “Item 4. Information on the Company,” “Item 7. Major Shareholders and Related Party Transactions—B. Related Party Transactions” or elsewhere in this annual report, we have not entered into any material contract during the two years immediately preceding the date of this annual report. </w:t>
      </w:r>
    </w:p>
    <w:p>
      <w:pPr>
        <w:pStyle w:val="TextBody"/>
        <w:bidi w:val="0"/>
        <w:spacing w:before="0" w:after="0"/>
        <w:jc w:val="left"/>
        <w:rPr/>
      </w:pPr>
      <w:r>
        <w:rPr/>
        <w:t> </w:t>
      </w:r>
    </w:p>
    <w:tbl>
      <w:tblPr>
        <w:tblW w:w="1975" w:type="dxa"/>
        <w:jc w:val="left"/>
        <w:tblInd w:w="0" w:type="dxa"/>
        <w:tblLayout w:type="fixed"/>
        <w:tblCellMar>
          <w:top w:w="0" w:type="dxa"/>
          <w:left w:w="0" w:type="dxa"/>
          <w:bottom w:w="0" w:type="dxa"/>
          <w:right w:w="0" w:type="dxa"/>
        </w:tblCellMar>
      </w:tblPr>
      <w:tblGrid>
        <w:gridCol w:w="275"/>
        <w:gridCol w:w="1700"/>
      </w:tblGrid>
      <w:tr>
        <w:trPr/>
        <w:tc>
          <w:tcPr>
            <w:tcW w:w="275" w:type="dxa"/>
            <w:tcBorders/>
            <w:vAlign w:val="center"/>
          </w:tcPr>
          <w:p>
            <w:pPr>
              <w:pStyle w:val="TableContents"/>
              <w:bidi w:val="0"/>
              <w:spacing w:before="0" w:after="283"/>
              <w:jc w:val="left"/>
              <w:rPr>
                <w:b/>
              </w:rPr>
            </w:pPr>
            <w:r>
              <w:rPr>
                <w:b/>
              </w:rPr>
              <w:t>D.</w:t>
            </w:r>
          </w:p>
        </w:tc>
        <w:tc>
          <w:tcPr>
            <w:tcW w:w="17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Exchange Controls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See “Item 4. Information on the Company—B. Business Overview—Regulation—Regulations Relating to Foreign Currency Exchange and Dividend Distribution.” </w:t>
      </w:r>
    </w:p>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260"/>
        <w:gridCol w:w="860"/>
      </w:tblGrid>
      <w:tr>
        <w:trPr/>
        <w:tc>
          <w:tcPr>
            <w:tcW w:w="260" w:type="dxa"/>
            <w:tcBorders/>
            <w:vAlign w:val="center"/>
          </w:tcPr>
          <w:p>
            <w:pPr>
              <w:pStyle w:val="TableContents"/>
              <w:bidi w:val="0"/>
              <w:spacing w:before="0" w:after="283"/>
              <w:jc w:val="left"/>
              <w:rPr>
                <w:b/>
              </w:rPr>
            </w:pPr>
            <w:r>
              <w:rPr>
                <w:b/>
              </w:rPr>
              <w:t>E.</w:t>
            </w:r>
          </w:p>
        </w:tc>
        <w:tc>
          <w:tcPr>
            <w:tcW w:w="8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Taxation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Cayman Islands Taxation </w:t>
      </w:r>
    </w:p>
    <w:p>
      <w:pPr>
        <w:pStyle w:val="TextBody"/>
        <w:bidi w:val="0"/>
        <w:spacing w:before="120" w:after="0"/>
        <w:jc w:val="left"/>
        <w:rPr>
          <w:rFonts w:ascii="Times New Roman" w:hAnsi="Times New Roman"/>
          <w:sz w:val="20"/>
        </w:rPr>
      </w:pPr>
      <w:r>
        <w:rPr>
          <w:rFonts w:ascii="Times New Roman" w:hAnsi="Times New Roman"/>
          <w:sz w:val="20"/>
        </w:rPr>
        <w:t xml:space="preserve">According to Travers Thorp Alberga, our Cayman Islands counsel, 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us. There are no exchange control regulations or currency restrictions in the Cayman Islands.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People’s Republic of China Taxation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PRC Enterprise Income Tax Law, an enterprise established outside of China with “de facto management bodies” within China may be considered a PRC “resident enterprise,” meaning it can be treated in a manner similar to a PRC enterprise for enterprise income tax purposes, although the dividends paid to a PRC resident enterprise from another may qualify as “tax-exempt income.” The implementation rules of the PRC Enterprise Income Tax Law define a “de facto management body” as a body that has substantial and overall management and control over the manufacturing and business operations, personnel and human resources, finances and properties of an enterprise. STA Circular 82 issued by the State Taxation Administration on April 22, 2009 specifies that certain offshore enterprises controlled by a PRC company or a PRC company group will be classified as PRC “resident enterprises” if the following requirements are satisfied: (i) the senior management and core management departments in charge of its daily operations function are mainly in China; (ii) its financial and human resources decisions are subject to determination or approval by persons or bodies in China; (iii) its major assets, accounting books, company seals, and minutes and files of its board and shareholders’ meetings are located or kept in China; and (iv) at least half of the enterprise’s directors with voting rights or senior management habitually reside in China. Although STA Circular 82 only applies to offshore enterprises controlled by PRC enterprises and not those controlled by PRC individuals, the determination criteria set forth in STA Circular 82 may reflect State Taxation Administration’s general position on how the “de facto management body” test should be applied in determining tax resident status of offshore enterprises, regardless of whether they are controlled by PRC enterprises or PRC individuals.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believe that none of our entities outside of China is a PRC resident enterprise for PRC tax purposes and therefore is not subject to PRC enterprise income tax reporting obligations and the dividends we pay to holders of our ADSs or ordinary shares will not be subject to PRC withholding tax. However, if the PRC tax authorities determine that we are a PRC resident enterprise for enterprise income tax purposes, we may be required to withhold a 10% withholding tax from dividends we pay to our non-PRC enterprise shareholders and a 20% withholding tax from dividends we pay to our non-PRC individual shareholders, including the holders of our ADSs. In addition, non-PRC shareholders may be subject to PRC tax on gains realized on the sale or other disposition of ADSs or ordinary shares if such income is treated as China-sourced income. It is unclear whether our non-PRC shareholders would be able to claim the benefits of any tax treaties between their tax residence and China in the event we are treated as a PRC resident enterprise. See “Item 3. Key Information—D. Risk Factors—Risks Relating to Doing Business in China—It is unclear whether we will be considered a PRC ‘resident enterprise’ under the PRC Enterprise Income Tax Law and, depending on the determination of our PRC ‘resident enterprise’ status, our global income may be subject to the 25% PRC enterprise income tax, which could materially and adversely affect our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States Federal Income Tax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United States federal income tax considerations with respect to the ownership and disposition of our ADSs or Class A ordinary shares by a U.S. Holder, as defined below, that holds our ADSs or Class A ordinary shares as “capital assets” (generally, property held for investment) under the United States Internal Revenue Code of 1986, as amended. This summary is based upon existing United States federal tax law, which is subject to differing interpretations or change, possibly with retroactive effect, and there can be no assurance that Internal Revenue Service or a court will not take a contrary position. This summary does not discuss all aspects of United States federal income taxation that may be important to particular investors in light of their individual investment circumstances,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investors subject to special tax rules (for example, financial institutions, insurance companies, broker-dealers, traders in securities that elect mark-to-market treatment, pension plans, regulated investment companies, real estate investment trusts, cooperatives, and tax-exempt organizations (including private foundations)),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holders who are not U.S. Holders, holders who own (directly, indirectly, or constructively) 10% or more of our stock (by vote or value),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holders that hold their ADSs or Class A ordinary shares as part of a straddle, hedge, conversion, constructive sale, or other integrated transaction for United States federal income tax purposes, </w:t>
            </w:r>
          </w:p>
        </w:tc>
      </w:tr>
    </w:tbl>
    <w:p>
      <w:pPr>
        <w:pStyle w:val="TextBody"/>
        <w:bidi w:val="0"/>
        <w:spacing w:before="0" w:after="0"/>
        <w:jc w:val="left"/>
        <w:rPr/>
      </w:pPr>
      <w:r>
        <w:rPr/>
        <w:t> </w:t>
      </w:r>
    </w:p>
    <w:tbl>
      <w:tblPr>
        <w:tblW w:w="2380" w:type="dxa"/>
        <w:jc w:val="left"/>
        <w:tblInd w:w="0" w:type="dxa"/>
        <w:tblLayout w:type="fixed"/>
        <w:tblCellMar>
          <w:top w:w="0" w:type="dxa"/>
          <w:left w:w="0" w:type="dxa"/>
          <w:bottom w:w="0" w:type="dxa"/>
          <w:right w:w="0" w:type="dxa"/>
        </w:tblCellMar>
      </w:tblPr>
      <w:tblGrid>
        <w:gridCol w:w="75"/>
        <w:gridCol w:w="110"/>
        <w:gridCol w:w="60"/>
        <w:gridCol w:w="2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United States expatriates,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persons liable for any minimum tax,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holders who acquired their ADSs or Class A ordinary shares pursuant to any employee share option or otherwise as compensation, or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holders that have a functional currency other than the United States dollar,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of the foregoing may be subject to tax rules that differ significantly from those summarized below. </w:t>
      </w:r>
    </w:p>
    <w:p>
      <w:pPr>
        <w:pStyle w:val="TextBody"/>
        <w:bidi w:val="0"/>
        <w:spacing w:before="240" w:after="0"/>
        <w:jc w:val="left"/>
        <w:rPr>
          <w:rFonts w:ascii="Times New Roman" w:hAnsi="Times New Roman"/>
          <w:sz w:val="20"/>
        </w:rPr>
      </w:pPr>
      <w:r>
        <w:rPr>
          <w:rFonts w:ascii="Times New Roman" w:hAnsi="Times New Roman"/>
          <w:sz w:val="20"/>
        </w:rPr>
        <w:t xml:space="preserve">In addition, this summary of United States federal income tax considerations does not discuss any state, local, or non-United States tax considerations, any non-income tax (such as gift or estate tax) considerations, or the Medicare Tax. Each U.S. Holder is advised to consult its tax advisors regarding the United States federal, state, local, and non-United States income and other tax considerations of an investment in our ADSs or Class A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summary, a “U.S. Holder” is a beneficial owner of our ADSs or Class A ordinary shares that is, for United States federal income tax purposes, </w:t>
      </w:r>
    </w:p>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for United States federal income tax purposes) created in, or organized under the law of, the United States or any state thereof or the District of Columbia,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includible in gross income for United States federal income tax purposes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applicable Treasury Regulations.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or arrangement treated as a partnership for United States federal income tax purposes) is a beneficial owner of our ADSs or Class A ordinary shares, the tax treatment of a partner in the partnership will generally depend upon the status of the partner and the activities of the partnership. Partnerships and partners of a partnership holding our ADSs or Class A ordinary shares are advised to consult their tax advisors regarding an investment in our ADSs or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It is generally expected that a U.S. Holder of ADSs should be treated as the beneficial owner, for United States federal income tax purposes, of the underlying shares represented by the ADSs. The remainder of this discussion assumes that a holder of ADSs will be treated in this manner. Accordingly, deposits or withdrawals of Class A ordinary shares for ADSs will not be subject to United States federal income tax. </w:t>
      </w:r>
    </w:p>
    <w:p>
      <w:pPr>
        <w:pStyle w:val="TextBody"/>
        <w:bidi w:val="0"/>
        <w:spacing w:before="360" w:after="0"/>
        <w:jc w:val="left"/>
        <w:rPr>
          <w:rFonts w:ascii="Times New Roman" w:hAnsi="Times New Roman"/>
          <w:i/>
          <w:sz w:val="20"/>
        </w:rPr>
      </w:pPr>
      <w:r>
        <w:rPr>
          <w:rFonts w:ascii="Times New Roman" w:hAnsi="Times New Roman"/>
          <w:i/>
          <w:sz w:val="20"/>
        </w:rPr>
        <w:t xml:space="preserve">Passive Foreign Investment Company Considerations </w:t>
      </w:r>
    </w:p>
    <w:p>
      <w:pPr>
        <w:pStyle w:val="TextBody"/>
        <w:bidi w:val="0"/>
        <w:spacing w:before="120" w:after="0"/>
        <w:jc w:val="left"/>
        <w:rPr>
          <w:rFonts w:ascii="Times New Roman" w:hAnsi="Times New Roman"/>
          <w:sz w:val="20"/>
        </w:rPr>
      </w:pPr>
      <w:r>
        <w:rPr>
          <w:rFonts w:ascii="Times New Roman" w:hAnsi="Times New Roman"/>
          <w:sz w:val="20"/>
        </w:rPr>
        <w:t xml:space="preserve">A non-United States corporation, such as our company, will be a PFIC for United States federal income tax purposes for any taxable year if either (a) 75% or more of its gross income for such year consists of certain types of “passive” income or (b)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associated with active business activities may generally be classified as active assets.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 </w:t>
      </w:r>
    </w:p>
    <w:p>
      <w:pPr>
        <w:pStyle w:val="TextBody"/>
        <w:bidi w:val="0"/>
        <w:spacing w:before="240" w:after="0"/>
        <w:jc w:val="left"/>
        <w:rPr>
          <w:rFonts w:ascii="Times New Roman" w:hAnsi="Times New Roman"/>
          <w:sz w:val="20"/>
        </w:rPr>
      </w:pPr>
      <w:r>
        <w:rPr>
          <w:rFonts w:ascii="Times New Roman" w:hAnsi="Times New Roman"/>
          <w:sz w:val="20"/>
        </w:rPr>
        <w:t xml:space="preserve">Although the law in this regard is unclear, we treat the consolidated variable interest entities as being owned by us for U.S. federal income tax purposes, not only because their management decisions are made by our WFOE in accordance with the contractual arrangements but also because we are entitled to substantially all of their economic benefits in accordance with the contractual arrangements, and, as a result, we have a “controlling financial interest” in the consolidated variable interest entities as defined in FASB ASC 810 so that we are considered the primary beneficiary of these consolidated variable interest entities for accounting purposes and thus consolidate their results of operations in our consolidated financial statements under U.S. GAAP. If it were determined, however, that we are not the owner of any of the consolidated variable interest entities (or their subsidiaries) for United States federal income tax purposes, we would likely be treated as a PFIC for the current taxable year or any future taxable year. </w:t>
      </w:r>
    </w:p>
    <w:p>
      <w:pPr>
        <w:pStyle w:val="TextBody"/>
        <w:bidi w:val="0"/>
        <w:spacing w:before="240" w:after="0"/>
        <w:jc w:val="left"/>
        <w:rPr>
          <w:rFonts w:ascii="Times New Roman" w:hAnsi="Times New Roman"/>
          <w:sz w:val="20"/>
        </w:rPr>
      </w:pPr>
      <w:r>
        <w:rPr>
          <w:rFonts w:ascii="Times New Roman" w:hAnsi="Times New Roman"/>
          <w:sz w:val="20"/>
        </w:rPr>
        <w:t xml:space="preserve">Assuming that we are the owner of the consolidated variable interest entities (and their subsidiaries) for United States federal income tax purposes, and based upon our income and assets and the market price of our ADSs, we do not believe that we were a PFIC for the taxable year ended December 31, 2024 and do not anticipate becoming a PFIC in the foreseeable future. While we do not expect to become a PFIC, the determination of whether we will be or become a PFIC will depend in part upon the market price of our ADSs, which we cannot control. Among other matters, if our market capitalization declines, we may be classified as a PFIC for the current or future taxable years. Recent fluctuations in the market price of our ADSs or ordinary shares increased our risk of becoming a PFIC. The market price of our ADSs and ordinary shares may continue to fluctuate considerably; consequently, we cannot assure you of our PFIC status for any taxable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determination of whether we are or will be a PFIC will also depend, in part, on the composition of our income and our assets, which will be affected by how, and how quickly, we use our liquid assets. Under circumstances where we determine not to deploy significant amounts of cash for active purposes, our risk of becoming classified as a PFIC may substantially increase. Because PFIC status is a fact-intensive determination made on an annual basis, no assurance can be given that we are not or will not become a PFIC. If we are a PFIC for any year during which a U.S. Holder holds our ADSs or Class A ordinary shares, we generally will continue to be treated as a PFIC for all succeeding years during which such U.S. Holder holds our ADSs or Class A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The discussion below under “Dividends” and “Sale or Other Disposition of ADSs or Class A Ordinary Shares” assumes that we will not be a PFIC for United States federal income tax purposes. The United States federal income tax rules that apply if we are a PFIC for the current taxable year or any subsequent taxable year are generally discussed below under “Passive Foreign Investment Company Rules.” </w:t>
      </w:r>
    </w:p>
    <w:p>
      <w:pPr>
        <w:pStyle w:val="TextBody"/>
        <w:bidi w:val="0"/>
        <w:spacing w:before="360" w:after="0"/>
        <w:jc w:val="left"/>
        <w:rPr>
          <w:rFonts w:ascii="Times New Roman" w:hAnsi="Times New Roman"/>
          <w:i/>
          <w:sz w:val="20"/>
        </w:rPr>
      </w:pPr>
      <w:r>
        <w:rPr>
          <w:rFonts w:ascii="Times New Roman" w:hAnsi="Times New Roman"/>
          <w:i/>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Any cash distributions (including the amount of any PRC tax withheld) paid on our ADSs or Class A ordinary shares out of our current or accumulated earnings and profits, as determined under United States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United States federal income tax principles, any distribution paid will generally be reported as a “dividend” for United States federal income tax purposes. A non-corporate recipient of dividend income generally will be subject to tax on dividend income from a “qualified foreign corporation” at a reduced capital gains rate rather than the marginal tax rates generally applicable to ordinary income provided that certain holding period requirements and other requirements are met. Each U.S. Holder is advised to consult its tax advisors regarding the availability of the reduced tax rate on dividends to its particular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stock (or ADSs in respect of such stock) which is readily tradable on an established securities market in the United States. Our ADSs are listed on the NYSE, which is an established securities market in the United States, and we expect our ADSs to be readily tradable on the NYSE for as long as our ADSs continue to be listed on the NYSE. Accordingly, we believe that dividends we pay on our ADSs will meet the conditions required for the reduced tax rate. Because we do not expect that our Class A ordinary shares will be listed on an established securities market in the United States, it is unclear whether dividends that we pay on our Class A ordinary shares that are not backed by ADSs currently meet the conditions required for these reduced tax rates. There can be no assurance that our ADSs will be considered readily tradable on an established securities market in the United States in later years.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we are deemed to be a PRC “resident enterprise” and are liable to tax under the PRC Enterprise Income Tax Law, we should be eligible for the benefits of the United States-PRC income tax treaty, which the Secretary of Treasury of the United States has determined is satisfactory for purposes of clause (a) above and which includes an exchange of information provision. If we are eligible for such benefits, dividends we pay on our Class A ordinary shares, regardless of whether such shares are represented by our ADSs, would generally be eligible for the reduced rate of taxation applicable to qualified dividend income whether or not such shares are readily tradable on an established securities market in the United States. Dividends received on our ADSs or Class A ordinary shares will not be eligible for the dividends received deduction allowed to corporations. Each U.S. Holder is advised to consult its tax advisors regarding the availability of the lower capital gains rate applicable to qualified dividend income for any dividends we pay with respect to our ADSs or Class A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Dividends paid on our ADSs or Class A ordinary shares generally will be treated as income from foreign sources for United States foreign tax credit purposes and generally will constitute passive category income. In the event that we are deemed to be a PRC “resident enterprise” under the PRC Enterprise Income Tax Law, a U.S. Holder may be subject to PRC withholding taxes on dividends paid on our ADSs or Class A ordinary shares.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Each U.S. Holder is advised to consult its tax advisors regarding the availability of the foreign tax credit under its particular circumstances. </w:t>
      </w:r>
    </w:p>
    <w:p>
      <w:pPr>
        <w:pStyle w:val="TextBody"/>
        <w:bidi w:val="0"/>
        <w:spacing w:before="360" w:after="0"/>
        <w:jc w:val="left"/>
        <w:rPr>
          <w:rFonts w:ascii="Times New Roman" w:hAnsi="Times New Roman"/>
          <w:i/>
          <w:sz w:val="20"/>
        </w:rPr>
      </w:pPr>
      <w:r>
        <w:rPr>
          <w:rFonts w:ascii="Times New Roman" w:hAnsi="Times New Roman"/>
          <w:i/>
          <w:sz w:val="20"/>
        </w:rPr>
        <w:t xml:space="preserve">Sale or Other Disposition of ADSs or Class A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A U.S. Holder will generally recognize capital gain or loss upon the sale or other disposition of ADSs or Class A ordinary shares in an amount equal to the difference between the amount realized upon the disposition and the U.S. Holder’s adjusted tax basis in such ADSs or Class A ordinary shares. Any capital gain or loss will be long-term if our ADSs or Class A ordinary shares have been held for more than one year and will generally be United States source gain or loss for United States foreign tax credit purposes. Long-term capital gain of non-corporate U.S. Holders will generally be eligible for a reduced rate of taxation. In the event that gain from the disposition of our ADSs or Class A ordinary shares is subject to tax in China, a U.S. Holder may elect to treat such gain as PRC-source gain under the United States-PRC income tax treaty. Pursuant to the Treasury Regulations, however, if a U.S. Holder is not eligible for the benefits of the United States-PRC income tax treaty or does not elect to apply the United States-PRC income tax treaty, then such holder may not be able to claim a foreign tax credit arising from any PRC tax imposed on the disposition of our ADSs or Class A ordinary shares.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or deduction under their particular circumstances, their eligibility for benefits under the United States-PRC income tax treaty and the potential impact of the Treasury Regulations. </w:t>
      </w:r>
    </w:p>
    <w:p>
      <w:pPr>
        <w:pStyle w:val="TextBody"/>
        <w:bidi w:val="0"/>
        <w:spacing w:before="360" w:after="0"/>
        <w:jc w:val="left"/>
        <w:rPr>
          <w:rFonts w:ascii="Times New Roman" w:hAnsi="Times New Roman"/>
          <w:i/>
          <w:sz w:val="20"/>
        </w:rPr>
      </w:pPr>
      <w:r>
        <w:rPr>
          <w:rFonts w:ascii="Times New Roman" w:hAnsi="Times New Roman"/>
          <w:i/>
          <w:sz w:val="20"/>
        </w:rPr>
        <w:t xml:space="preserve">Passive Foreign Investment Company Rules </w:t>
      </w:r>
    </w:p>
    <w:p>
      <w:pPr>
        <w:pStyle w:val="TextBody"/>
        <w:bidi w:val="0"/>
        <w:spacing w:before="120" w:after="0"/>
        <w:jc w:val="left"/>
        <w:rPr>
          <w:rFonts w:ascii="Times New Roman" w:hAnsi="Times New Roman"/>
          <w:sz w:val="20"/>
        </w:rPr>
      </w:pPr>
      <w:r>
        <w:rPr>
          <w:rFonts w:ascii="Times New Roman" w:hAnsi="Times New Roman"/>
          <w:sz w:val="20"/>
        </w:rPr>
        <w:t xml:space="preserve">If we are a PFIC for any taxable year during which a U.S. Holder holds our ADSs or Class A ordinary shares, unless the U.S. Holder makes a mark-to-market election (as described below), the U.S. Holder will generally be subject to special tax rules that have a penalizing effect, regardless of whether we remain a PFIC, on (a)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our ADSs or Class A ordinary shares), and (b) any gain realized on the sale or other disposition, including, under certain circumstances, a pledge, of ADSs or Class A ordinary shares. Under the PFIC rules: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excess distribution and/or gain will be allocated ratably over the U.S. Holder’s holding period for the ADSs or Class A ordinary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amount allocated to the current taxable year and any taxable years in the U.S. Holder’s holding period prior to the first taxable year in which we are classified as a PFIC, or pre-PFIC year, will be taxable as ordinary income;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amount allocated to each prior taxable year, other than a pre-PFIC year, will be subject to tax at the highest tax rate in effect applicable to individuals or corporations as appropriate for that year; and an interest charge generally applicable to underpayments of tax will be imposed on the tax attributable to each prior taxable year, other than a pre-PFIC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taxable year during which a U.S. Holder holds our ADSs or Class A ordinary shares and any of our non-United States subsidiaries is also a PFIC (i.e., a lower-tier PFIC), such U.S. Holder would be treated as owning a proportionate amount (by value) of the shares of the lower-tier PFIC and would be subject to the rules described above on certain distributions by a lower-tier PFIC and a disposition of shares of a lower-tier PFIC even though such U.S. Holder would not receive the proceeds of those distributions or dispositions. Each U.S. Holder is advised to consult its tax advisors regarding the application of the PFIC rules to any of our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As an alternative to the foregoing rules, if we are a PFIC, a U.S. Holder of “marketable stock” may make a mark-to-market election with respect to our ADSs, provided that the ADSs are regularly traded on the NYSE. In addition, we do not expect that holders of Class A ordinary shares that are not represented by ADSs will be eligible to make a mark-to-market election. We anticipate that our ADSs should qualify as being regularly traded, but no assurances may be given in this regard. If a U.S. Holder makes this election, the U.S. Holder will generally (a) include as ordinary income for each taxable year that we are a PFIC the excess, if any, of the fair market value of ADSs held at the end of the taxable year over the adjusted tax basis of such ADSs and (b)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any gain recognized upon the sale or other disposition of ADSs will be treated as ordinary income and any loss will be treated as ordinary loss, but only to the extent of the net amount previously included in income as a result of the mark-to-market election.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makes a mark-to-market election and we cease to be a PFIC, the U.S. Holder will not be required to take into account the mark-to-market gain or loss described above during any period that we are not classified as a PFIC. Because a mark-to-market election technically cannot be made for any lower-tier PFICs that we may own, a U.S. Holder may continue to be subject to the PFIC rules with respect to such U.S. Holder’s indirect interest in any investments we hold that are treated as an equity interest in a PFIC for United States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provide the information necessary for U.S. Holders to make qualified electing fund elections, which, if available, would result in tax treatment different from the general tax treatment for PFICs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If a U.S. Holder owns our ADSs or Class A ordinary shares during any taxable year that we are a PFIC, the U.S. Holder must file an annual report containing such information as the United States Treasury Department may require and will generally be required to file an annual Internal Revenue Service Form 8621. Each U.S. Holder is advised to consult its tax advisors concerning the United States federal income tax consequences of purchasing, holding, and disposing of ADSs or Class A ordinary shares if we are or become a PFIC, including the possibility of making a mark-to-market election. </w:t>
      </w:r>
    </w:p>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245"/>
        <w:gridCol w:w="2540"/>
      </w:tblGrid>
      <w:tr>
        <w:trPr/>
        <w:tc>
          <w:tcPr>
            <w:tcW w:w="245" w:type="dxa"/>
            <w:tcBorders/>
            <w:vAlign w:val="center"/>
          </w:tcPr>
          <w:p>
            <w:pPr>
              <w:pStyle w:val="TableContents"/>
              <w:bidi w:val="0"/>
              <w:spacing w:before="0" w:after="283"/>
              <w:jc w:val="left"/>
              <w:rPr>
                <w:b/>
              </w:rPr>
            </w:pPr>
            <w:r>
              <w:rPr>
                <w:b/>
              </w:rPr>
              <w:t>F.</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Dividends and Paying Agents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275"/>
        <w:gridCol w:w="1880"/>
      </w:tblGrid>
      <w:tr>
        <w:trPr/>
        <w:tc>
          <w:tcPr>
            <w:tcW w:w="275" w:type="dxa"/>
            <w:tcBorders/>
            <w:vAlign w:val="center"/>
          </w:tcPr>
          <w:p>
            <w:pPr>
              <w:pStyle w:val="TableContents"/>
              <w:bidi w:val="0"/>
              <w:spacing w:before="0" w:after="283"/>
              <w:jc w:val="left"/>
              <w:rPr>
                <w:b/>
              </w:rPr>
            </w:pPr>
            <w:r>
              <w:rPr>
                <w:b/>
              </w:rPr>
              <w:t>G.</w:t>
            </w:r>
          </w:p>
        </w:tc>
        <w:tc>
          <w:tcPr>
            <w:tcW w:w="18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Statement by Experts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275"/>
        <w:gridCol w:w="1955"/>
      </w:tblGrid>
      <w:tr>
        <w:trPr/>
        <w:tc>
          <w:tcPr>
            <w:tcW w:w="275" w:type="dxa"/>
            <w:tcBorders/>
            <w:vAlign w:val="center"/>
          </w:tcPr>
          <w:p>
            <w:pPr>
              <w:pStyle w:val="TableContents"/>
              <w:bidi w:val="0"/>
              <w:spacing w:before="0" w:after="283"/>
              <w:jc w:val="left"/>
              <w:rPr>
                <w:b/>
              </w:rPr>
            </w:pPr>
            <w:r>
              <w:rPr>
                <w:b/>
              </w:rPr>
              <w:t>H.</w:t>
            </w:r>
          </w:p>
        </w:tc>
        <w:tc>
          <w:tcPr>
            <w:tcW w:w="19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Documents on Display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are subject to periodic reporting and other informational requirements of the Exchange Act as applicable to foreign private issuers. Accordingly, we are required to file reports, including annual reports on Form 20-F, and other information with the SEC. All information filed with the SEC can be obtained over the internet at SEC’s website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are exempt from the rules of the Exchange Act prescribing the furnishing and content of proxy statements to shareholders,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U.S. GAAP, and all notices of shareholders’ meeting and other reports and communications that are made generally available to our shareholders. The depositary will make such notices, reports, and communications available to holders of ADSs and, upon our written request, will mail to all record holders of ADSs the information contained in any notice of a shareholders’ meeting received by the depositary from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260" w:type="dxa"/>
        <w:jc w:val="left"/>
        <w:tblInd w:w="0" w:type="dxa"/>
        <w:tblLayout w:type="fixed"/>
        <w:tblCellMar>
          <w:top w:w="0" w:type="dxa"/>
          <w:left w:w="0" w:type="dxa"/>
          <w:bottom w:w="0" w:type="dxa"/>
          <w:right w:w="0" w:type="dxa"/>
        </w:tblCellMar>
      </w:tblPr>
      <w:tblGrid>
        <w:gridCol w:w="185"/>
        <w:gridCol w:w="2075"/>
      </w:tblGrid>
      <w:tr>
        <w:trPr/>
        <w:tc>
          <w:tcPr>
            <w:tcW w:w="185" w:type="dxa"/>
            <w:tcBorders/>
            <w:vAlign w:val="center"/>
          </w:tcPr>
          <w:p>
            <w:pPr>
              <w:pStyle w:val="TableContents"/>
              <w:bidi w:val="0"/>
              <w:spacing w:before="0" w:after="283"/>
              <w:jc w:val="left"/>
              <w:rPr>
                <w:b/>
              </w:rPr>
            </w:pPr>
            <w:r>
              <w:rPr>
                <w:b/>
              </w:rPr>
              <w:t>I.</w:t>
            </w:r>
          </w:p>
        </w:tc>
        <w:tc>
          <w:tcPr>
            <w:tcW w:w="20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Subsidiary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3220" w:type="dxa"/>
        <w:jc w:val="left"/>
        <w:tblInd w:w="0" w:type="dxa"/>
        <w:tblLayout w:type="fixed"/>
        <w:tblCellMar>
          <w:top w:w="0" w:type="dxa"/>
          <w:left w:w="0" w:type="dxa"/>
          <w:bottom w:w="0" w:type="dxa"/>
          <w:right w:w="0" w:type="dxa"/>
        </w:tblCellMar>
      </w:tblPr>
      <w:tblGrid>
        <w:gridCol w:w="215"/>
        <w:gridCol w:w="3005"/>
      </w:tblGrid>
      <w:tr>
        <w:trPr/>
        <w:tc>
          <w:tcPr>
            <w:tcW w:w="215" w:type="dxa"/>
            <w:tcBorders/>
            <w:vAlign w:val="center"/>
          </w:tcPr>
          <w:p>
            <w:pPr>
              <w:pStyle w:val="TableContents"/>
              <w:bidi w:val="0"/>
              <w:spacing w:before="0" w:after="283"/>
              <w:jc w:val="left"/>
              <w:rPr>
                <w:b/>
              </w:rPr>
            </w:pPr>
            <w:r>
              <w:rPr>
                <w:b/>
              </w:rPr>
              <w:t>J.</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Annual Report to Security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8050" w:type="dxa"/>
        <w:jc w:val="left"/>
        <w:tblInd w:w="0" w:type="dxa"/>
        <w:tblLayout w:type="fixed"/>
        <w:tblCellMar>
          <w:top w:w="0" w:type="dxa"/>
          <w:left w:w="0" w:type="dxa"/>
          <w:bottom w:w="0" w:type="dxa"/>
          <w:right w:w="0" w:type="dxa"/>
        </w:tblCellMar>
      </w:tblPr>
      <w:tblGrid>
        <w:gridCol w:w="1025"/>
        <w:gridCol w:w="7025"/>
      </w:tblGrid>
      <w:tr>
        <w:trPr/>
        <w:tc>
          <w:tcPr>
            <w:tcW w:w="1025" w:type="dxa"/>
            <w:tcBorders/>
            <w:vAlign w:val="center"/>
          </w:tcPr>
          <w:p>
            <w:pPr>
              <w:pStyle w:val="TableContents"/>
              <w:bidi w:val="0"/>
              <w:spacing w:before="0" w:after="283"/>
              <w:jc w:val="left"/>
              <w:rPr>
                <w:b/>
              </w:rPr>
            </w:pPr>
            <w:bookmarkStart w:id="17" w:name="toc907177_14"/>
            <w:bookmarkEnd w:id="17"/>
            <w:r>
              <w:rPr>
                <w:b/>
              </w:rPr>
              <w:t>ITEM 11.</w:t>
            </w:r>
          </w:p>
        </w:tc>
        <w:tc>
          <w:tcPr>
            <w:tcW w:w="7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QUANTITATIVE AND QUALITATIVE DISCLOSURES ABOUT MARKET RISK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Interest Rate Risk </w:t>
      </w:r>
    </w:p>
    <w:p>
      <w:pPr>
        <w:pStyle w:val="TextBody"/>
        <w:bidi w:val="0"/>
        <w:spacing w:before="120" w:after="0"/>
        <w:jc w:val="left"/>
        <w:rPr>
          <w:rFonts w:ascii="Times New Roman" w:hAnsi="Times New Roman"/>
          <w:sz w:val="20"/>
        </w:rPr>
      </w:pPr>
      <w:r>
        <w:rPr>
          <w:rFonts w:ascii="Times New Roman" w:hAnsi="Times New Roman"/>
          <w:sz w:val="20"/>
        </w:rPr>
        <w:t xml:space="preserve">Our exposure to interest rate risk primarily relates to the interest income generated by excess cash, which is mostly held in interest bearing deposits and short-term investments, and interest expenses incurred by short-term loan. Interest-earning instruments carry a degree of interest rate risk. We have not been exposed to material risks due to changes in interest rates. We have not used any forward contract, currency borrowings or derivative instruments to manage our interest risk exposure. Due to changes in market interest rates, our future interest expense may increase and our future interest income may fall short of expectations.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Exchange Risk </w:t>
      </w:r>
    </w:p>
    <w:p>
      <w:pPr>
        <w:pStyle w:val="TextBody"/>
        <w:bidi w:val="0"/>
        <w:spacing w:before="120" w:after="0"/>
        <w:jc w:val="left"/>
        <w:rPr>
          <w:rFonts w:ascii="Times New Roman" w:hAnsi="Times New Roman"/>
          <w:sz w:val="20"/>
        </w:rPr>
      </w:pPr>
      <w:r>
        <w:rPr>
          <w:rFonts w:ascii="Times New Roman" w:hAnsi="Times New Roman"/>
          <w:sz w:val="20"/>
        </w:rPr>
        <w:t xml:space="preserve">Most of our revenues and expenses are denominated in Renminbi. Our exposure to foreign exchange risk primarily relates to cash and cash equivalents, restricted cash, short-term investments, short-term loans, and other current assets and liabilities. The difference between the reporting currency and the denomination currency may expose us to additional uncertainties in connection with the foreign currency translation. In 2022, 2023 and 2024, we recorded exchange gain of RMB687.9 million, exchange gain of RMB162.7 million and exchange loss of RMB24.8 million (US$3.4 million), respectively. We used foreign exchange forward contracts to hedge our exposure to foreign currency exchange risk during 2022, 2023 and 2024, and may continue to use foreign currency swaps, forwards, or other derivative instruments to hedge our exposure to foreign currency risk.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global economic conditions and foreign exchange policies, among other things. It is difficult to predict how market forces or government policies may impact the exchange rate between Renminbi and other currencies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need to convert the U.S. dollars for our operations, acquisitions, or for other uses within China, appreciation of the Renminbi against the U.S. dollar would have an adverse effect on the Renminbi amount we receive from the conversion. On the other hand, a decline in the value of the Renminbi against the U.S. dollar could reduce the U.S. dollar equivalent of our financial results, the value of your investment in the company and the dividends that we may pay in the future, if any, all of which may materially and adversely affect the prices of our ADS.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we had RMB-denominated cash and cash equivalents, restricted cash, and short-term investments of RMB23.52 billion and U.S. dollar-denominated cash and cash equivalents, restricted cash, and short-term investments of US$720.6 million. Assuming we had converted RMB23.52 billion into U.S. dollars at the exchange rate of RMB7.2993 for US$1.00 as of December 31, 2024, our U.S. dollar cash balance would have been US$3.94 billion. If the Renminbi had depreciated by 10% against the U.S. dollar, our U.S. dollar-denominated cash balance would have been US$3.65 billion instead. Assuming we had converted US$720.6 million into Renminbi at the exchange rate of RMB7.2993 for US$1.00 as of December 31, 2024, our RMB-denominated cash balance would have been RMB28.77 billion. If the Renminbi had depreciated by 10% against the U.S. dollar, our RMB-denominated cash balance would have been RMB29.30 billion instead.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345" w:type="dxa"/>
        <w:jc w:val="left"/>
        <w:tblInd w:w="0" w:type="dxa"/>
        <w:tblLayout w:type="fixed"/>
        <w:tblCellMar>
          <w:top w:w="0" w:type="dxa"/>
          <w:left w:w="0" w:type="dxa"/>
          <w:bottom w:w="0" w:type="dxa"/>
          <w:right w:w="0" w:type="dxa"/>
        </w:tblCellMar>
      </w:tblPr>
      <w:tblGrid>
        <w:gridCol w:w="1025"/>
        <w:gridCol w:w="6320"/>
      </w:tblGrid>
      <w:tr>
        <w:trPr/>
        <w:tc>
          <w:tcPr>
            <w:tcW w:w="1025" w:type="dxa"/>
            <w:tcBorders/>
            <w:vAlign w:val="center"/>
          </w:tcPr>
          <w:p>
            <w:pPr>
              <w:pStyle w:val="TableContents"/>
              <w:bidi w:val="0"/>
              <w:spacing w:before="0" w:after="283"/>
              <w:jc w:val="left"/>
              <w:rPr>
                <w:b/>
              </w:rPr>
            </w:pPr>
            <w:bookmarkStart w:id="18" w:name="toc907177_15"/>
            <w:bookmarkEnd w:id="18"/>
            <w:r>
              <w:rPr>
                <w:b/>
              </w:rPr>
              <w:t>ITEM 12.</w:t>
            </w:r>
          </w:p>
        </w:tc>
        <w:tc>
          <w:tcPr>
            <w:tcW w:w="63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DESCRIPTION OF SECURITIES OTHER THAN EQUITY SECURITIES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75"/>
        <w:gridCol w:w="1340"/>
      </w:tblGrid>
      <w:tr>
        <w:trPr/>
        <w:tc>
          <w:tcPr>
            <w:tcW w:w="275" w:type="dxa"/>
            <w:tcBorders/>
            <w:vAlign w:val="center"/>
          </w:tcPr>
          <w:p>
            <w:pPr>
              <w:pStyle w:val="TableContents"/>
              <w:bidi w:val="0"/>
              <w:spacing w:before="0" w:after="283"/>
              <w:jc w:val="left"/>
              <w:rPr>
                <w:b/>
              </w:rPr>
            </w:pPr>
            <w:r>
              <w:rPr>
                <w:b/>
              </w:rPr>
              <w:t>A.</w:t>
            </w:r>
          </w:p>
        </w:tc>
        <w:tc>
          <w:tcPr>
            <w:tcW w:w="13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Debt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110" w:type="dxa"/>
        <w:jc w:val="left"/>
        <w:tblInd w:w="0" w:type="dxa"/>
        <w:tblLayout w:type="fixed"/>
        <w:tblCellMar>
          <w:top w:w="0" w:type="dxa"/>
          <w:left w:w="0" w:type="dxa"/>
          <w:bottom w:w="0" w:type="dxa"/>
          <w:right w:w="0" w:type="dxa"/>
        </w:tblCellMar>
      </w:tblPr>
      <w:tblGrid>
        <w:gridCol w:w="260"/>
        <w:gridCol w:w="1850"/>
      </w:tblGrid>
      <w:tr>
        <w:trPr/>
        <w:tc>
          <w:tcPr>
            <w:tcW w:w="260" w:type="dxa"/>
            <w:tcBorders/>
            <w:vAlign w:val="center"/>
          </w:tcPr>
          <w:p>
            <w:pPr>
              <w:pStyle w:val="TableContents"/>
              <w:bidi w:val="0"/>
              <w:spacing w:before="0" w:after="283"/>
              <w:jc w:val="left"/>
              <w:rPr>
                <w:b/>
              </w:rPr>
            </w:pPr>
            <w:r>
              <w:rPr>
                <w:b/>
              </w:rPr>
              <w:t>B.</w:t>
            </w:r>
          </w:p>
        </w:tc>
        <w:tc>
          <w:tcPr>
            <w:tcW w:w="18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Warrants and Rights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275"/>
        <w:gridCol w:w="1445"/>
      </w:tblGrid>
      <w:tr>
        <w:trPr/>
        <w:tc>
          <w:tcPr>
            <w:tcW w:w="275" w:type="dxa"/>
            <w:tcBorders/>
            <w:vAlign w:val="center"/>
          </w:tcPr>
          <w:p>
            <w:pPr>
              <w:pStyle w:val="TableContents"/>
              <w:bidi w:val="0"/>
              <w:spacing w:before="0" w:after="283"/>
              <w:jc w:val="left"/>
              <w:rPr>
                <w:b/>
              </w:rPr>
            </w:pPr>
            <w:r>
              <w:rPr>
                <w:b/>
              </w:rPr>
              <w:t>C.</w:t>
            </w:r>
          </w:p>
        </w:tc>
        <w:tc>
          <w:tcPr>
            <w:tcW w:w="1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2785" w:type="dxa"/>
        <w:jc w:val="left"/>
        <w:tblInd w:w="0" w:type="dxa"/>
        <w:tblLayout w:type="fixed"/>
        <w:tblCellMar>
          <w:top w:w="0" w:type="dxa"/>
          <w:left w:w="0" w:type="dxa"/>
          <w:bottom w:w="0" w:type="dxa"/>
          <w:right w:w="0" w:type="dxa"/>
        </w:tblCellMar>
      </w:tblPr>
      <w:tblGrid>
        <w:gridCol w:w="275"/>
        <w:gridCol w:w="2510"/>
      </w:tblGrid>
      <w:tr>
        <w:trPr/>
        <w:tc>
          <w:tcPr>
            <w:tcW w:w="275" w:type="dxa"/>
            <w:tcBorders/>
            <w:vAlign w:val="center"/>
          </w:tcPr>
          <w:p>
            <w:pPr>
              <w:pStyle w:val="TableContents"/>
              <w:bidi w:val="0"/>
              <w:spacing w:before="0" w:after="283"/>
              <w:jc w:val="left"/>
              <w:rPr>
                <w:b/>
              </w:rPr>
            </w:pPr>
            <w:r>
              <w:rPr>
                <w:b/>
              </w:rPr>
              <w:t>D.</w:t>
            </w:r>
          </w:p>
        </w:tc>
        <w:tc>
          <w:tcPr>
            <w:tcW w:w="25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American Depositary Shares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Fees and Charges Our ADS Holders May Have to Pay </w:t>
      </w:r>
    </w:p>
    <w:p>
      <w:pPr>
        <w:pStyle w:val="TextBody"/>
        <w:bidi w:val="0"/>
        <w:spacing w:before="120" w:after="0"/>
        <w:jc w:val="left"/>
        <w:rPr>
          <w:rFonts w:ascii="Times New Roman" w:hAnsi="Times New Roman"/>
          <w:sz w:val="20"/>
        </w:rPr>
      </w:pPr>
      <w:r>
        <w:rPr>
          <w:rFonts w:ascii="Times New Roman" w:hAnsi="Times New Roman"/>
          <w:sz w:val="20"/>
        </w:rPr>
        <w:t xml:space="preserve">Deutsche Bank Trust Company Americas, the depositary of our ADS program,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deducting from cash distributions or by directly billing investors or by charging the book-entry system accounts of participants acting for them. The depositary may generally refuse to provide fee-attracting services until its fees for those services are paid. Set forth below is a summary of fees holders of our ADSs may be required to pay for various services the depositary may provide: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037"/>
        <w:gridCol w:w="120"/>
        <w:gridCol w:w="6048"/>
      </w:tblGrid>
      <w:tr>
        <w:trPr/>
        <w:tc>
          <w:tcPr>
            <w:tcW w:w="40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48" w:type="dxa"/>
            <w:tcBorders/>
            <w:vAlign w:val="center"/>
          </w:tcPr>
          <w:p>
            <w:pPr>
              <w:pStyle w:val="TableContents"/>
              <w:bidi w:val="0"/>
              <w:spacing w:before="0" w:after="283"/>
              <w:jc w:val="left"/>
              <w:rPr>
                <w:sz w:val="4"/>
                <w:szCs w:val="4"/>
              </w:rPr>
            </w:pPr>
            <w:r>
              <w:rPr>
                <w:sz w:val="4"/>
                <w:szCs w:val="4"/>
              </w:rPr>
            </w:r>
          </w:p>
        </w:tc>
      </w:tr>
      <w:tr>
        <w:trPr/>
        <w:tc>
          <w:tcPr>
            <w:tcW w:w="403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Service</w:t>
            </w:r>
          </w:p>
        </w:tc>
        <w:tc>
          <w:tcPr>
            <w:tcW w:w="120" w:type="dxa"/>
            <w:tcBorders/>
            <w:vAlign w:val="center"/>
          </w:tcPr>
          <w:p>
            <w:pPr>
              <w:pStyle w:val="TableContents"/>
              <w:bidi w:val="0"/>
              <w:spacing w:before="0" w:after="283"/>
              <w:jc w:val="left"/>
              <w:rPr/>
            </w:pPr>
            <w:r>
              <w:rPr/>
              <w:t>  </w:t>
            </w:r>
          </w:p>
        </w:tc>
        <w:tc>
          <w:tcPr>
            <w:tcW w:w="6048"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Fees</w:t>
            </w:r>
          </w:p>
        </w:tc>
      </w:tr>
      <w:tr>
        <w:trPr/>
        <w:tc>
          <w:tcPr>
            <w:tcW w:w="4037" w:type="dxa"/>
            <w:tcBorders/>
            <w:vAlign w:val="center"/>
          </w:tcPr>
          <w:p>
            <w:pPr>
              <w:pStyle w:val="TableContents"/>
              <w:bidi w:val="0"/>
              <w:spacing w:before="0" w:after="283"/>
              <w:jc w:val="left"/>
              <w:rPr>
                <w:sz w:val="4"/>
                <w:szCs w:val="4"/>
              </w:rPr>
            </w:pPr>
            <w:r>
              <w:rPr>
                <w:sz w:val="4"/>
                <w:szCs w:val="4"/>
              </w:rPr>
            </w:r>
          </w:p>
        </w:tc>
        <w:tc>
          <w:tcPr>
            <w:tcW w:w="6168" w:type="dxa"/>
            <w:gridSpan w:val="2"/>
            <w:tcBorders/>
            <w:vAlign w:val="center"/>
          </w:tcPr>
          <w:p>
            <w:pPr>
              <w:pStyle w:val="TableContents"/>
              <w:bidi w:val="0"/>
              <w:spacing w:before="0" w:after="283"/>
              <w:jc w:val="left"/>
              <w:rPr>
                <w:sz w:val="4"/>
                <w:szCs w:val="4"/>
              </w:rPr>
            </w:pPr>
            <w:r>
              <w:rPr>
                <w:sz w:val="4"/>
                <w:szCs w:val="4"/>
              </w:rPr>
            </w:r>
          </w:p>
        </w:tc>
      </w:tr>
      <w:tr>
        <w:trPr/>
        <w:tc>
          <w:tcPr>
            <w:tcW w:w="4037" w:type="dxa"/>
            <w:tcBorders/>
            <w:vAlign w:val="center"/>
          </w:tcPr>
          <w:p>
            <w:pPr>
              <w:pStyle w:val="TableContents"/>
              <w:bidi w:val="0"/>
              <w:spacing w:before="0" w:after="283"/>
              <w:jc w:val="left"/>
              <w:rPr/>
            </w:pPr>
            <w:r>
              <w:rPr/>
              <w:t>Issuance of ADSs, including issuances resulting from a distribution of shares or rights or other property</w:t>
            </w:r>
          </w:p>
        </w:tc>
        <w:tc>
          <w:tcPr>
            <w:tcW w:w="120" w:type="dxa"/>
            <w:tcBorders/>
            <w:vAlign w:val="center"/>
          </w:tcPr>
          <w:p>
            <w:pPr>
              <w:pStyle w:val="TableContents"/>
              <w:bidi w:val="0"/>
              <w:spacing w:before="0" w:after="283"/>
              <w:jc w:val="left"/>
              <w:rPr/>
            </w:pPr>
            <w:r>
              <w:rPr/>
              <w:t>  </w:t>
            </w:r>
          </w:p>
        </w:tc>
        <w:tc>
          <w:tcPr>
            <w:tcW w:w="6048" w:type="dxa"/>
            <w:tcBorders/>
            <w:vAlign w:val="center"/>
          </w:tcPr>
          <w:p>
            <w:pPr>
              <w:pStyle w:val="TableContents"/>
              <w:bidi w:val="0"/>
              <w:spacing w:before="0" w:after="283"/>
              <w:jc w:val="left"/>
              <w:rPr/>
            </w:pPr>
            <w:r>
              <w:rPr/>
              <w:t>Up to US$0.05 per ADS issued</w:t>
            </w:r>
          </w:p>
        </w:tc>
      </w:tr>
      <w:tr>
        <w:trPr/>
        <w:tc>
          <w:tcPr>
            <w:tcW w:w="4037" w:type="dxa"/>
            <w:tcBorders/>
            <w:vAlign w:val="center"/>
          </w:tcPr>
          <w:p>
            <w:pPr>
              <w:pStyle w:val="TableContents"/>
              <w:bidi w:val="0"/>
              <w:spacing w:before="0" w:after="283"/>
              <w:jc w:val="left"/>
              <w:rPr>
                <w:sz w:val="4"/>
                <w:szCs w:val="4"/>
              </w:rPr>
            </w:pPr>
            <w:r>
              <w:rPr>
                <w:sz w:val="4"/>
                <w:szCs w:val="4"/>
              </w:rPr>
            </w:r>
          </w:p>
        </w:tc>
        <w:tc>
          <w:tcPr>
            <w:tcW w:w="6168" w:type="dxa"/>
            <w:gridSpan w:val="2"/>
            <w:tcBorders/>
            <w:vAlign w:val="center"/>
          </w:tcPr>
          <w:p>
            <w:pPr>
              <w:pStyle w:val="TableContents"/>
              <w:bidi w:val="0"/>
              <w:spacing w:before="0" w:after="283"/>
              <w:jc w:val="left"/>
              <w:rPr>
                <w:sz w:val="4"/>
                <w:szCs w:val="4"/>
              </w:rPr>
            </w:pPr>
            <w:r>
              <w:rPr>
                <w:sz w:val="4"/>
                <w:szCs w:val="4"/>
              </w:rPr>
            </w:r>
          </w:p>
        </w:tc>
      </w:tr>
      <w:tr>
        <w:trPr/>
        <w:tc>
          <w:tcPr>
            <w:tcW w:w="4037" w:type="dxa"/>
            <w:tcBorders/>
            <w:vAlign w:val="center"/>
          </w:tcPr>
          <w:p>
            <w:pPr>
              <w:pStyle w:val="TableContents"/>
              <w:bidi w:val="0"/>
              <w:spacing w:before="0" w:after="283"/>
              <w:jc w:val="left"/>
              <w:rPr/>
            </w:pPr>
            <w:r>
              <w:rPr/>
              <w:t>Cancelation of ADSs, including the case of termination of the deposit agreement</w:t>
            </w:r>
          </w:p>
        </w:tc>
        <w:tc>
          <w:tcPr>
            <w:tcW w:w="120" w:type="dxa"/>
            <w:tcBorders/>
            <w:vAlign w:val="center"/>
          </w:tcPr>
          <w:p>
            <w:pPr>
              <w:pStyle w:val="TableContents"/>
              <w:bidi w:val="0"/>
              <w:spacing w:before="0" w:after="283"/>
              <w:jc w:val="left"/>
              <w:rPr/>
            </w:pPr>
            <w:r>
              <w:rPr/>
              <w:t>  </w:t>
            </w:r>
          </w:p>
        </w:tc>
        <w:tc>
          <w:tcPr>
            <w:tcW w:w="6048" w:type="dxa"/>
            <w:tcBorders/>
            <w:vAlign w:val="center"/>
          </w:tcPr>
          <w:p>
            <w:pPr>
              <w:pStyle w:val="TableContents"/>
              <w:bidi w:val="0"/>
              <w:spacing w:before="0" w:after="283"/>
              <w:jc w:val="left"/>
              <w:rPr/>
            </w:pPr>
            <w:r>
              <w:rPr/>
              <w:t>Up to US$0.05 per ADS canceled</w:t>
            </w:r>
          </w:p>
        </w:tc>
      </w:tr>
      <w:tr>
        <w:trPr/>
        <w:tc>
          <w:tcPr>
            <w:tcW w:w="4037" w:type="dxa"/>
            <w:tcBorders/>
            <w:vAlign w:val="center"/>
          </w:tcPr>
          <w:p>
            <w:pPr>
              <w:pStyle w:val="TableContents"/>
              <w:bidi w:val="0"/>
              <w:spacing w:before="0" w:after="283"/>
              <w:jc w:val="left"/>
              <w:rPr>
                <w:sz w:val="4"/>
                <w:szCs w:val="4"/>
              </w:rPr>
            </w:pPr>
            <w:r>
              <w:rPr>
                <w:sz w:val="4"/>
                <w:szCs w:val="4"/>
              </w:rPr>
            </w:r>
          </w:p>
        </w:tc>
        <w:tc>
          <w:tcPr>
            <w:tcW w:w="6168" w:type="dxa"/>
            <w:gridSpan w:val="2"/>
            <w:tcBorders/>
            <w:vAlign w:val="center"/>
          </w:tcPr>
          <w:p>
            <w:pPr>
              <w:pStyle w:val="TableContents"/>
              <w:bidi w:val="0"/>
              <w:spacing w:before="0" w:after="283"/>
              <w:jc w:val="left"/>
              <w:rPr>
                <w:sz w:val="4"/>
                <w:szCs w:val="4"/>
              </w:rPr>
            </w:pPr>
            <w:r>
              <w:rPr>
                <w:sz w:val="4"/>
                <w:szCs w:val="4"/>
              </w:rPr>
            </w:r>
          </w:p>
        </w:tc>
      </w:tr>
      <w:tr>
        <w:trPr/>
        <w:tc>
          <w:tcPr>
            <w:tcW w:w="4037" w:type="dxa"/>
            <w:tcBorders/>
            <w:vAlign w:val="center"/>
          </w:tcPr>
          <w:p>
            <w:pPr>
              <w:pStyle w:val="TableContents"/>
              <w:bidi w:val="0"/>
              <w:spacing w:before="0" w:after="283"/>
              <w:jc w:val="left"/>
              <w:rPr/>
            </w:pPr>
            <w:r>
              <w:rPr/>
              <w:t>Distribution of cash dividends or other cash distributions</w:t>
            </w:r>
          </w:p>
        </w:tc>
        <w:tc>
          <w:tcPr>
            <w:tcW w:w="120" w:type="dxa"/>
            <w:tcBorders/>
            <w:vAlign w:val="center"/>
          </w:tcPr>
          <w:p>
            <w:pPr>
              <w:pStyle w:val="TableContents"/>
              <w:bidi w:val="0"/>
              <w:spacing w:before="0" w:after="283"/>
              <w:jc w:val="left"/>
              <w:rPr/>
            </w:pPr>
            <w:r>
              <w:rPr/>
              <w:t>  </w:t>
            </w:r>
          </w:p>
        </w:tc>
        <w:tc>
          <w:tcPr>
            <w:tcW w:w="6048" w:type="dxa"/>
            <w:tcBorders/>
            <w:vAlign w:val="center"/>
          </w:tcPr>
          <w:p>
            <w:pPr>
              <w:pStyle w:val="TableContents"/>
              <w:bidi w:val="0"/>
              <w:spacing w:before="0" w:after="283"/>
              <w:jc w:val="left"/>
              <w:rPr/>
            </w:pPr>
            <w:r>
              <w:rPr/>
              <w:t>Up to US$0.05 per ADS held</w:t>
            </w:r>
          </w:p>
        </w:tc>
      </w:tr>
      <w:tr>
        <w:trPr/>
        <w:tc>
          <w:tcPr>
            <w:tcW w:w="4037" w:type="dxa"/>
            <w:tcBorders/>
            <w:vAlign w:val="center"/>
          </w:tcPr>
          <w:p>
            <w:pPr>
              <w:pStyle w:val="TableContents"/>
              <w:bidi w:val="0"/>
              <w:spacing w:before="0" w:after="283"/>
              <w:jc w:val="left"/>
              <w:rPr>
                <w:sz w:val="4"/>
                <w:szCs w:val="4"/>
              </w:rPr>
            </w:pPr>
            <w:r>
              <w:rPr>
                <w:sz w:val="4"/>
                <w:szCs w:val="4"/>
              </w:rPr>
            </w:r>
          </w:p>
        </w:tc>
        <w:tc>
          <w:tcPr>
            <w:tcW w:w="6168" w:type="dxa"/>
            <w:gridSpan w:val="2"/>
            <w:tcBorders/>
            <w:vAlign w:val="center"/>
          </w:tcPr>
          <w:p>
            <w:pPr>
              <w:pStyle w:val="TableContents"/>
              <w:bidi w:val="0"/>
              <w:spacing w:before="0" w:after="283"/>
              <w:jc w:val="left"/>
              <w:rPr>
                <w:sz w:val="4"/>
                <w:szCs w:val="4"/>
              </w:rPr>
            </w:pPr>
            <w:r>
              <w:rPr>
                <w:sz w:val="4"/>
                <w:szCs w:val="4"/>
              </w:rPr>
            </w:r>
          </w:p>
        </w:tc>
      </w:tr>
      <w:tr>
        <w:trPr/>
        <w:tc>
          <w:tcPr>
            <w:tcW w:w="4037" w:type="dxa"/>
            <w:tcBorders/>
            <w:vAlign w:val="center"/>
          </w:tcPr>
          <w:p>
            <w:pPr>
              <w:pStyle w:val="TableContents"/>
              <w:bidi w:val="0"/>
              <w:spacing w:before="0" w:after="283"/>
              <w:jc w:val="left"/>
              <w:rPr/>
            </w:pPr>
            <w:r>
              <w:rPr/>
              <w:t>Distribution of ADSs pursuant to share dividends, free share distributions or exercise of rights.</w:t>
            </w:r>
          </w:p>
        </w:tc>
        <w:tc>
          <w:tcPr>
            <w:tcW w:w="120" w:type="dxa"/>
            <w:tcBorders/>
            <w:vAlign w:val="center"/>
          </w:tcPr>
          <w:p>
            <w:pPr>
              <w:pStyle w:val="TableContents"/>
              <w:bidi w:val="0"/>
              <w:spacing w:before="0" w:after="283"/>
              <w:jc w:val="left"/>
              <w:rPr/>
            </w:pPr>
            <w:r>
              <w:rPr/>
              <w:t>  </w:t>
            </w:r>
          </w:p>
        </w:tc>
        <w:tc>
          <w:tcPr>
            <w:tcW w:w="6048" w:type="dxa"/>
            <w:tcBorders/>
            <w:vAlign w:val="center"/>
          </w:tcPr>
          <w:p>
            <w:pPr>
              <w:pStyle w:val="TableContents"/>
              <w:bidi w:val="0"/>
              <w:spacing w:before="0" w:after="283"/>
              <w:jc w:val="left"/>
              <w:rPr/>
            </w:pPr>
            <w:r>
              <w:rPr/>
              <w:t>Up to US$0.05 per ADS held</w:t>
            </w:r>
          </w:p>
        </w:tc>
      </w:tr>
      <w:tr>
        <w:trPr/>
        <w:tc>
          <w:tcPr>
            <w:tcW w:w="4037" w:type="dxa"/>
            <w:tcBorders/>
            <w:vAlign w:val="center"/>
          </w:tcPr>
          <w:p>
            <w:pPr>
              <w:pStyle w:val="TableContents"/>
              <w:bidi w:val="0"/>
              <w:spacing w:before="0" w:after="283"/>
              <w:jc w:val="left"/>
              <w:rPr>
                <w:sz w:val="4"/>
                <w:szCs w:val="4"/>
              </w:rPr>
            </w:pPr>
            <w:r>
              <w:rPr>
                <w:sz w:val="4"/>
                <w:szCs w:val="4"/>
              </w:rPr>
            </w:r>
          </w:p>
        </w:tc>
        <w:tc>
          <w:tcPr>
            <w:tcW w:w="6168" w:type="dxa"/>
            <w:gridSpan w:val="2"/>
            <w:tcBorders/>
            <w:vAlign w:val="center"/>
          </w:tcPr>
          <w:p>
            <w:pPr>
              <w:pStyle w:val="TableContents"/>
              <w:bidi w:val="0"/>
              <w:spacing w:before="0" w:after="283"/>
              <w:jc w:val="left"/>
              <w:rPr>
                <w:sz w:val="4"/>
                <w:szCs w:val="4"/>
              </w:rPr>
            </w:pPr>
            <w:r>
              <w:rPr>
                <w:sz w:val="4"/>
                <w:szCs w:val="4"/>
              </w:rPr>
            </w:r>
          </w:p>
        </w:tc>
      </w:tr>
      <w:tr>
        <w:trPr/>
        <w:tc>
          <w:tcPr>
            <w:tcW w:w="4037" w:type="dxa"/>
            <w:tcBorders/>
            <w:vAlign w:val="center"/>
          </w:tcPr>
          <w:p>
            <w:pPr>
              <w:pStyle w:val="TableContents"/>
              <w:bidi w:val="0"/>
              <w:spacing w:before="0" w:after="283"/>
              <w:jc w:val="left"/>
              <w:rPr/>
            </w:pPr>
            <w:r>
              <w:rPr/>
              <w:t>Distribution of securities other than ADSs or rights to purchase additional ADSs</w:t>
            </w:r>
          </w:p>
        </w:tc>
        <w:tc>
          <w:tcPr>
            <w:tcW w:w="120" w:type="dxa"/>
            <w:tcBorders/>
            <w:vAlign w:val="center"/>
          </w:tcPr>
          <w:p>
            <w:pPr>
              <w:pStyle w:val="TableContents"/>
              <w:bidi w:val="0"/>
              <w:spacing w:before="0" w:after="283"/>
              <w:jc w:val="left"/>
              <w:rPr/>
            </w:pPr>
            <w:r>
              <w:rPr/>
              <w:t>  </w:t>
            </w:r>
          </w:p>
        </w:tc>
        <w:tc>
          <w:tcPr>
            <w:tcW w:w="6048" w:type="dxa"/>
            <w:tcBorders/>
            <w:vAlign w:val="center"/>
          </w:tcPr>
          <w:p>
            <w:pPr>
              <w:pStyle w:val="TableContents"/>
              <w:bidi w:val="0"/>
              <w:spacing w:before="0" w:after="283"/>
              <w:jc w:val="left"/>
              <w:rPr/>
            </w:pPr>
            <w:r>
              <w:rPr/>
              <w:t>A fee equivalent to the fee that would be payable if securities distributed to you had been ordinary shares and the ordinary shares had been deposited for issuance of ADSs</w:t>
            </w:r>
          </w:p>
        </w:tc>
      </w:tr>
      <w:tr>
        <w:trPr/>
        <w:tc>
          <w:tcPr>
            <w:tcW w:w="4037" w:type="dxa"/>
            <w:tcBorders/>
            <w:vAlign w:val="center"/>
          </w:tcPr>
          <w:p>
            <w:pPr>
              <w:pStyle w:val="TableContents"/>
              <w:bidi w:val="0"/>
              <w:spacing w:before="0" w:after="283"/>
              <w:jc w:val="left"/>
              <w:rPr>
                <w:sz w:val="4"/>
                <w:szCs w:val="4"/>
              </w:rPr>
            </w:pPr>
            <w:r>
              <w:rPr>
                <w:sz w:val="4"/>
                <w:szCs w:val="4"/>
              </w:rPr>
            </w:r>
          </w:p>
        </w:tc>
        <w:tc>
          <w:tcPr>
            <w:tcW w:w="6168" w:type="dxa"/>
            <w:gridSpan w:val="2"/>
            <w:tcBorders/>
            <w:vAlign w:val="center"/>
          </w:tcPr>
          <w:p>
            <w:pPr>
              <w:pStyle w:val="TableContents"/>
              <w:bidi w:val="0"/>
              <w:spacing w:before="0" w:after="283"/>
              <w:jc w:val="left"/>
              <w:rPr>
                <w:sz w:val="4"/>
                <w:szCs w:val="4"/>
              </w:rPr>
            </w:pPr>
            <w:r>
              <w:rPr>
                <w:sz w:val="4"/>
                <w:szCs w:val="4"/>
              </w:rPr>
            </w:r>
          </w:p>
        </w:tc>
      </w:tr>
      <w:tr>
        <w:trPr/>
        <w:tc>
          <w:tcPr>
            <w:tcW w:w="4037" w:type="dxa"/>
            <w:tcBorders/>
            <w:vAlign w:val="center"/>
          </w:tcPr>
          <w:p>
            <w:pPr>
              <w:pStyle w:val="TableContents"/>
              <w:bidi w:val="0"/>
              <w:spacing w:before="0" w:after="283"/>
              <w:jc w:val="left"/>
              <w:rPr/>
            </w:pPr>
            <w:r>
              <w:rPr/>
              <w:t>Depositary services</w:t>
            </w:r>
          </w:p>
        </w:tc>
        <w:tc>
          <w:tcPr>
            <w:tcW w:w="120" w:type="dxa"/>
            <w:tcBorders/>
            <w:vAlign w:val="center"/>
          </w:tcPr>
          <w:p>
            <w:pPr>
              <w:pStyle w:val="TableContents"/>
              <w:bidi w:val="0"/>
              <w:spacing w:before="0" w:after="283"/>
              <w:jc w:val="left"/>
              <w:rPr/>
            </w:pPr>
            <w:r>
              <w:rPr/>
              <w:t>  </w:t>
            </w:r>
          </w:p>
        </w:tc>
        <w:tc>
          <w:tcPr>
            <w:tcW w:w="6048" w:type="dxa"/>
            <w:tcBorders/>
            <w:vAlign w:val="center"/>
          </w:tcPr>
          <w:p>
            <w:pPr>
              <w:pStyle w:val="TableContents"/>
              <w:bidi w:val="0"/>
              <w:spacing w:before="0" w:after="283"/>
              <w:jc w:val="left"/>
              <w:rPr/>
            </w:pPr>
            <w:r>
              <w:rPr/>
              <w:t>Up to US$0.05 per ADS held on the applicable record date(s) established by the depositary bank</w:t>
            </w:r>
          </w:p>
        </w:tc>
      </w:tr>
      <w:tr>
        <w:trPr/>
        <w:tc>
          <w:tcPr>
            <w:tcW w:w="4037" w:type="dxa"/>
            <w:tcBorders/>
            <w:vAlign w:val="center"/>
          </w:tcPr>
          <w:p>
            <w:pPr>
              <w:pStyle w:val="TableContents"/>
              <w:bidi w:val="0"/>
              <w:spacing w:before="0" w:after="283"/>
              <w:jc w:val="left"/>
              <w:rPr>
                <w:sz w:val="4"/>
                <w:szCs w:val="4"/>
              </w:rPr>
            </w:pPr>
            <w:r>
              <w:rPr>
                <w:sz w:val="4"/>
                <w:szCs w:val="4"/>
              </w:rPr>
            </w:r>
          </w:p>
        </w:tc>
        <w:tc>
          <w:tcPr>
            <w:tcW w:w="6168" w:type="dxa"/>
            <w:gridSpan w:val="2"/>
            <w:tcBorders/>
            <w:vAlign w:val="center"/>
          </w:tcPr>
          <w:p>
            <w:pPr>
              <w:pStyle w:val="TableContents"/>
              <w:bidi w:val="0"/>
              <w:spacing w:before="0" w:after="283"/>
              <w:jc w:val="left"/>
              <w:rPr>
                <w:sz w:val="4"/>
                <w:szCs w:val="4"/>
              </w:rPr>
            </w:pPr>
            <w:r>
              <w:rPr>
                <w:sz w:val="4"/>
                <w:szCs w:val="4"/>
              </w:rPr>
            </w:r>
          </w:p>
        </w:tc>
      </w:tr>
      <w:tr>
        <w:trPr/>
        <w:tc>
          <w:tcPr>
            <w:tcW w:w="4037" w:type="dxa"/>
            <w:tcBorders/>
            <w:vAlign w:val="center"/>
          </w:tcPr>
          <w:p>
            <w:pPr>
              <w:pStyle w:val="TableContents"/>
              <w:bidi w:val="0"/>
              <w:spacing w:before="0" w:after="283"/>
              <w:jc w:val="left"/>
              <w:rPr/>
            </w:pPr>
            <w:r>
              <w:rPr/>
              <w:t>Transfer of ADRs</w:t>
            </w:r>
          </w:p>
        </w:tc>
        <w:tc>
          <w:tcPr>
            <w:tcW w:w="120" w:type="dxa"/>
            <w:tcBorders/>
            <w:vAlign w:val="center"/>
          </w:tcPr>
          <w:p>
            <w:pPr>
              <w:pStyle w:val="TableContents"/>
              <w:bidi w:val="0"/>
              <w:spacing w:before="0" w:after="283"/>
              <w:jc w:val="left"/>
              <w:rPr/>
            </w:pPr>
            <w:r>
              <w:rPr/>
              <w:t>  </w:t>
            </w:r>
          </w:p>
        </w:tc>
        <w:tc>
          <w:tcPr>
            <w:tcW w:w="6048" w:type="dxa"/>
            <w:tcBorders/>
            <w:vAlign w:val="center"/>
          </w:tcPr>
          <w:p>
            <w:pPr>
              <w:pStyle w:val="TableContents"/>
              <w:bidi w:val="0"/>
              <w:spacing w:before="0" w:after="283"/>
              <w:jc w:val="left"/>
              <w:rPr/>
            </w:pPr>
            <w:r>
              <w:rPr/>
              <w:t>US$1.50 per certificate presented for transfer</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an ADS holder, you will also be responsible to pay certain fees and expenses incurred by the depositary bank and certain taxes and governmental charges such as: </w:t>
      </w:r>
    </w:p>
    <w:p>
      <w:pPr>
        <w:pStyle w:val="TextBody"/>
        <w:bidi w:val="0"/>
        <w:spacing w:before="240" w:after="0"/>
        <w:jc w:val="left"/>
        <w:rPr>
          <w:rFonts w:ascii="Times New Roman" w:hAnsi="Times New Roman"/>
          <w:sz w:val="20"/>
        </w:rPr>
      </w:pPr>
      <w:r>
        <w:rPr>
          <w:rFonts w:ascii="Times New Roman" w:hAnsi="Times New Roman"/>
          <w:sz w:val="20"/>
        </w:rPr>
        <w:t xml:space="preserve">Fees for the transfer and registration of ordinary shares charged by the registrar and transfer agent for the ordinary shares in the Cayman Islands (i.e., upon deposit and withdrawal of ordinary shares). </w:t>
      </w:r>
    </w:p>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75"/>
        <w:gridCol w:w="110"/>
        <w:gridCol w:w="60"/>
        <w:gridCol w:w="55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incurred for converting foreign currency into U.S. dollars.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Expenses for cable, telex, and fax transmissions and for delivery of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Taxes and duties upon the transfer of securities, including any applicable stamp duties, any stock transfer charges or withholding taxes (i.e., when ordinary shares are deposited or withdrawn from deposit). </w:t>
            </w:r>
          </w:p>
        </w:tc>
      </w:tr>
    </w:tbl>
    <w:p>
      <w:pPr>
        <w:pStyle w:val="TextBody"/>
        <w:bidi w:val="0"/>
        <w:spacing w:before="0" w:after="0"/>
        <w:jc w:val="left"/>
        <w:rPr/>
      </w:pPr>
      <w:r>
        <w:rPr/>
        <w:t> </w:t>
      </w:r>
    </w:p>
    <w:tbl>
      <w:tblPr>
        <w:tblW w:w="8560" w:type="dxa"/>
        <w:jc w:val="left"/>
        <w:tblInd w:w="0" w:type="dxa"/>
        <w:tblLayout w:type="fixed"/>
        <w:tblCellMar>
          <w:top w:w="0" w:type="dxa"/>
          <w:left w:w="0" w:type="dxa"/>
          <w:bottom w:w="0" w:type="dxa"/>
          <w:right w:w="0" w:type="dxa"/>
        </w:tblCellMar>
      </w:tblPr>
      <w:tblGrid>
        <w:gridCol w:w="75"/>
        <w:gridCol w:w="110"/>
        <w:gridCol w:w="60"/>
        <w:gridCol w:w="8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Fees and expenses incurred in connection with the delivery or servicing of ordinary shares on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Fees and expenses incurred in connection with complying with exchange control regulations and other regulatory requirements applicable to ordinary shares, deposited securities, ADSs and ADRs.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10"/>
        <w:gridCol w:w="60"/>
        <w:gridCol w:w="3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fees and penalties thereon.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Fees and Other Payments Made by the Depositary to Us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has agreed to reimburse us for a portion of certain expenses we incur that relate to establishment and maintenance of the ADR program, including investor relations expenses. There are limits on the amount of expenses for which the depositary will reimburse us, but the amount of reimbursement available to us does not relate to the amounts of fees the depositary collects from investors. Further, the depositary has agreed to reimburse us certain fees payable to the depositary by holders of ADSs. Neither the depositary nor we can determine the exact amount to be made available to us because (i) the number of ADSs that will be issued and outstanding, (ii) the level of service fees to be charged to holders of ADSs, and (iii) our reimbursable expenses relating to the program are not known at this time. We did not receive any reimbursement from the depository in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907177_16"/>
      <w:bookmarkEnd w:id="19"/>
      <w:r>
        <w:rPr>
          <w:rFonts w:ascii="Times New Roman" w:hAnsi="Times New Roman"/>
          <w:b/>
          <w:sz w:val="20"/>
        </w:rPr>
        <w:t xml:space="preserve">PART II </w:t>
      </w:r>
    </w:p>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1025"/>
        <w:gridCol w:w="5660"/>
      </w:tblGrid>
      <w:tr>
        <w:trPr/>
        <w:tc>
          <w:tcPr>
            <w:tcW w:w="1025" w:type="dxa"/>
            <w:tcBorders/>
            <w:vAlign w:val="center"/>
          </w:tcPr>
          <w:p>
            <w:pPr>
              <w:pStyle w:val="TableContents"/>
              <w:bidi w:val="0"/>
              <w:spacing w:before="0" w:after="283"/>
              <w:jc w:val="left"/>
              <w:rPr>
                <w:b/>
              </w:rPr>
            </w:pPr>
            <w:bookmarkStart w:id="20" w:name="toc907177_17"/>
            <w:bookmarkEnd w:id="20"/>
            <w:r>
              <w:rPr>
                <w:b/>
              </w:rPr>
              <w:t>ITEM 13.</w:t>
            </w:r>
          </w:p>
        </w:tc>
        <w:tc>
          <w:tcPr>
            <w:tcW w:w="56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DEFAULTS, DIVIDEND ARREARAGES AND DELINQUENCIES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10030" w:type="dxa"/>
        <w:jc w:val="left"/>
        <w:tblInd w:w="0" w:type="dxa"/>
        <w:tblLayout w:type="fixed"/>
        <w:tblCellMar>
          <w:top w:w="0" w:type="dxa"/>
          <w:left w:w="0" w:type="dxa"/>
          <w:bottom w:w="0" w:type="dxa"/>
          <w:right w:w="0" w:type="dxa"/>
        </w:tblCellMar>
      </w:tblPr>
      <w:tblGrid>
        <w:gridCol w:w="1025"/>
        <w:gridCol w:w="9005"/>
      </w:tblGrid>
      <w:tr>
        <w:trPr/>
        <w:tc>
          <w:tcPr>
            <w:tcW w:w="1025" w:type="dxa"/>
            <w:tcBorders/>
            <w:vAlign w:val="center"/>
          </w:tcPr>
          <w:p>
            <w:pPr>
              <w:pStyle w:val="TableContents"/>
              <w:bidi w:val="0"/>
              <w:spacing w:before="0" w:after="283"/>
              <w:jc w:val="left"/>
              <w:rPr>
                <w:b/>
              </w:rPr>
            </w:pPr>
            <w:bookmarkStart w:id="21" w:name="toc907177_18"/>
            <w:bookmarkEnd w:id="21"/>
            <w:r>
              <w:rPr>
                <w:b/>
              </w:rPr>
              <w:t>ITEM 14.</w:t>
            </w:r>
          </w:p>
        </w:tc>
        <w:tc>
          <w:tcPr>
            <w:tcW w:w="9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MATERIAL MODIFICATIONS TO THE RIGHTS OF SECURITY HOLDERS AND USE OF PROCEEDS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September 15, 2014, our shareholders voted in favor of a proposal to adopt a dual-class share structure, pursuant to which our authorized share capital was reclassified and re-designated into Class A ordinary shares and Class B ordinary shares, with each Class A ordinary share being entitled to one vote and each Class B ordinary share being entitled to ten votes on all matters that are subject to shareholder vote. </w:t>
      </w:r>
    </w:p>
    <w:p>
      <w:pPr>
        <w:pStyle w:val="TextBody"/>
        <w:bidi w:val="0"/>
        <w:spacing w:before="240" w:after="0"/>
        <w:jc w:val="left"/>
        <w:rPr>
          <w:rFonts w:ascii="Times New Roman" w:hAnsi="Times New Roman"/>
          <w:sz w:val="20"/>
        </w:rPr>
      </w:pPr>
      <w:r>
        <w:rPr>
          <w:rFonts w:ascii="Times New Roman" w:hAnsi="Times New Roman"/>
          <w:sz w:val="20"/>
        </w:rPr>
        <w:t xml:space="preserve">See “Item 10. Additional Information” for a description of the rights of securities holders. </w:t>
      </w:r>
    </w:p>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1025"/>
        <w:gridCol w:w="2975"/>
      </w:tblGrid>
      <w:tr>
        <w:trPr/>
        <w:tc>
          <w:tcPr>
            <w:tcW w:w="1025" w:type="dxa"/>
            <w:tcBorders/>
            <w:vAlign w:val="center"/>
          </w:tcPr>
          <w:p>
            <w:pPr>
              <w:pStyle w:val="TableContents"/>
              <w:bidi w:val="0"/>
              <w:spacing w:before="0" w:after="283"/>
              <w:jc w:val="left"/>
              <w:rPr>
                <w:b/>
              </w:rPr>
            </w:pPr>
            <w:bookmarkStart w:id="22" w:name="toc907177_19"/>
            <w:bookmarkEnd w:id="22"/>
            <w:r>
              <w:rPr>
                <w:b/>
              </w:rPr>
              <w:t>ITEM 15.</w:t>
            </w:r>
          </w:p>
        </w:tc>
        <w:tc>
          <w:tcPr>
            <w:tcW w:w="29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CONTROLS AND PROCEDURES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Disclosure Controls and Procedures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Rule 13a-15(b) under the Exchange Act, our senior management, with the participation of our chief executive officer and chief financial officer, has performed an evaluation of the effectiveness of our disclosure controls and procedures within the meaning of Rules 13a-15(e) and 15d-15(e) of the Exchange Act. Based upon that evaluation, our senior management has concluded that, as of December 31, 2024, our disclosure controls and procedures were effective. </w:t>
      </w:r>
    </w:p>
    <w:p>
      <w:pPr>
        <w:pStyle w:val="TextBody"/>
        <w:bidi w:val="0"/>
        <w:spacing w:before="240" w:after="0"/>
        <w:jc w:val="left"/>
        <w:rPr>
          <w:rFonts w:ascii="Times New Roman" w:hAnsi="Times New Roman"/>
          <w:sz w:val="20"/>
        </w:rPr>
      </w:pPr>
      <w:r>
        <w:rPr>
          <w:rFonts w:ascii="Times New Roman" w:hAnsi="Times New Roman"/>
          <w:sz w:val="20"/>
        </w:rPr>
        <w:t xml:space="preserve">Disclosure controls and procedures means controls and other procedures that are designed to ensure that information required to be disclosed by us in the reports that we file or submit under the Exchange Act is recorded, processed, summarized, and reported, within the time periods specified in SEC’s rule and forms and that such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disclosures. </w:t>
      </w:r>
    </w:p>
    <w:p>
      <w:pPr>
        <w:pStyle w:val="TextBody"/>
        <w:bidi w:val="0"/>
        <w:spacing w:before="360" w:after="0"/>
        <w:jc w:val="left"/>
        <w:rPr>
          <w:rFonts w:ascii="Times New Roman" w:hAnsi="Times New Roman"/>
          <w:b/>
          <w:sz w:val="20"/>
        </w:rPr>
      </w:pPr>
      <w:r>
        <w:rPr>
          <w:rFonts w:ascii="Times New Roman" w:hAnsi="Times New Roman"/>
          <w:b/>
          <w:sz w:val="20"/>
        </w:rPr>
        <w:t xml:space="preserve">Management’s Annual Report on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our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our company; (ii) provide reasonable assurance that transactions are recorded as necessary to permit preparation of consolidated financial statements in accordance with U.S. GAAP, and that receipts and expenditures of our company are being made only in accordance with authorizations of our management and directors; and (iii) provide reasonable assurance regarding prevention or timely detection of the unauthorized acquisition, use or disposition of our company’s assets that could have a material effect on the consolidated financial statements. 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conducted an assessment of the effectiveness of our company’s internal control over financial reporting as of December 31, 2024 based on the framework in Internal Control-Integrated Framework (2013) issued by the Committee of Sponsoring Organizations of the Treadway Commission. Based on this assessment, our management concluded that our internal control over financial reporting was effective as of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Deloitte Touche Tohmatsu, our independent registered public accounting firm, audited the financial statements included in this annual report and issued an attestation report on our management’s assessment of our company’s internal control over financial reporting as of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Attestation Report of the Registered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The attestation report on our management’s assessment of our company’s internal control over financial reporting issued by Deloitte Touche Tohmatsu, our independent registered public accounting firm, appears on page F-4 of this annual report. </w:t>
      </w:r>
    </w:p>
    <w:p>
      <w:pPr>
        <w:pStyle w:val="TextBody"/>
        <w:bidi w:val="0"/>
        <w:spacing w:before="360" w:after="0"/>
        <w:jc w:val="left"/>
        <w:rPr>
          <w:rFonts w:ascii="Times New Roman" w:hAnsi="Times New Roman"/>
          <w:b/>
          <w:sz w:val="20"/>
        </w:rPr>
      </w:pPr>
      <w:r>
        <w:rPr>
          <w:rFonts w:ascii="Times New Roman" w:hAnsi="Times New Roman"/>
          <w:b/>
          <w:sz w:val="20"/>
        </w:rPr>
        <w:t xml:space="preserve">Changes in Internal Control over Financial Reporting </w:t>
      </w:r>
    </w:p>
    <w:p>
      <w:pPr>
        <w:pStyle w:val="TextBody"/>
        <w:bidi w:val="0"/>
        <w:spacing w:before="120" w:after="0"/>
        <w:jc w:val="left"/>
        <w:rPr>
          <w:rFonts w:ascii="Times New Roman" w:hAnsi="Times New Roman"/>
          <w:sz w:val="20"/>
        </w:rPr>
      </w:pPr>
      <w:r>
        <w:rPr>
          <w:rFonts w:ascii="Times New Roman" w:hAnsi="Times New Roman"/>
          <w:sz w:val="20"/>
        </w:rPr>
        <w:t xml:space="preserve">As required by Rule 13a-15(d), under the Exchange Act, our management, including our chief executive officer and our chief financial officer, also conducted an assessment of our company’s internal control over financial reporting to determine whether any changes occurred during the period covered by this annual report have materially affected, or are reasonably likely to materially affect, our internal control over financial reporting. Based on that assessment, it has been determined that there has been no such change during the period covered by this annual report. </w:t>
      </w:r>
    </w:p>
    <w:p>
      <w:pPr>
        <w:pStyle w:val="TextBody"/>
        <w:bidi w:val="0"/>
        <w:spacing w:before="0" w:after="0"/>
        <w:jc w:val="left"/>
        <w:rPr/>
      </w:pPr>
      <w:r>
        <w:rPr/>
        <w:t> </w:t>
      </w:r>
    </w:p>
    <w:tbl>
      <w:tblPr>
        <w:tblW w:w="2275" w:type="dxa"/>
        <w:jc w:val="left"/>
        <w:tblInd w:w="0" w:type="dxa"/>
        <w:tblLayout w:type="fixed"/>
        <w:tblCellMar>
          <w:top w:w="0" w:type="dxa"/>
          <w:left w:w="0" w:type="dxa"/>
          <w:bottom w:w="0" w:type="dxa"/>
          <w:right w:w="0" w:type="dxa"/>
        </w:tblCellMar>
      </w:tblPr>
      <w:tblGrid>
        <w:gridCol w:w="1025"/>
        <w:gridCol w:w="1250"/>
      </w:tblGrid>
      <w:tr>
        <w:trPr/>
        <w:tc>
          <w:tcPr>
            <w:tcW w:w="1025" w:type="dxa"/>
            <w:tcBorders/>
            <w:vAlign w:val="center"/>
          </w:tcPr>
          <w:p>
            <w:pPr>
              <w:pStyle w:val="TableContents"/>
              <w:bidi w:val="0"/>
              <w:spacing w:before="0" w:after="283"/>
              <w:jc w:val="left"/>
              <w:rPr>
                <w:b/>
              </w:rPr>
            </w:pPr>
            <w:bookmarkStart w:id="23" w:name="toc907177_20"/>
            <w:bookmarkEnd w:id="23"/>
            <w:r>
              <w:rPr>
                <w:b/>
              </w:rPr>
              <w:t>ITEM 16.</w:t>
            </w:r>
          </w:p>
        </w:tc>
        <w:tc>
          <w:tcPr>
            <w:tcW w:w="12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[RESERVED] </w:t>
            </w:r>
          </w:p>
        </w:tc>
      </w:tr>
    </w:tbl>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1205"/>
        <w:gridCol w:w="3965"/>
      </w:tblGrid>
      <w:tr>
        <w:trPr/>
        <w:tc>
          <w:tcPr>
            <w:tcW w:w="1205" w:type="dxa"/>
            <w:tcBorders/>
            <w:vAlign w:val="center"/>
          </w:tcPr>
          <w:p>
            <w:pPr>
              <w:pStyle w:val="TableContents"/>
              <w:bidi w:val="0"/>
              <w:spacing w:before="0" w:after="283"/>
              <w:jc w:val="left"/>
              <w:rPr>
                <w:b/>
              </w:rPr>
            </w:pPr>
            <w:bookmarkStart w:id="24" w:name="toc907177_21"/>
            <w:bookmarkEnd w:id="24"/>
            <w:r>
              <w:rPr>
                <w:b/>
              </w:rPr>
              <w:t>ITEM 16A.</w:t>
            </w:r>
          </w:p>
        </w:tc>
        <w:tc>
          <w:tcPr>
            <w:tcW w:w="39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AUDIT COMMITTEE FINANCIAL EXPERT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determined that Ms. Kathleen Chien, an independent director (under the standards set forth in Section 303A of the NYSE Listed Company Manual and Rule 10A-3 under the Exchange Act) and member of our audit committee, qualifies as an audit committee financial expert. </w:t>
      </w:r>
    </w:p>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1190"/>
        <w:gridCol w:w="1730"/>
      </w:tblGrid>
      <w:tr>
        <w:trPr/>
        <w:tc>
          <w:tcPr>
            <w:tcW w:w="1190" w:type="dxa"/>
            <w:tcBorders/>
            <w:vAlign w:val="center"/>
          </w:tcPr>
          <w:p>
            <w:pPr>
              <w:pStyle w:val="TableContents"/>
              <w:bidi w:val="0"/>
              <w:spacing w:before="0" w:after="283"/>
              <w:jc w:val="left"/>
              <w:rPr>
                <w:b/>
              </w:rPr>
            </w:pPr>
            <w:bookmarkStart w:id="25" w:name="toc907177_22"/>
            <w:bookmarkEnd w:id="25"/>
            <w:r>
              <w:rPr>
                <w:b/>
              </w:rPr>
              <w:t>ITEM 16B.</w:t>
            </w:r>
          </w:p>
        </w:tc>
        <w:tc>
          <w:tcPr>
            <w:tcW w:w="1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CODE OF ETHICS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adopted an amended and restated code of ethics that applies to all of the directors, officers, and employees of us and our subsidiaries, whether they work for us on a full-time, part-time, consultative, or temporary basis. In addition, we expect those who do business with us, such as consultants, suppliers, and collaborators, to also adhere to the principles outlined in the code of ethics. Certain provisions of the amended and restated code of ethics apply specifically to our chief executive officer, chief financial officer, senior finance officer, controller, vice presidents, and any other persons who perform similar functions for us. We have filed our amended and restated code of business conduct and ethics as an exhibit to this annual report on Form 20-F (No. 001-35454).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755" w:type="dxa"/>
        <w:jc w:val="left"/>
        <w:tblInd w:w="0" w:type="dxa"/>
        <w:tblLayout w:type="fixed"/>
        <w:tblCellMar>
          <w:top w:w="0" w:type="dxa"/>
          <w:left w:w="0" w:type="dxa"/>
          <w:bottom w:w="0" w:type="dxa"/>
          <w:right w:w="0" w:type="dxa"/>
        </w:tblCellMar>
      </w:tblPr>
      <w:tblGrid>
        <w:gridCol w:w="1205"/>
        <w:gridCol w:w="4550"/>
      </w:tblGrid>
      <w:tr>
        <w:trPr/>
        <w:tc>
          <w:tcPr>
            <w:tcW w:w="1205" w:type="dxa"/>
            <w:tcBorders/>
            <w:vAlign w:val="center"/>
          </w:tcPr>
          <w:p>
            <w:pPr>
              <w:pStyle w:val="TableContents"/>
              <w:bidi w:val="0"/>
              <w:spacing w:before="0" w:after="0"/>
              <w:jc w:val="left"/>
              <w:rPr>
                <w:b/>
                <w:spacing w:val="0"/>
              </w:rPr>
            </w:pPr>
            <w:bookmarkStart w:id="26" w:name="toc907177_23"/>
            <w:bookmarkEnd w:id="26"/>
            <w:r>
              <w:rPr>
                <w:b/>
                <w:spacing w:val="0"/>
              </w:rPr>
              <w:t>ITEM 16C.</w:t>
            </w:r>
          </w:p>
        </w:tc>
        <w:tc>
          <w:tcPr>
            <w:tcW w:w="45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PRINCIPAL ACCOUNTANT FEES AND SERVICES </w:t>
            </w:r>
          </w:p>
        </w:tc>
      </w:tr>
    </w:tbl>
    <w:p>
      <w:pPr>
        <w:pStyle w:val="TextBody"/>
        <w:bidi w:val="0"/>
        <w:spacing w:before="120" w:after="0"/>
        <w:jc w:val="left"/>
        <w:rPr>
          <w:rFonts w:ascii="Times New Roman" w:hAnsi="Times New Roman"/>
          <w:sz w:val="20"/>
        </w:rPr>
      </w:pPr>
      <w:r>
        <w:rPr>
          <w:rFonts w:ascii="Times New Roman" w:hAnsi="Times New Roman"/>
          <w:sz w:val="20"/>
        </w:rPr>
        <w:t>The following table sets forth the aggregate fees by categories specified below in connection with certain professional services rendered by Deloitte Touche Tohmatsu (PCAOB ID No. 1104),</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our principal accountant, for the periods indicated. We did not pay any other fees to our principal accountant during the periods except as indicated below. </w:t>
      </w:r>
    </w:p>
    <w:p>
      <w:pPr>
        <w:pStyle w:val="TextBody"/>
        <w:bidi w:val="0"/>
        <w:spacing w:before="0" w:after="0"/>
        <w:jc w:val="left"/>
        <w:rPr>
          <w:spacing w:val="0"/>
        </w:rPr>
      </w:pPr>
      <w:r>
        <w:rPr>
          <w:spacing w:val="0"/>
        </w:rPr>
        <w:t> </w:t>
      </w:r>
    </w:p>
    <w:tbl>
      <w:tblPr>
        <w:tblW w:w="4235" w:type="dxa"/>
        <w:jc w:val="left"/>
        <w:tblInd w:w="0" w:type="dxa"/>
        <w:tblLayout w:type="fixed"/>
        <w:tblCellMar>
          <w:top w:w="0" w:type="dxa"/>
          <w:left w:w="0" w:type="dxa"/>
          <w:bottom w:w="0" w:type="dxa"/>
          <w:right w:w="0" w:type="dxa"/>
        </w:tblCellMar>
      </w:tblPr>
      <w:tblGrid>
        <w:gridCol w:w="1580"/>
        <w:gridCol w:w="120"/>
        <w:gridCol w:w="60"/>
        <w:gridCol w:w="680"/>
        <w:gridCol w:w="60"/>
        <w:gridCol w:w="120"/>
        <w:gridCol w:w="60"/>
        <w:gridCol w:w="680"/>
        <w:gridCol w:w="60"/>
        <w:gridCol w:w="120"/>
        <w:gridCol w:w="60"/>
        <w:gridCol w:w="560"/>
        <w:gridCol w:w="75"/>
      </w:tblGrid>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rPr>
            </w:pPr>
            <w:r>
              <w:rPr>
                <w:b/>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40" w:type="dxa"/>
            <w:gridSpan w:val="6"/>
            <w:tcBorders>
              <w:bottom w:val="single" w:sz="8" w:space="0" w:color="000000"/>
            </w:tcBorders>
            <w:tcMar>
              <w:bottom w:w="28" w:type="dxa"/>
            </w:tcMar>
            <w:vAlign w:val="center"/>
          </w:tcPr>
          <w:p>
            <w:pPr>
              <w:pStyle w:val="TableContents"/>
              <w:bidi w:val="0"/>
              <w:spacing w:before="0" w:after="0"/>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0"/>
              <w:jc w:val="center"/>
              <w:rPr>
                <w:b/>
              </w:rPr>
            </w:pPr>
            <w:r>
              <w:rPr>
                <w:b/>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0"/>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60" w:type="dxa"/>
            <w:gridSpan w:val="10"/>
            <w:tcBorders/>
            <w:vAlign w:val="center"/>
          </w:tcPr>
          <w:p>
            <w:pPr>
              <w:pStyle w:val="TableContents"/>
              <w:bidi w:val="0"/>
              <w:spacing w:before="0" w:after="283"/>
              <w:jc w:val="center"/>
              <w:rPr/>
            </w:pPr>
            <w:r>
              <w:rPr/>
              <w:t>(in thousands)</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13,800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13,500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1,849</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 Related Fees</w:t>
            </w:r>
          </w:p>
          <w:p>
            <w:pPr>
              <w:pStyle w:val="TableContents"/>
              <w:bidi w:val="0"/>
              <w:spacing w:before="0" w:after="0"/>
              <w:jc w:val="left"/>
              <w:rPr>
                <w:rFonts w:ascii="Times New Roman" w:hAnsi="Times New Roman"/>
                <w:sz w:val="12"/>
              </w:rPr>
            </w:pPr>
            <w:r>
              <w:rPr>
                <w:rFonts w:ascii="Times New Roman" w:hAnsi="Times New Roman"/>
                <w:sz w:val="12"/>
              </w:rPr>
              <w:t>(2)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3,458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474</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p>
            <w:pPr>
              <w:pStyle w:val="TableContents"/>
              <w:bidi w:val="0"/>
              <w:spacing w:before="0" w:after="0"/>
              <w:jc w:val="left"/>
              <w:rPr>
                <w:rFonts w:ascii="Times New Roman" w:hAnsi="Times New Roman"/>
                <w:sz w:val="12"/>
              </w:rPr>
            </w:pPr>
            <w:r>
              <w:rPr>
                <w:rFonts w:ascii="Times New Roman" w:hAnsi="Times New Roman"/>
                <w:sz w:val="12"/>
              </w:rPr>
              <w:t>(3)</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pacing w:val="0"/>
          <w:sz w:val="16"/>
        </w:rPr>
      </w:pPr>
      <w:r>
        <w:rPr>
          <w:rFonts w:ascii="Times New Roman" w:hAnsi="Times New Roman"/>
          <w:spacing w:val="0"/>
          <w:sz w:val="16"/>
        </w:rPr>
        <w:t xml:space="preserve">Notes: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(1)</w:t>
            </w:r>
          </w:p>
        </w:tc>
        <w:tc>
          <w:tcPr>
            <w:tcW w:w="9954" w:type="dxa"/>
            <w:tcBorders/>
            <w:vAlign w:val="center"/>
          </w:tcPr>
          <w:p>
            <w:pPr>
              <w:pStyle w:val="TableContents"/>
              <w:bidi w:val="0"/>
              <w:spacing w:before="0" w:after="0"/>
              <w:jc w:val="left"/>
              <w:rPr>
                <w:spacing w:val="0"/>
              </w:rPr>
            </w:pPr>
            <w:r>
              <w:rPr>
                <w:spacing w:val="0"/>
              </w:rPr>
              <w:t>“</w:t>
            </w:r>
            <w:r>
              <w:rPr>
                <w:rFonts w:ascii="Times New Roman" w:hAnsi="Times New Roman"/>
                <w:spacing w:val="0"/>
                <w:sz w:val="20"/>
              </w:rPr>
              <w:t xml:space="preserve">Audit Fees” represent the aggregate fees billed for each of the fiscal years listed for professional services rendered by our principal accountant for the audit of our annual consolidated financial statements, review of quarterly financial information, and audit services that are normally provided by the principal accountant in connection with regulatory filings or engagements for those fiscal years. </w:t>
            </w:r>
          </w:p>
        </w:tc>
      </w:tr>
    </w:tbl>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(2)</w:t>
            </w:r>
          </w:p>
        </w:tc>
        <w:tc>
          <w:tcPr>
            <w:tcW w:w="9946" w:type="dxa"/>
            <w:tcBorders/>
            <w:vAlign w:val="center"/>
          </w:tcPr>
          <w:p>
            <w:pPr>
              <w:pStyle w:val="TableContents"/>
              <w:bidi w:val="0"/>
              <w:spacing w:before="0" w:after="0"/>
              <w:jc w:val="left"/>
              <w:rPr>
                <w:spacing w:val="0"/>
              </w:rPr>
            </w:pPr>
            <w:r>
              <w:rPr>
                <w:spacing w:val="0"/>
              </w:rPr>
              <w:t>“</w:t>
            </w:r>
            <w:r>
              <w:rPr>
                <w:rFonts w:ascii="Times New Roman" w:hAnsi="Times New Roman"/>
                <w:spacing w:val="0"/>
                <w:sz w:val="20"/>
              </w:rPr>
              <w:t xml:space="preserve">Audit-Related Fees” represent the aggregate fees billed in each of the fiscal years listed for assurance and related services by our principal accountant that are reasonably related to the performance of the audit or review of our financial statements and are not reported under “Audit Fees.” </w:t>
            </w:r>
          </w:p>
        </w:tc>
      </w:tr>
    </w:tbl>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(3)</w:t>
            </w:r>
          </w:p>
        </w:tc>
        <w:tc>
          <w:tcPr>
            <w:tcW w:w="9929" w:type="dxa"/>
            <w:tcBorders/>
            <w:vAlign w:val="center"/>
          </w:tcPr>
          <w:p>
            <w:pPr>
              <w:pStyle w:val="TableContents"/>
              <w:bidi w:val="0"/>
              <w:spacing w:before="0" w:after="0"/>
              <w:jc w:val="left"/>
              <w:rPr>
                <w:spacing w:val="0"/>
              </w:rPr>
            </w:pPr>
            <w:r>
              <w:rPr>
                <w:spacing w:val="0"/>
              </w:rPr>
              <w:t>“</w:t>
            </w:r>
            <w:r>
              <w:rPr>
                <w:rFonts w:ascii="Times New Roman" w:hAnsi="Times New Roman"/>
                <w:spacing w:val="0"/>
                <w:sz w:val="20"/>
              </w:rPr>
              <w:t xml:space="preserve">Tax Fees” represent the aggregate fees billed in each of the fiscal years listed for professional services rendered by our principal accountant for tax compliance, tax advice, and tax planning.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audit and permitted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non-audit</w:t>
      </w:r>
    </w:p>
    <w:p>
      <w:pPr>
        <w:pStyle w:val="TextBody"/>
        <w:bidi w:val="0"/>
        <w:spacing w:before="240" w:after="0"/>
        <w:jc w:val="left"/>
        <w:rPr>
          <w:rFonts w:ascii="Times New Roman" w:hAnsi="Times New Roman"/>
          <w:sz w:val="20"/>
        </w:rPr>
      </w:pPr>
      <w:r>
        <w:rPr>
          <w:rFonts w:ascii="Times New Roman" w:hAnsi="Times New Roman"/>
          <w:sz w:val="20"/>
        </w:rPr>
        <w:t xml:space="preserve">services provided by our principal accountant, including audit services, audit-related services, tax services, and other services as described above, must be and have been approved in advance by our audit committee. </w:t>
      </w:r>
    </w:p>
    <w:p>
      <w:pPr>
        <w:pStyle w:val="TextBody"/>
        <w:bidi w:val="0"/>
        <w:spacing w:before="0" w:after="0"/>
        <w:jc w:val="left"/>
        <w:rPr>
          <w:spacing w:val="0"/>
        </w:rPr>
      </w:pPr>
      <w:r>
        <w:rPr>
          <w:spacing w:val="0"/>
        </w:rPr>
        <w:t> </w:t>
      </w:r>
    </w:p>
    <w:p>
      <w:pPr>
        <w:pStyle w:val="TextBody"/>
        <w:bidi w:val="0"/>
        <w:jc w:val="center"/>
        <w:rPr>
          <w:rFonts w:ascii="Times New Roman" w:hAnsi="Times New Roman"/>
          <w:spacing w:val="0"/>
          <w:sz w:val="20"/>
        </w:rPr>
      </w:pPr>
      <w:r>
        <w:rPr>
          <w:rFonts w:ascii="Times New Roman" w:hAnsi="Times New Roman"/>
          <w:spacing w:val="0"/>
          <w:sz w:val="20"/>
        </w:rPr>
        <w:t xml:space="preserve">162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260" w:type="dxa"/>
        <w:jc w:val="left"/>
        <w:tblInd w:w="0" w:type="dxa"/>
        <w:tblLayout w:type="fixed"/>
        <w:tblCellMar>
          <w:top w:w="0" w:type="dxa"/>
          <w:left w:w="0" w:type="dxa"/>
          <w:bottom w:w="0" w:type="dxa"/>
          <w:right w:w="0" w:type="dxa"/>
        </w:tblCellMar>
      </w:tblPr>
      <w:tblGrid>
        <w:gridCol w:w="1205"/>
        <w:gridCol w:w="7055"/>
      </w:tblGrid>
      <w:tr>
        <w:trPr/>
        <w:tc>
          <w:tcPr>
            <w:tcW w:w="1205" w:type="dxa"/>
            <w:tcBorders/>
            <w:vAlign w:val="center"/>
          </w:tcPr>
          <w:p>
            <w:pPr>
              <w:pStyle w:val="TableContents"/>
              <w:bidi w:val="0"/>
              <w:spacing w:before="0" w:after="283"/>
              <w:jc w:val="left"/>
              <w:rPr>
                <w:b/>
              </w:rPr>
            </w:pPr>
            <w:bookmarkStart w:id="27" w:name="toc907177_23a"/>
            <w:bookmarkEnd w:id="27"/>
            <w:r>
              <w:rPr>
                <w:b/>
              </w:rPr>
              <w:t>ITEM 16D.</w:t>
            </w:r>
          </w:p>
        </w:tc>
        <w:tc>
          <w:tcPr>
            <w:tcW w:w="7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EXEMPTIONS FROM THE LISTING STANDARDS FOR AUDIT COMMITTEES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1190"/>
        <w:gridCol w:w="8120"/>
      </w:tblGrid>
      <w:tr>
        <w:trPr/>
        <w:tc>
          <w:tcPr>
            <w:tcW w:w="1190" w:type="dxa"/>
            <w:tcBorders/>
            <w:vAlign w:val="center"/>
          </w:tcPr>
          <w:p>
            <w:pPr>
              <w:pStyle w:val="TableContents"/>
              <w:bidi w:val="0"/>
              <w:spacing w:before="0" w:after="283"/>
              <w:jc w:val="left"/>
              <w:rPr>
                <w:b/>
              </w:rPr>
            </w:pPr>
            <w:bookmarkStart w:id="28" w:name="toc907177_23b"/>
            <w:bookmarkEnd w:id="28"/>
            <w:r>
              <w:rPr>
                <w:b/>
              </w:rPr>
              <w:t>ITEM 16E.</w:t>
            </w:r>
          </w:p>
        </w:tc>
        <w:tc>
          <w:tcPr>
            <w:tcW w:w="8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PURCHASES OF EQUITY SECURITIES BY THE ISSUER AND AFFILIATED PURCHASERS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March 30, 2023, our board of directors authorized a share repurchase program, under which we could further purchase up to an additional US$500 million worth of our ADSs or Class A ordinary shares over the 24-month period until the close of business on March 31, 2025, U.S. Eastern Time (the “2023 Share Repurchase Program”). The 2023 Share Repurchase Program was publicly announced on the same date. On May 22, 2023, our board of directors approved an increase in the authorized amount under the 2023 Share Repurchase Program by US$500 million such that we may repurchase up to US$1 billion of its ADSs or Class A ordinary shares thereunder. The increase in the authorized amount under the 2023 Share Repurchase Program was publicly announced on May 23, 2023. In 2024 and up to March 31, 2025, we repurchased ADSs representing 69,938,871 Class A ordinary shares under the 2023 Share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In August 2024, our board of directors authorized a new share repurchase program under which we may repurchase up to US$1.0 billion worth of our ADSs or Class A ordinary shares for a 24-month period commencing from the full utilization of the 2023 Share Repurchase Program. </w:t>
      </w:r>
    </w:p>
    <w:p>
      <w:pPr>
        <w:pStyle w:val="TextBody"/>
        <w:bidi w:val="0"/>
        <w:spacing w:before="240" w:after="0"/>
        <w:jc w:val="left"/>
        <w:rPr>
          <w:rFonts w:ascii="Times New Roman" w:hAnsi="Times New Roman"/>
          <w:sz w:val="20"/>
        </w:rPr>
      </w:pPr>
      <w:r>
        <w:rPr>
          <w:rFonts w:ascii="Times New Roman" w:hAnsi="Times New Roman"/>
          <w:sz w:val="20"/>
        </w:rPr>
        <w:t xml:space="preserve">The table below is a summary of the shares we repurchase under the programs described above. All repurchases of our ADSs or Class A ordinary shares set forth below were made in the open market pursuant to the 2023 Share Repurchase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19"/>
        <w:gridCol w:w="120"/>
        <w:gridCol w:w="90"/>
        <w:gridCol w:w="1655"/>
        <w:gridCol w:w="60"/>
        <w:gridCol w:w="120"/>
        <w:gridCol w:w="156"/>
        <w:gridCol w:w="1473"/>
        <w:gridCol w:w="60"/>
        <w:gridCol w:w="120"/>
        <w:gridCol w:w="124"/>
        <w:gridCol w:w="2281"/>
        <w:gridCol w:w="60"/>
        <w:gridCol w:w="120"/>
        <w:gridCol w:w="120"/>
        <w:gridCol w:w="2450"/>
        <w:gridCol w:w="77"/>
      </w:tblGrid>
      <w:tr>
        <w:trPr/>
        <w:tc>
          <w:tcPr>
            <w:tcW w:w="11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12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 of</w:t>
              <w:br/>
              <w:t>ADSs Purchased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Average Price</w:t>
              <w:br/>
              <w:t>Paid Per ADS(1)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 of</w:t>
              <w:br/>
              <w:t>ADSs Purchased as</w:t>
              <w:br/>
              <w:t>Part of the Publicly</w:t>
              <w:br/>
              <w:t>Announced 2023 Share</w:t>
              <w:br/>
              <w:t>Repurchase Program</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Approximate Dollar</w:t>
              <w:br/>
              <w:t>Value of ADSs that May</w:t>
              <w:br/>
              <w:t>Yet Be Purchased Under</w:t>
              <w:br/>
              <w:t>the 2023 Share</w:t>
              <w:br/>
              <w:t>Repurchase Program</w:t>
            </w:r>
          </w:p>
        </w:tc>
        <w:tc>
          <w:tcPr>
            <w:tcW w:w="77" w:type="dxa"/>
            <w:tcBorders/>
            <w:vAlign w:val="center"/>
          </w:tcPr>
          <w:p>
            <w:pPr>
              <w:pStyle w:val="TableContents"/>
              <w:bidi w:val="0"/>
              <w:spacing w:before="0" w:after="283"/>
              <w:jc w:val="left"/>
              <w:rPr/>
            </w:pPr>
            <w:r>
              <w:rPr/>
              <w:t> </w:t>
            </w:r>
          </w:p>
        </w:tc>
      </w:tr>
      <w:tr>
        <w:trPr/>
        <w:tc>
          <w:tcPr>
            <w:tcW w:w="111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January 2024</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805,212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473" w:type="dxa"/>
            <w:tcBorders/>
            <w:shd w:fill="CCEEFF" w:val="clear"/>
            <w:vAlign w:val="center"/>
          </w:tcPr>
          <w:p>
            <w:pPr>
              <w:pStyle w:val="TableContents"/>
              <w:bidi w:val="0"/>
              <w:spacing w:before="0" w:after="283"/>
              <w:jc w:val="right"/>
              <w:rPr/>
            </w:pPr>
            <w:r>
              <w:rPr/>
              <w:t>14.83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281" w:type="dxa"/>
            <w:tcBorders/>
            <w:shd w:fill="CCEEFF" w:val="clear"/>
            <w:vAlign w:val="center"/>
          </w:tcPr>
          <w:p>
            <w:pPr>
              <w:pStyle w:val="TableContents"/>
              <w:bidi w:val="0"/>
              <w:spacing w:before="0" w:after="283"/>
              <w:jc w:val="right"/>
              <w:rPr/>
            </w:pPr>
            <w:r>
              <w:rPr/>
              <w:t>31,424,277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right"/>
              <w:rPr/>
            </w:pPr>
            <w:r>
              <w:rPr/>
              <w:t>536,191,760</w:t>
            </w:r>
          </w:p>
        </w:tc>
        <w:tc>
          <w:tcPr>
            <w:tcW w:w="77" w:type="dxa"/>
            <w:tcBorders/>
            <w:shd w:fill="CCEEFF" w:val="clear"/>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February 2024</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31,424,277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right"/>
              <w:rPr/>
            </w:pPr>
            <w:r>
              <w:rPr/>
              <w:t>536,191,760</w:t>
            </w:r>
          </w:p>
        </w:tc>
        <w:tc>
          <w:tcPr>
            <w:tcW w:w="77" w:type="dxa"/>
            <w:tcBorders/>
            <w:vAlign w:val="center"/>
          </w:tcPr>
          <w:p>
            <w:pPr>
              <w:pStyle w:val="TableContents"/>
              <w:bidi w:val="0"/>
              <w:spacing w:before="0" w:after="283"/>
              <w:jc w:val="left"/>
              <w:rPr/>
            </w:pPr>
            <w:r>
              <w:rPr/>
              <w:t> </w:t>
            </w:r>
          </w:p>
        </w:tc>
      </w:tr>
      <w:tr>
        <w:trPr/>
        <w:tc>
          <w:tcPr>
            <w:tcW w:w="111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March 2024</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47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281" w:type="dxa"/>
            <w:tcBorders/>
            <w:shd w:fill="CCEEFF" w:val="clear"/>
            <w:vAlign w:val="center"/>
          </w:tcPr>
          <w:p>
            <w:pPr>
              <w:pStyle w:val="TableContents"/>
              <w:bidi w:val="0"/>
              <w:spacing w:before="0" w:after="283"/>
              <w:jc w:val="right"/>
              <w:rPr/>
            </w:pPr>
            <w:r>
              <w:rPr/>
              <w:t>31,424,277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right"/>
              <w:rPr/>
            </w:pPr>
            <w:r>
              <w:rPr/>
              <w:t>536,191,760</w:t>
            </w:r>
          </w:p>
        </w:tc>
        <w:tc>
          <w:tcPr>
            <w:tcW w:w="77" w:type="dxa"/>
            <w:tcBorders/>
            <w:shd w:fill="CCEEFF" w:val="clear"/>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2024</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216,213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right"/>
              <w:rPr/>
            </w:pPr>
            <w:r>
              <w:rPr/>
              <w:t>14.96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31,640,490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right"/>
              <w:rPr/>
            </w:pPr>
            <w:r>
              <w:rPr/>
              <w:t>532,955,209</w:t>
            </w:r>
          </w:p>
        </w:tc>
        <w:tc>
          <w:tcPr>
            <w:tcW w:w="77" w:type="dxa"/>
            <w:tcBorders/>
            <w:vAlign w:val="center"/>
          </w:tcPr>
          <w:p>
            <w:pPr>
              <w:pStyle w:val="TableContents"/>
              <w:bidi w:val="0"/>
              <w:spacing w:before="0" w:after="283"/>
              <w:jc w:val="left"/>
              <w:rPr/>
            </w:pPr>
            <w:r>
              <w:rPr/>
              <w:t> </w:t>
            </w:r>
          </w:p>
        </w:tc>
      </w:tr>
      <w:tr>
        <w:trPr/>
        <w:tc>
          <w:tcPr>
            <w:tcW w:w="111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May 2024</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2,585,023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473" w:type="dxa"/>
            <w:tcBorders/>
            <w:shd w:fill="CCEEFF" w:val="clear"/>
            <w:vAlign w:val="center"/>
          </w:tcPr>
          <w:p>
            <w:pPr>
              <w:pStyle w:val="TableContents"/>
              <w:bidi w:val="0"/>
              <w:spacing w:before="0" w:after="283"/>
              <w:jc w:val="right"/>
              <w:rPr/>
            </w:pPr>
            <w:r>
              <w:rPr/>
              <w:t>16.04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281" w:type="dxa"/>
            <w:tcBorders/>
            <w:shd w:fill="CCEEFF" w:val="clear"/>
            <w:vAlign w:val="center"/>
          </w:tcPr>
          <w:p>
            <w:pPr>
              <w:pStyle w:val="TableContents"/>
              <w:bidi w:val="0"/>
              <w:spacing w:before="0" w:after="283"/>
              <w:jc w:val="right"/>
              <w:rPr/>
            </w:pPr>
            <w:r>
              <w:rPr/>
              <w:t>34,225,513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right"/>
              <w:rPr/>
            </w:pPr>
            <w:r>
              <w:rPr/>
              <w:t>491,469,214</w:t>
            </w:r>
          </w:p>
        </w:tc>
        <w:tc>
          <w:tcPr>
            <w:tcW w:w="77" w:type="dxa"/>
            <w:tcBorders/>
            <w:shd w:fill="CCEEFF" w:val="clear"/>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June 2024</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10,648,754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right"/>
              <w:rPr/>
            </w:pPr>
            <w:r>
              <w:rPr/>
              <w:t>15.13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44,874,267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right"/>
              <w:rPr/>
            </w:pPr>
            <w:r>
              <w:rPr/>
              <w:t>330,280,718</w:t>
            </w:r>
          </w:p>
        </w:tc>
        <w:tc>
          <w:tcPr>
            <w:tcW w:w="77" w:type="dxa"/>
            <w:tcBorders/>
            <w:vAlign w:val="center"/>
          </w:tcPr>
          <w:p>
            <w:pPr>
              <w:pStyle w:val="TableContents"/>
              <w:bidi w:val="0"/>
              <w:spacing w:before="0" w:after="283"/>
              <w:jc w:val="left"/>
              <w:rPr/>
            </w:pPr>
            <w:r>
              <w:rPr/>
              <w:t> </w:t>
            </w:r>
          </w:p>
        </w:tc>
      </w:tr>
      <w:tr>
        <w:trPr/>
        <w:tc>
          <w:tcPr>
            <w:tcW w:w="111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July 2024</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7,458,325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473" w:type="dxa"/>
            <w:tcBorders/>
            <w:shd w:fill="CCEEFF" w:val="clear"/>
            <w:vAlign w:val="center"/>
          </w:tcPr>
          <w:p>
            <w:pPr>
              <w:pStyle w:val="TableContents"/>
              <w:bidi w:val="0"/>
              <w:spacing w:before="0" w:after="283"/>
              <w:jc w:val="right"/>
              <w:rPr/>
            </w:pPr>
            <w:r>
              <w:rPr/>
              <w:t>13.55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281" w:type="dxa"/>
            <w:tcBorders/>
            <w:shd w:fill="CCEEFF" w:val="clear"/>
            <w:vAlign w:val="center"/>
          </w:tcPr>
          <w:p>
            <w:pPr>
              <w:pStyle w:val="TableContents"/>
              <w:bidi w:val="0"/>
              <w:spacing w:before="0" w:after="283"/>
              <w:jc w:val="right"/>
              <w:rPr/>
            </w:pPr>
            <w:r>
              <w:rPr/>
              <w:t>52,332,592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right"/>
              <w:rPr/>
            </w:pPr>
            <w:r>
              <w:rPr/>
              <w:t>229,117,176</w:t>
            </w:r>
          </w:p>
        </w:tc>
        <w:tc>
          <w:tcPr>
            <w:tcW w:w="77" w:type="dxa"/>
            <w:tcBorders/>
            <w:shd w:fill="CCEEFF" w:val="clear"/>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2024</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9,169,532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right"/>
              <w:rPr/>
            </w:pPr>
            <w:r>
              <w:rPr/>
              <w:t>12.94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61,502,124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right"/>
              <w:rPr/>
            </w:pPr>
            <w:r>
              <w:rPr/>
              <w:t>110,381,467</w:t>
            </w:r>
          </w:p>
        </w:tc>
        <w:tc>
          <w:tcPr>
            <w:tcW w:w="77" w:type="dxa"/>
            <w:tcBorders/>
            <w:vAlign w:val="center"/>
          </w:tcPr>
          <w:p>
            <w:pPr>
              <w:pStyle w:val="TableContents"/>
              <w:bidi w:val="0"/>
              <w:spacing w:before="0" w:after="283"/>
              <w:jc w:val="left"/>
              <w:rPr/>
            </w:pPr>
            <w:r>
              <w:rPr/>
              <w:t> </w:t>
            </w:r>
          </w:p>
        </w:tc>
      </w:tr>
      <w:tr>
        <w:trPr/>
        <w:tc>
          <w:tcPr>
            <w:tcW w:w="111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September 2024</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4,328,603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473" w:type="dxa"/>
            <w:tcBorders/>
            <w:shd w:fill="CCEEFF" w:val="clear"/>
            <w:vAlign w:val="center"/>
          </w:tcPr>
          <w:p>
            <w:pPr>
              <w:pStyle w:val="TableContents"/>
              <w:bidi w:val="0"/>
              <w:spacing w:before="0" w:after="283"/>
              <w:jc w:val="right"/>
              <w:rPr/>
            </w:pPr>
            <w:r>
              <w:rPr/>
              <w:t>12.71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281" w:type="dxa"/>
            <w:tcBorders/>
            <w:shd w:fill="CCEEFF" w:val="clear"/>
            <w:vAlign w:val="center"/>
          </w:tcPr>
          <w:p>
            <w:pPr>
              <w:pStyle w:val="TableContents"/>
              <w:bidi w:val="0"/>
              <w:spacing w:before="0" w:after="283"/>
              <w:jc w:val="right"/>
              <w:rPr/>
            </w:pPr>
            <w:r>
              <w:rPr/>
              <w:t>65,830,727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right"/>
              <w:rPr/>
            </w:pPr>
            <w:r>
              <w:rPr/>
              <w:t>55,303,395</w:t>
            </w:r>
          </w:p>
        </w:tc>
        <w:tc>
          <w:tcPr>
            <w:tcW w:w="77" w:type="dxa"/>
            <w:tcBorders/>
            <w:shd w:fill="CCEEFF" w:val="clear"/>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October 2024</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448,855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right"/>
              <w:rPr/>
            </w:pPr>
            <w:r>
              <w:rPr/>
              <w:t>13.98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66,279,582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right"/>
              <w:rPr/>
            </w:pPr>
            <w:r>
              <w:rPr/>
              <w:t>49,025,111</w:t>
            </w:r>
          </w:p>
        </w:tc>
        <w:tc>
          <w:tcPr>
            <w:tcW w:w="77" w:type="dxa"/>
            <w:tcBorders/>
            <w:vAlign w:val="center"/>
          </w:tcPr>
          <w:p>
            <w:pPr>
              <w:pStyle w:val="TableContents"/>
              <w:bidi w:val="0"/>
              <w:spacing w:before="0" w:after="283"/>
              <w:jc w:val="left"/>
              <w:rPr/>
            </w:pPr>
            <w:r>
              <w:rPr/>
              <w:t> </w:t>
            </w:r>
          </w:p>
        </w:tc>
      </w:tr>
      <w:tr>
        <w:trPr/>
        <w:tc>
          <w:tcPr>
            <w:tcW w:w="1119"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November 2024</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2,358,486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473" w:type="dxa"/>
            <w:tcBorders/>
            <w:shd w:fill="CCEEFF" w:val="clear"/>
            <w:vAlign w:val="center"/>
          </w:tcPr>
          <w:p>
            <w:pPr>
              <w:pStyle w:val="TableContents"/>
              <w:bidi w:val="0"/>
              <w:spacing w:before="0" w:after="283"/>
              <w:jc w:val="right"/>
              <w:rPr/>
            </w:pPr>
            <w:r>
              <w:rPr/>
              <w:t>13.84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281" w:type="dxa"/>
            <w:tcBorders/>
            <w:shd w:fill="CCEEFF" w:val="clear"/>
            <w:vAlign w:val="center"/>
          </w:tcPr>
          <w:p>
            <w:pPr>
              <w:pStyle w:val="TableContents"/>
              <w:bidi w:val="0"/>
              <w:spacing w:before="0" w:after="283"/>
              <w:jc w:val="right"/>
              <w:rPr/>
            </w:pPr>
            <w:r>
              <w:rPr/>
              <w:t>68,638,068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right"/>
              <w:rPr/>
            </w:pPr>
            <w:r>
              <w:rPr/>
              <w:t>16,367,432</w:t>
            </w:r>
          </w:p>
        </w:tc>
        <w:tc>
          <w:tcPr>
            <w:tcW w:w="77" w:type="dxa"/>
            <w:tcBorders/>
            <w:shd w:fill="CCEEFF" w:val="clear"/>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December 2024</w:t>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right"/>
              <w:rPr/>
            </w:pPr>
            <w:r>
              <w:rPr/>
              <w:t>323,171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jc w:val="left"/>
              <w:rPr/>
            </w:pPr>
            <w:r>
              <w:rPr/>
              <w:t> </w:t>
            </w:r>
          </w:p>
        </w:tc>
        <w:tc>
          <w:tcPr>
            <w:tcW w:w="1473" w:type="dxa"/>
            <w:tcBorders/>
            <w:vAlign w:val="center"/>
          </w:tcPr>
          <w:p>
            <w:pPr>
              <w:pStyle w:val="TableContents"/>
              <w:bidi w:val="0"/>
              <w:spacing w:before="0" w:after="283"/>
              <w:jc w:val="right"/>
              <w:rPr/>
            </w:pPr>
            <w:r>
              <w:rPr/>
              <w:t>13.36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2281" w:type="dxa"/>
            <w:tcBorders/>
            <w:vAlign w:val="center"/>
          </w:tcPr>
          <w:p>
            <w:pPr>
              <w:pStyle w:val="TableContents"/>
              <w:bidi w:val="0"/>
              <w:spacing w:before="0" w:after="283"/>
              <w:jc w:val="right"/>
              <w:rPr/>
            </w:pPr>
            <w:r>
              <w:rPr/>
              <w:t>68,961,239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right"/>
              <w:rPr/>
            </w:pPr>
            <w:r>
              <w:rPr/>
              <w:t>12,047,985</w:t>
            </w:r>
          </w:p>
        </w:tc>
        <w:tc>
          <w:tcPr>
            <w:tcW w:w="77" w:type="dxa"/>
            <w:tcBorders/>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pBdr>
                <w:top w:val="single" w:sz="2" w:space="1" w:color="000000"/>
              </w:pBdr>
              <w:bidi w:val="0"/>
              <w:spacing w:before="0" w:after="0"/>
              <w:jc w:val="left"/>
              <w:rPr/>
            </w:pPr>
            <w:r>
              <w:rPr/>
              <w:t> </w:t>
            </w:r>
          </w:p>
        </w:tc>
        <w:tc>
          <w:tcPr>
            <w:tcW w:w="1655"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pBdr>
                <w:top w:val="single" w:sz="2" w:space="1" w:color="000000"/>
              </w:pBdr>
              <w:bidi w:val="0"/>
              <w:spacing w:before="0" w:after="0"/>
              <w:jc w:val="left"/>
              <w:rPr/>
            </w:pPr>
            <w:r>
              <w:rPr/>
              <w:t> </w:t>
            </w:r>
          </w:p>
        </w:tc>
        <w:tc>
          <w:tcPr>
            <w:tcW w:w="1473"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pBdr>
                <w:top w:val="single" w:sz="2" w:space="1" w:color="000000"/>
              </w:pBdr>
              <w:bidi w:val="0"/>
              <w:spacing w:before="0" w:after="0"/>
              <w:jc w:val="left"/>
              <w:rPr/>
            </w:pPr>
            <w:r>
              <w:rPr/>
              <w:t> </w:t>
            </w:r>
          </w:p>
        </w:tc>
        <w:tc>
          <w:tcPr>
            <w:tcW w:w="2281"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pBdr>
                <w:top w:val="single" w:sz="2" w:space="1" w:color="000000"/>
              </w:pBdr>
              <w:bidi w:val="0"/>
              <w:spacing w:before="0" w:after="0"/>
              <w:jc w:val="left"/>
              <w:rPr/>
            </w:pPr>
            <w:r>
              <w:rPr/>
              <w:t> </w:t>
            </w:r>
          </w:p>
        </w:tc>
        <w:tc>
          <w:tcPr>
            <w:tcW w:w="2450" w:type="dxa"/>
            <w:tcBorders/>
            <w:vAlign w:val="center"/>
          </w:tcPr>
          <w:p>
            <w:pPr>
              <w:pStyle w:val="TableContents"/>
              <w:pBdr>
                <w:top w:val="single" w:sz="2"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r>
        <w:trPr/>
        <w:tc>
          <w:tcPr>
            <w:tcW w:w="1119"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38,342,174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473" w:type="dxa"/>
            <w:tcBorders/>
            <w:shd w:fill="CCEEFF" w:val="clear"/>
            <w:vAlign w:val="center"/>
          </w:tcPr>
          <w:p>
            <w:pPr>
              <w:pStyle w:val="TableContents"/>
              <w:bidi w:val="0"/>
              <w:spacing w:before="0" w:after="283"/>
              <w:jc w:val="right"/>
              <w:rPr/>
            </w:pPr>
            <w:r>
              <w:rPr/>
              <w:t>13.97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2281" w:type="dxa"/>
            <w:tcBorders/>
            <w:shd w:fill="CCEEFF" w:val="clear"/>
            <w:vAlign w:val="center"/>
          </w:tcPr>
          <w:p>
            <w:pPr>
              <w:pStyle w:val="TableContents"/>
              <w:bidi w:val="0"/>
              <w:spacing w:before="0" w:after="283"/>
              <w:jc w:val="right"/>
              <w:rPr/>
            </w:pPr>
            <w:r>
              <w:rPr/>
              <w:t>68,961,239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450" w:type="dxa"/>
            <w:tcBorders/>
            <w:shd w:fill="CCEEFF" w:val="clear"/>
            <w:vAlign w:val="center"/>
          </w:tcPr>
          <w:p>
            <w:pPr>
              <w:pStyle w:val="TableContents"/>
              <w:bidi w:val="0"/>
              <w:spacing w:before="0" w:after="283"/>
              <w:jc w:val="right"/>
              <w:rPr/>
            </w:pPr>
            <w:r>
              <w:rPr/>
              <w:t>12,047,985</w:t>
            </w:r>
          </w:p>
        </w:tc>
        <w:tc>
          <w:tcPr>
            <w:tcW w:w="77" w:type="dxa"/>
            <w:tcBorders/>
            <w:shd w:fill="CCEEFF" w:val="clear"/>
            <w:vAlign w:val="center"/>
          </w:tcPr>
          <w:p>
            <w:pPr>
              <w:pStyle w:val="TableContents"/>
              <w:bidi w:val="0"/>
              <w:spacing w:before="0" w:after="283"/>
              <w:jc w:val="left"/>
              <w:rPr/>
            </w:pPr>
            <w:r>
              <w:rPr/>
              <w:t> </w:t>
            </w:r>
          </w:p>
        </w:tc>
      </w:tr>
      <w:tr>
        <w:trPr/>
        <w:tc>
          <w:tcPr>
            <w:tcW w:w="11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0" w:type="dxa"/>
            <w:tcBorders/>
            <w:vAlign w:val="center"/>
          </w:tcPr>
          <w:p>
            <w:pPr>
              <w:pStyle w:val="TableContents"/>
              <w:pBdr>
                <w:top w:val="double" w:sz="6" w:space="1" w:color="000000"/>
              </w:pBdr>
              <w:bidi w:val="0"/>
              <w:spacing w:before="0" w:after="0"/>
              <w:jc w:val="left"/>
              <w:rPr/>
            </w:pPr>
            <w:r>
              <w:rPr/>
              <w:t> </w:t>
            </w:r>
          </w:p>
        </w:tc>
        <w:tc>
          <w:tcPr>
            <w:tcW w:w="1655"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56" w:type="dxa"/>
            <w:tcBorders/>
            <w:vAlign w:val="center"/>
          </w:tcPr>
          <w:p>
            <w:pPr>
              <w:pStyle w:val="TableContents"/>
              <w:pBdr>
                <w:top w:val="double" w:sz="6" w:space="1" w:color="000000"/>
              </w:pBdr>
              <w:bidi w:val="0"/>
              <w:spacing w:before="0" w:after="0"/>
              <w:jc w:val="left"/>
              <w:rPr/>
            </w:pPr>
            <w:r>
              <w:rPr/>
              <w:t> </w:t>
            </w:r>
          </w:p>
        </w:tc>
        <w:tc>
          <w:tcPr>
            <w:tcW w:w="1473"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pBdr>
                <w:top w:val="double" w:sz="6" w:space="1" w:color="000000"/>
              </w:pBdr>
              <w:bidi w:val="0"/>
              <w:spacing w:before="0" w:after="0"/>
              <w:jc w:val="left"/>
              <w:rPr/>
            </w:pPr>
            <w:r>
              <w:rPr/>
              <w:t> </w:t>
            </w:r>
          </w:p>
        </w:tc>
        <w:tc>
          <w:tcPr>
            <w:tcW w:w="2281"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0" w:type="dxa"/>
            <w:tcBorders/>
            <w:vAlign w:val="center"/>
          </w:tcPr>
          <w:p>
            <w:pPr>
              <w:pStyle w:val="TableContents"/>
              <w:pBdr>
                <w:top w:val="double" w:sz="6" w:space="1" w:color="000000"/>
              </w:pBdr>
              <w:bidi w:val="0"/>
              <w:spacing w:before="0" w:after="0"/>
              <w:jc w:val="left"/>
              <w:rPr/>
            </w:pPr>
            <w:r>
              <w:rPr/>
              <w:t> </w:t>
            </w:r>
          </w:p>
        </w:tc>
        <w:tc>
          <w:tcPr>
            <w:tcW w:w="2450" w:type="dxa"/>
            <w:tcBorders/>
            <w:vAlign w:val="center"/>
          </w:tcPr>
          <w:p>
            <w:pPr>
              <w:pStyle w:val="TableContents"/>
              <w:pBdr>
                <w:top w:val="double" w:sz="6" w:space="1" w:color="000000"/>
              </w:pBdr>
              <w:bidi w:val="0"/>
              <w:spacing w:before="0" w:after="0"/>
              <w:jc w:val="left"/>
              <w:rPr/>
            </w:pPr>
            <w:r>
              <w:rPr/>
              <w:t> </w:t>
            </w:r>
          </w:p>
        </w:tc>
        <w:tc>
          <w:tcPr>
            <w:tcW w:w="77"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p>
      <w:pPr>
        <w:pStyle w:val="TextBody"/>
        <w:bidi w:val="0"/>
        <w:spacing w:before="0" w:after="0"/>
        <w:jc w:val="left"/>
        <w:rPr>
          <w:rFonts w:ascii="Times New Roman" w:hAnsi="Times New Roman"/>
          <w:sz w:val="16"/>
        </w:rPr>
      </w:pPr>
      <w:r>
        <w:rPr>
          <w:rFonts w:ascii="Times New Roman" w:hAnsi="Times New Roman"/>
          <w:sz w:val="16"/>
        </w:rPr>
        <w:t xml:space="preserve">Note: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average price paid per ADS repurchased represents the consideration we pay for the corresponding repurchases, excluding the commission fees we paid to the execution broker for the implementation of the share repurchase program.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520" w:type="dxa"/>
        <w:jc w:val="left"/>
        <w:tblInd w:w="0" w:type="dxa"/>
        <w:tblLayout w:type="fixed"/>
        <w:tblCellMar>
          <w:top w:w="0" w:type="dxa"/>
          <w:left w:w="0" w:type="dxa"/>
          <w:bottom w:w="0" w:type="dxa"/>
          <w:right w:w="0" w:type="dxa"/>
        </w:tblCellMar>
      </w:tblPr>
      <w:tblGrid>
        <w:gridCol w:w="1175"/>
        <w:gridCol w:w="5345"/>
      </w:tblGrid>
      <w:tr>
        <w:trPr/>
        <w:tc>
          <w:tcPr>
            <w:tcW w:w="1175" w:type="dxa"/>
            <w:tcBorders/>
            <w:vAlign w:val="center"/>
          </w:tcPr>
          <w:p>
            <w:pPr>
              <w:pStyle w:val="TableContents"/>
              <w:bidi w:val="0"/>
              <w:spacing w:before="0" w:after="283"/>
              <w:jc w:val="left"/>
              <w:rPr>
                <w:b/>
              </w:rPr>
            </w:pPr>
            <w:bookmarkStart w:id="29" w:name="toc907177_24"/>
            <w:bookmarkEnd w:id="29"/>
            <w:r>
              <w:rPr>
                <w:b/>
              </w:rPr>
              <w:t>ITEM 16F.</w:t>
            </w:r>
          </w:p>
        </w:tc>
        <w:tc>
          <w:tcPr>
            <w:tcW w:w="53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CHANGE IN REGISTRANT’S CERTIFYING ACCOUNTANT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1205"/>
        <w:gridCol w:w="2735"/>
      </w:tblGrid>
      <w:tr>
        <w:trPr/>
        <w:tc>
          <w:tcPr>
            <w:tcW w:w="1205" w:type="dxa"/>
            <w:tcBorders/>
            <w:vAlign w:val="center"/>
          </w:tcPr>
          <w:p>
            <w:pPr>
              <w:pStyle w:val="TableContents"/>
              <w:bidi w:val="0"/>
              <w:spacing w:before="0" w:after="283"/>
              <w:jc w:val="left"/>
              <w:rPr>
                <w:b/>
              </w:rPr>
            </w:pPr>
            <w:bookmarkStart w:id="30" w:name="toc907177_25"/>
            <w:bookmarkEnd w:id="30"/>
            <w:r>
              <w:rPr>
                <w:b/>
              </w:rPr>
              <w:t>ITEM 16G.</w:t>
            </w:r>
          </w:p>
        </w:tc>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CORPORATE GOVERNANCE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Section 303A.01 of the NYSE Listed Company Manual requires a NYSE-listed company to have a majority of independent directors. Section 303A.08 of the NYSE Listed Company Manual also requires a NYSE-listed company to obtain its shareholders’ approval when an equity compensation arrangement is established or materially amended. Section 303A.00 of the NYSE Listed Company Manual permits a foreign private issuer like our company to follow home country practice in certain corporate governance matters. Pursuant to such exception granted to foreign private issuers, we have followed our home country practice with respect to the composition of our board of directors and approval for adoption and material amendment to our equity-based compensation arrangements. In these respects, and in other respects if we choose to follow home country practice in other respects in the future, our shareholders may be afforded less protection than they otherwise would under the NYSE corporate governance listing standards applicable to U.S. domestic issuers. See “Item 3. Key Information—D. Risk Factors—Risks Relating to Our Ordinary Shares and ADSs—As a company incorporated in the Cayman Islands, we are permitted to adopt certain home country practices in relation to corporate governance matters. These practices may afford less protection to shareholders than they would enjoy if we complied fully with the NYSE corporate governance listing standards.” </w:t>
      </w:r>
    </w:p>
    <w:p>
      <w:pPr>
        <w:pStyle w:val="TextBody"/>
        <w:bidi w:val="0"/>
        <w:spacing w:before="240" w:after="0"/>
        <w:jc w:val="left"/>
        <w:rPr>
          <w:rFonts w:ascii="Times New Roman" w:hAnsi="Times New Roman"/>
          <w:sz w:val="20"/>
        </w:rPr>
      </w:pPr>
      <w:r>
        <w:rPr>
          <w:rFonts w:ascii="Times New Roman" w:hAnsi="Times New Roman"/>
          <w:sz w:val="20"/>
        </w:rPr>
        <w:t xml:space="preserve">Other than the home country practices described above, we are not aware of any significant differences between our corporate governance practices and those followed by domestic companies under the NYSE Listed Company Manual.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1205"/>
        <w:gridCol w:w="2705"/>
      </w:tblGrid>
      <w:tr>
        <w:trPr/>
        <w:tc>
          <w:tcPr>
            <w:tcW w:w="1205" w:type="dxa"/>
            <w:tcBorders/>
            <w:vAlign w:val="center"/>
          </w:tcPr>
          <w:p>
            <w:pPr>
              <w:pStyle w:val="TableContents"/>
              <w:bidi w:val="0"/>
              <w:spacing w:before="0" w:after="283"/>
              <w:jc w:val="left"/>
              <w:rPr>
                <w:b/>
              </w:rPr>
            </w:pPr>
            <w:bookmarkStart w:id="31" w:name="toc907177_26"/>
            <w:bookmarkEnd w:id="31"/>
            <w:r>
              <w:rPr>
                <w:b/>
              </w:rPr>
              <w:t>ITEM 16H.</w:t>
            </w:r>
          </w:p>
        </w:tc>
        <w:tc>
          <w:tcPr>
            <w:tcW w:w="27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MINE SAFETY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1115"/>
        <w:gridCol w:w="7970"/>
      </w:tblGrid>
      <w:tr>
        <w:trPr/>
        <w:tc>
          <w:tcPr>
            <w:tcW w:w="1115" w:type="dxa"/>
            <w:tcBorders/>
            <w:vAlign w:val="center"/>
          </w:tcPr>
          <w:p>
            <w:pPr>
              <w:pStyle w:val="TableContents"/>
              <w:bidi w:val="0"/>
              <w:spacing w:before="0" w:after="283"/>
              <w:jc w:val="left"/>
              <w:rPr>
                <w:b/>
              </w:rPr>
            </w:pPr>
            <w:bookmarkStart w:id="32" w:name="toc907177_27"/>
            <w:bookmarkEnd w:id="32"/>
            <w:r>
              <w:rPr>
                <w:b/>
              </w:rPr>
              <w:t>ITEM 16I.</w:t>
            </w:r>
          </w:p>
        </w:tc>
        <w:tc>
          <w:tcPr>
            <w:tcW w:w="7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DISCLOSURE REGARDING FOREIGN JURISDICTIONS THAT PREVENT INSPECTIONS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940" w:type="dxa"/>
        <w:jc w:val="left"/>
        <w:tblInd w:w="0" w:type="dxa"/>
        <w:tblLayout w:type="fixed"/>
        <w:tblCellMar>
          <w:top w:w="0" w:type="dxa"/>
          <w:left w:w="0" w:type="dxa"/>
          <w:bottom w:w="0" w:type="dxa"/>
          <w:right w:w="0" w:type="dxa"/>
        </w:tblCellMar>
      </w:tblPr>
      <w:tblGrid>
        <w:gridCol w:w="1145"/>
        <w:gridCol w:w="2795"/>
      </w:tblGrid>
      <w:tr>
        <w:trPr/>
        <w:tc>
          <w:tcPr>
            <w:tcW w:w="1145" w:type="dxa"/>
            <w:tcBorders/>
            <w:vAlign w:val="center"/>
          </w:tcPr>
          <w:p>
            <w:pPr>
              <w:pStyle w:val="TableContents"/>
              <w:bidi w:val="0"/>
              <w:spacing w:before="0" w:after="0"/>
              <w:jc w:val="left"/>
              <w:rPr>
                <w:b/>
                <w:spacing w:val="0"/>
              </w:rPr>
            </w:pPr>
            <w:bookmarkStart w:id="33" w:name="toc907177_28"/>
            <w:bookmarkEnd w:id="33"/>
            <w:r>
              <w:rPr>
                <w:b/>
                <w:spacing w:val="0"/>
              </w:rPr>
              <w:t>ITEM 16J.</w:t>
            </w:r>
          </w:p>
        </w:tc>
        <w:tc>
          <w:tcPr>
            <w:tcW w:w="279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INSIDER TRADING POLICIES </w:t>
            </w:r>
          </w:p>
        </w:tc>
      </w:tr>
    </w:tbl>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board of directors has established insider trading policies and procedures to provide guidance on the purchases, sales, and other dispositions of our securities by our directors, officers, employees and other relevant persons, with the goal of promoting compliance with applicable insider trading laws, rules and regulations, and the listing standards of New York Stock Exchange. </w:t>
      </w:r>
    </w:p>
    <w:p>
      <w:pPr>
        <w:pStyle w:val="TextBody"/>
        <w:bidi w:val="0"/>
        <w:spacing w:before="240" w:after="0"/>
        <w:jc w:val="left"/>
        <w:rPr>
          <w:rFonts w:ascii="Times New Roman" w:hAnsi="Times New Roman"/>
          <w:sz w:val="20"/>
        </w:rPr>
      </w:pPr>
      <w:r>
        <w:rPr>
          <w:rFonts w:ascii="Times New Roman" w:hAnsi="Times New Roman"/>
          <w:sz w:val="20"/>
        </w:rPr>
        <w:t xml:space="preserve">The Amended and Restated Statement of Policies Governing Material,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Non-Public</w:t>
      </w:r>
    </w:p>
    <w:p>
      <w:pPr>
        <w:pStyle w:val="TextBody"/>
        <w:bidi w:val="0"/>
        <w:spacing w:before="240" w:after="0"/>
        <w:jc w:val="left"/>
        <w:rPr>
          <w:rFonts w:ascii="Times New Roman" w:hAnsi="Times New Roman"/>
          <w:sz w:val="20"/>
        </w:rPr>
      </w:pPr>
      <w:r>
        <w:rPr>
          <w:rFonts w:ascii="Times New Roman" w:hAnsi="Times New Roman"/>
          <w:sz w:val="20"/>
        </w:rPr>
        <w:t xml:space="preserve">Information and the Prevention of Insider Trading is filed as Exhibit 11.2 to this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20-F.</w:t>
      </w:r>
    </w:p>
    <w:p>
      <w:pPr>
        <w:pStyle w:val="TextBody"/>
        <w:bidi w:val="0"/>
        <w:spacing w:before="0" w:after="0"/>
        <w:jc w:val="left"/>
        <w:rPr>
          <w:spacing w:val="0"/>
        </w:rPr>
      </w:pPr>
      <w:r>
        <w:rPr>
          <w:spacing w:val="0"/>
        </w:rPr>
        <w:t> </w:t>
      </w:r>
    </w:p>
    <w:tbl>
      <w:tblPr>
        <w:tblW w:w="2950" w:type="dxa"/>
        <w:jc w:val="left"/>
        <w:tblInd w:w="0" w:type="dxa"/>
        <w:tblLayout w:type="fixed"/>
        <w:tblCellMar>
          <w:top w:w="0" w:type="dxa"/>
          <w:left w:w="0" w:type="dxa"/>
          <w:bottom w:w="0" w:type="dxa"/>
          <w:right w:w="0" w:type="dxa"/>
        </w:tblCellMar>
      </w:tblPr>
      <w:tblGrid>
        <w:gridCol w:w="1205"/>
        <w:gridCol w:w="1745"/>
      </w:tblGrid>
      <w:tr>
        <w:trPr/>
        <w:tc>
          <w:tcPr>
            <w:tcW w:w="1205" w:type="dxa"/>
            <w:tcBorders/>
            <w:vAlign w:val="center"/>
          </w:tcPr>
          <w:p>
            <w:pPr>
              <w:pStyle w:val="TableContents"/>
              <w:bidi w:val="0"/>
              <w:spacing w:before="0" w:after="0"/>
              <w:jc w:val="left"/>
              <w:rPr>
                <w:b/>
                <w:spacing w:val="0"/>
              </w:rPr>
            </w:pPr>
            <w:bookmarkStart w:id="34" w:name="toc907177_29"/>
            <w:bookmarkEnd w:id="34"/>
            <w:r>
              <w:rPr>
                <w:b/>
                <w:spacing w:val="0"/>
              </w:rPr>
              <w:t>ITEM 16K.</w:t>
            </w:r>
          </w:p>
        </w:tc>
        <w:tc>
          <w:tcPr>
            <w:tcW w:w="17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CYBERSECURITY </w:t>
            </w:r>
          </w:p>
        </w:tc>
      </w:tr>
    </w:tbl>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Risk Management and Strategy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 have implemented robust processes for assessing, identifying, and managing material risks from cybersecurity threats and monitoring the prevention, detection, mitigation, and remediation of material cybersecurity incident. We have also integrated cybersecurity risk management into our overall enterprise risk management system. </w:t>
      </w:r>
    </w:p>
    <w:p>
      <w:pPr>
        <w:pStyle w:val="TextBody"/>
        <w:bidi w:val="0"/>
        <w:spacing w:before="240" w:after="0"/>
        <w:jc w:val="left"/>
        <w:rPr>
          <w:rFonts w:ascii="Times New Roman" w:hAnsi="Times New Roman"/>
          <w:sz w:val="20"/>
        </w:rPr>
      </w:pPr>
      <w:r>
        <w:rPr>
          <w:rFonts w:ascii="Times New Roman" w:hAnsi="Times New Roman"/>
          <w:sz w:val="20"/>
        </w:rPr>
        <w:t xml:space="preserve">We have established a dynamic and multi-layered cybersecurity defense system to effectively mitigate both internal and external cybersecurity threats. This comprehensive system spans multiple security domains, including network, host, and application layers. It integrates a range of security capabilities such as threat defense, continuous monitoring, </w:t>
      </w:r>
    </w:p>
    <w:p>
      <w:pPr>
        <w:pStyle w:val="TextBody"/>
        <w:bidi w:val="0"/>
        <w:spacing w:before="240" w:after="0"/>
        <w:jc w:val="left"/>
        <w:rPr>
          <w:rFonts w:ascii="Times New Roman" w:hAnsi="Times New Roman"/>
          <w:spacing w:val="0"/>
          <w:sz w:val="20"/>
        </w:rPr>
      </w:pPr>
      <w:r>
        <w:rPr>
          <w:rFonts w:ascii="Times New Roman" w:hAnsi="Times New Roman"/>
          <w:spacing w:val="0"/>
          <w:sz w:val="20"/>
        </w:rPr>
        <w:t>in-depth</w:t>
      </w:r>
    </w:p>
    <w:p>
      <w:pPr>
        <w:pStyle w:val="TextBody"/>
        <w:bidi w:val="0"/>
        <w:spacing w:before="240" w:after="0"/>
        <w:jc w:val="left"/>
        <w:rPr>
          <w:rFonts w:ascii="Times New Roman" w:hAnsi="Times New Roman"/>
          <w:sz w:val="20"/>
        </w:rPr>
      </w:pPr>
      <w:r>
        <w:rPr>
          <w:rFonts w:ascii="Times New Roman" w:hAnsi="Times New Roman"/>
          <w:sz w:val="20"/>
        </w:rPr>
        <w:t xml:space="preserve">analysis, and rapid response. Our approach to managing cybersecurity risks and safeguarding sensitive data is multi-faceted, involving technological safeguards, procedural protocols, a rigorous program of surveillance on our corporate network and the connections with any third-party service providers, ongoing internal and external evaluations of our security measures implemented towards internal and external resources, a solid incident response framework, and regular cybersecurity training sessions for our employees. Our cybersecurity department is actively engaged in continuous monitoring of our applications, platforms, and infrastructure to ensure prompt identification and response to potential issues, including emerging </w:t>
      </w:r>
    </w:p>
    <w:p>
      <w:pPr>
        <w:pStyle w:val="TextBody"/>
        <w:bidi w:val="0"/>
        <w:spacing w:before="240" w:after="0"/>
        <w:jc w:val="left"/>
        <w:rPr>
          <w:rFonts w:ascii="Times New Roman" w:hAnsi="Times New Roman"/>
          <w:sz w:val="20"/>
        </w:rPr>
      </w:pPr>
      <w:r>
        <w:rPr>
          <w:rFonts w:ascii="Times New Roman" w:hAnsi="Times New Roman"/>
          <w:sz w:val="20"/>
        </w:rPr>
        <w:t xml:space="preserve">cybersecurity </w:t>
      </w:r>
    </w:p>
    <w:p>
      <w:pPr>
        <w:pStyle w:val="TextBody"/>
        <w:bidi w:val="0"/>
        <w:spacing w:before="240" w:after="0"/>
        <w:jc w:val="left"/>
        <w:rPr>
          <w:rFonts w:ascii="Times New Roman" w:hAnsi="Times New Roman"/>
          <w:sz w:val="20"/>
        </w:rPr>
      </w:pPr>
      <w:r>
        <w:rPr>
          <w:rFonts w:ascii="Times New Roman" w:hAnsi="Times New Roman"/>
          <w:sz w:val="20"/>
        </w:rPr>
        <w:t xml:space="preserve">threats.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We do not engage any third parties in connection with the processes for assessing, identifying, and managing material risks from cybersecurity threats. 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 xml:space="preserve">Governance </w:t>
      </w:r>
    </w:p>
    <w:p>
      <w:pPr>
        <w:pStyle w:val="TextBody"/>
        <w:bidi w:val="0"/>
        <w:spacing w:before="120" w:after="0"/>
        <w:jc w:val="left"/>
        <w:rPr>
          <w:rFonts w:ascii="Times New Roman" w:hAnsi="Times New Roman"/>
          <w:sz w:val="20"/>
        </w:rPr>
      </w:pPr>
      <w:r>
        <w:rPr>
          <w:rFonts w:ascii="Times New Roman" w:hAnsi="Times New Roman"/>
          <w:sz w:val="20"/>
        </w:rPr>
        <w:t xml:space="preserve">Our nominating and corporate governance committee of our board of directors is responsible for overseeing our company’s cybersecurity risk management and be informed on risks from cybersecurity threats. Our nominating and corporate governance committee will review, approve, and maintain oversight of the disclosure (i)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6-K</w:t>
      </w:r>
    </w:p>
    <w:p>
      <w:pPr>
        <w:pStyle w:val="TextBody"/>
        <w:bidi w:val="0"/>
        <w:spacing w:before="120" w:after="0"/>
        <w:jc w:val="left"/>
        <w:rPr>
          <w:rFonts w:ascii="Times New Roman" w:hAnsi="Times New Roman"/>
          <w:sz w:val="20"/>
        </w:rPr>
      </w:pPr>
      <w:r>
        <w:rPr>
          <w:rFonts w:ascii="Times New Roman" w:hAnsi="Times New Roman"/>
          <w:sz w:val="20"/>
        </w:rPr>
        <w:t xml:space="preserve">for material cybersecurity incidents (if any) and (ii) relating to cybersecurity matters in the periodic reports (including annual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20-F)</w:t>
      </w:r>
    </w:p>
    <w:p>
      <w:pPr>
        <w:pStyle w:val="TextBody"/>
        <w:bidi w:val="0"/>
        <w:spacing w:before="120" w:after="0"/>
        <w:jc w:val="left"/>
        <w:rPr>
          <w:rFonts w:ascii="Times New Roman" w:hAnsi="Times New Roman"/>
          <w:sz w:val="20"/>
        </w:rPr>
      </w:pPr>
      <w:r>
        <w:rPr>
          <w:rFonts w:ascii="Times New Roman" w:hAnsi="Times New Roman"/>
          <w:sz w:val="20"/>
        </w:rPr>
        <w:t xml:space="preserve">of our company. In addition, on the management level, we have established a disclosure committee and designated specific personnel, including certain executive officers and the person in charge of our cybersecurity matters who has experience in dealing with confidentiality-related cybersecurity issues, to oversee and manage cybersecurity related matters and formulate policies as necessary. Pursuant to the internal controls and procedures in connection with cybersecurity, our disclosure committee reports to our board of directors will assess from time to time regarding its assessment, identification, and management on material risks from cybersecurity threats happened in the ordinary course of our business operations. If a cybersecurity incident occurs, our disclosure committee will immediately organize relevant personnel for internal assessment and, depending on the situation, seek the opinions of external experts and legal advisors. If it is determined that the incident could potentially be a material cybersecurity event, our disclosure committee will immediately report the investigation and assessment results to our board of directors within two/three business days and our board of directors will decide on the relevant response measures and whether any disclosure is necessary. If such disclosure is determined to be necessary, our disclosure committee will promptly prepare disclosure material for review and approval by our board of directors before it is disseminated to the public. </w:t>
      </w:r>
    </w:p>
    <w:p>
      <w:pPr>
        <w:pStyle w:val="TextBody"/>
        <w:bidi w:val="0"/>
        <w:spacing w:before="0" w:after="0"/>
        <w:jc w:val="left"/>
        <w:rPr>
          <w:spacing w:val="0"/>
        </w:rPr>
      </w:pPr>
      <w:r>
        <w:rPr>
          <w:spacing w:val="0"/>
        </w:rPr>
        <w:t> </w:t>
      </w:r>
    </w:p>
    <w:p>
      <w:pPr>
        <w:pStyle w:val="TextBody"/>
        <w:bidi w:val="0"/>
        <w:jc w:val="center"/>
        <w:rPr>
          <w:rFonts w:ascii="Times New Roman" w:hAnsi="Times New Roman"/>
          <w:spacing w:val="0"/>
          <w:sz w:val="20"/>
        </w:rPr>
      </w:pPr>
      <w:r>
        <w:rPr>
          <w:rFonts w:ascii="Times New Roman" w:hAnsi="Times New Roman"/>
          <w:spacing w:val="0"/>
          <w:sz w:val="20"/>
        </w:rPr>
        <w:t xml:space="preserve">165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5" w:name="toc907177_30"/>
      <w:bookmarkEnd w:id="35"/>
      <w:r>
        <w:rPr>
          <w:rFonts w:ascii="Times New Roman" w:hAnsi="Times New Roman"/>
          <w:b/>
          <w:sz w:val="20"/>
        </w:rPr>
        <w:t xml:space="preserve">PART III </w:t>
      </w:r>
    </w:p>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1025"/>
        <w:gridCol w:w="2540"/>
      </w:tblGrid>
      <w:tr>
        <w:trPr/>
        <w:tc>
          <w:tcPr>
            <w:tcW w:w="1025" w:type="dxa"/>
            <w:tcBorders/>
            <w:vAlign w:val="center"/>
          </w:tcPr>
          <w:p>
            <w:pPr>
              <w:pStyle w:val="TableContents"/>
              <w:bidi w:val="0"/>
              <w:spacing w:before="0" w:after="283"/>
              <w:jc w:val="left"/>
              <w:rPr>
                <w:b/>
              </w:rPr>
            </w:pPr>
            <w:bookmarkStart w:id="36" w:name="toc907177_31"/>
            <w:bookmarkEnd w:id="36"/>
            <w:r>
              <w:rPr>
                <w:b/>
              </w:rPr>
              <w:t>ITEM 17.</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We have elected to provide financial statements pursuant to Item 18. </w:t>
      </w:r>
    </w:p>
    <w:p>
      <w:pPr>
        <w:pStyle w:val="TextBody"/>
        <w:bidi w:val="0"/>
        <w:spacing w:before="0" w:after="0"/>
        <w:jc w:val="left"/>
        <w:rPr/>
      </w:pPr>
      <w:r>
        <w:rPr/>
        <w:t> </w:t>
      </w:r>
    </w:p>
    <w:tbl>
      <w:tblPr>
        <w:tblW w:w="3565" w:type="dxa"/>
        <w:jc w:val="left"/>
        <w:tblInd w:w="0" w:type="dxa"/>
        <w:tblLayout w:type="fixed"/>
        <w:tblCellMar>
          <w:top w:w="0" w:type="dxa"/>
          <w:left w:w="0" w:type="dxa"/>
          <w:bottom w:w="0" w:type="dxa"/>
          <w:right w:w="0" w:type="dxa"/>
        </w:tblCellMar>
      </w:tblPr>
      <w:tblGrid>
        <w:gridCol w:w="1025"/>
        <w:gridCol w:w="2540"/>
      </w:tblGrid>
      <w:tr>
        <w:trPr/>
        <w:tc>
          <w:tcPr>
            <w:tcW w:w="1025" w:type="dxa"/>
            <w:tcBorders/>
            <w:vAlign w:val="center"/>
          </w:tcPr>
          <w:p>
            <w:pPr>
              <w:pStyle w:val="TableContents"/>
              <w:bidi w:val="0"/>
              <w:spacing w:before="0" w:after="283"/>
              <w:jc w:val="left"/>
              <w:rPr>
                <w:b/>
              </w:rPr>
            </w:pPr>
            <w:bookmarkStart w:id="37" w:name="toc907177_32"/>
            <w:bookmarkEnd w:id="37"/>
            <w:r>
              <w:rPr>
                <w:b/>
              </w:rPr>
              <w:t>ITEM 18.</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of Vipshop Holdings Limited are included at the end of this annual report. </w:t>
      </w:r>
    </w:p>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1025"/>
        <w:gridCol w:w="1025"/>
      </w:tblGrid>
      <w:tr>
        <w:trPr/>
        <w:tc>
          <w:tcPr>
            <w:tcW w:w="1025" w:type="dxa"/>
            <w:tcBorders/>
            <w:vAlign w:val="center"/>
          </w:tcPr>
          <w:p>
            <w:pPr>
              <w:pStyle w:val="TableContents"/>
              <w:bidi w:val="0"/>
              <w:spacing w:before="0" w:after="283"/>
              <w:jc w:val="left"/>
              <w:rPr>
                <w:b/>
              </w:rPr>
            </w:pPr>
            <w:bookmarkStart w:id="38" w:name="toc907177_33"/>
            <w:bookmarkEnd w:id="38"/>
            <w:r>
              <w:rPr>
                <w:b/>
              </w:rPr>
              <w:t>ITEM 19.</w:t>
            </w:r>
          </w:p>
        </w:tc>
        <w:tc>
          <w:tcPr>
            <w:tcW w:w="1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Document</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4">
              <w:r>
                <w:rPr>
                  <w:rStyle w:val="InternetLink"/>
                </w:rPr>
                <w:t xml:space="preserve">Second Amended and Restated Memorandum and Articles of Association of the Registrant adopted by the shareholders of the Registrant on September 15, 2014 (incorporated by reference to Exhibit 1.2 to our annual report on Form 20-F (File No. 001-35454) filed with the Securities and Exchange Commission on April 16, 2021)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5">
              <w:r>
                <w:rPr>
                  <w:rStyle w:val="InternetLink"/>
                </w:rPr>
                <w:t xml:space="preserve">Form of Ordinary Share Certificate of the Registrant (incorporated by reference to Exhibit 4.1 to our registration statement on Form F-1 (File No. 333-179581), as amended, initially filed with the Securities and Exchange Commission on February 17, 2012)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6">
              <w:r>
                <w:rPr>
                  <w:rStyle w:val="InternetLink"/>
                </w:rPr>
                <w:t xml:space="preserve">Deposit Agreement among the Registrant, the depositary and all holders of the American Depositary Receipts of the Registrant, dated as of March 22, 2012 (incorporated by reference to Exhibit 4.3 to our registration statement on Form S-8 (File No. 333-181559) filed with the Securities and Exchange Commission on May 21, 2012)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7">
              <w:r>
                <w:rPr>
                  <w:rStyle w:val="InternetLink"/>
                </w:rPr>
                <w:t xml:space="preserve">Form of Amendment to Deposit Agreement among the Registrant, the depositary and all holders of the American Depositary Receipts of the Registrant (incorporated by reference to Exhibit 99.(A)(2) to the registration statement on Form F-6EF filed by Deutsche Bank Trust Company Americas with the Securities and Exchange Commission on October 21, 2014)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2.4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8">
              <w:r>
                <w:rPr>
                  <w:rStyle w:val="InternetLink"/>
                </w:rPr>
                <w:t xml:space="preserve">Description of Securities (incorporated by reference to Exhibit 2.4 to our annual report on Form 20-F (File No. 001-35454) filed with the Securities and Exchange Commission on April 19, 2023)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9">
              <w:r>
                <w:rPr>
                  <w:rStyle w:val="InternetLink"/>
                </w:rPr>
                <w:t xml:space="preserve">2011 Stock Incentive Plan (incorporated by reference to Exhibit 10.1 to our registration statement on Form F-1 (File No. 333-179581), as amended, initially filed with the Securities and Exchange Commission on February 17, 2012)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0">
              <w:r>
                <w:rPr>
                  <w:rStyle w:val="InternetLink"/>
                </w:rPr>
                <w:t xml:space="preserve">2012 Share Incentive Plan (incorporated by reference to Exhibit 10.11 to our registration statement on Form F-1 (File No. 333-179581), as amended, initially filed with the Securities and Exchange Commission on February 17, 2012)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1">
              <w:r>
                <w:rPr>
                  <w:rStyle w:val="InternetLink"/>
                </w:rPr>
                <w:t xml:space="preserve">Amended and Restated 2014 Share Incentive Plan (incorporated by reference to Exhibit 99.2 to our current report on Form 6-K (File No. 001-35454) filed with the Securities and Exchange Commission on August 20, 2024)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2">
              <w:r>
                <w:rPr>
                  <w:rStyle w:val="InternetLink"/>
                </w:rPr>
                <w:t xml:space="preserve">Form of Employment Agreement between the Registrant and the executives of the Registrant (incorporated by reference to Exhibit 10.2 to our registration statement on Form F-1 (File No. 333-179581), as amended, initially filed with the Securities and Exchange Commission on February 17, 2012)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4.5</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3">
              <w:r>
                <w:rPr>
                  <w:rStyle w:val="InternetLink"/>
                </w:rPr>
                <w:t xml:space="preserve">Form of Exclusive Business Cooperation Agreement between a wholly-owned subsidiary of the Registrant and a consolidated variable interest entity, as currently in effect, and a schedule of all executed exclusive business cooperation agreements adopting the same form in respect of a consolidated variable interest entity (incorporated by reference to Exhibit 4.5 to our annual report on Form 20-F (File No. 001-35454) filed with the Securities and Exchange Commission on April 18, 2024)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4.6</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r:id="rId14">
              <w:r>
                <w:rPr>
                  <w:rStyle w:val="InternetLink"/>
                </w:rPr>
                <w:t xml:space="preserve">Form of Equity Interest Pledge Agreement among a wholly-owned subsidiary of the Registrant, a consolidated variable interest entity, and shareholders of the consolidated variable interest entity, as currently in effect, and a schedule of all executed equity interest pledge agreements adopting the same form in respect of a consolidated variable interest entity (incorporated by reference to Exhibit 4.6 to our annual report on Form 20-F (File No. 001-35454) filed with the Securities and Exchange Commission on April 18, 2024)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677"/>
        <w:gridCol w:w="120"/>
        <w:gridCol w:w="9408"/>
      </w:tblGrid>
      <w:tr>
        <w:trPr/>
        <w:tc>
          <w:tcPr>
            <w:tcW w:w="6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08" w:type="dxa"/>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Document</w:t>
            </w:r>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4.7</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r:id="rId15">
              <w:r>
                <w:rPr>
                  <w:rStyle w:val="InternetLink"/>
                </w:rPr>
                <w:t xml:space="preserve">Form of Exclusive Option Agreement among a wholly-owned subsidiary of the Registrant, a consolidated variable interest entity, and shareholders of the consolidated variable interest entity, as currently in effect, and a schedule of all executed exclusive option agreements adopting the same form in respect of a consolidated variable interest entity (incorporated by reference to Exhibit 4.7 to our annual report on Form 20-F (File No. 001-35454) filed with the Securities and Exchange Commission on April 18, 2024)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4.8</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r:id="rId16">
              <w:r>
                <w:rPr>
                  <w:rStyle w:val="InternetLink"/>
                </w:rPr>
                <w:t xml:space="preserve">Form of Power of Attorney by shareholders of a consolidated variable interest entity, as currently in effect, and a schedule of all executed powers of attorney adopting the same form in respect of a consolidated variable interest entity (incorporated by reference to Exhibit 4.8 to our annual report on Form 20-F (File No. 001-35454) filed with the Securities and Exchange Commission on April 18, 2024)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4.9</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r:id="rId17">
              <w:r>
                <w:rPr>
                  <w:rStyle w:val="InternetLink"/>
                </w:rPr>
                <w:t xml:space="preserve">Form of Loan Agreement between a wholly-owned subsidiary of the Registrant and a consolidated variable interest entity, as currently in effect, and a schedule of all executed loan agreements adopting the same form in respect of a consolidated variable interest entity (incorporated by reference to Exhibit 4.9 to our annual report on Form 20-F (File No. 001-35454) filed with the Securities and Exchange Commission on April 18, 2024)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4.10</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r:id="rId18">
              <w:r>
                <w:rPr>
                  <w:rStyle w:val="InternetLink"/>
                </w:rPr>
                <w:t xml:space="preserve">English translation of Debt Assignment and Set-off Agreement dated October 27, 2023 among Arthur Xiaobo Hong, Chan Huang and Vipshop (China) Co., Ltd. (incorporated by reference to Exhibit 4.10 to our annual report on Form 20-F (File No. 001-35454) filed with the Securities and Exchange Commission on April 18, 2024)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4.11</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r:id="rId19">
              <w:r>
                <w:rPr>
                  <w:rStyle w:val="InternetLink"/>
                </w:rPr>
                <w:t xml:space="preserve">Form of Indemnification Agreement between the Registrant and its directors and officers (incorporated by reference to Exhibit 10.10 to our registration statement on Form F-1 (File No. 333-179581), as amended, initially filed with the Securities and Exchange Commission on February 17, 2012)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4.12</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r:id="rId20">
              <w:r>
                <w:rPr>
                  <w:rStyle w:val="InternetLink"/>
                </w:rPr>
                <w:t xml:space="preserve">Investor Rights Agreement dated December 29, 2017 among the Registrant, Mr. Eric Ya Shen, Mr. Arthur Xiaobo Hong, Elegant Motion Holdings Limited, High Vivacity Holdings Limited, Windcreek Limited and Tencent Mobility Limited (incorporated by reference to Exhibit 3 to Schedule 13D (File No. 005-86788) filed by Tencent Holdings Limited with the Securities and Exchange Commission on January 8, 2018)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4.13†</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r:id="rId21">
              <w:r>
                <w:rPr>
                  <w:rStyle w:val="InternetLink"/>
                </w:rPr>
                <w:t xml:space="preserve">Strategic Business Cooperation Agreement dated November 25, 2019 between the Registrant and SF Holding Co., Ltd. (incorporated by reference to Exhibit 4.16 to our annual report on Form 20-F (File No. 001-35454) filed with the Securities and Exchange Commission on April 27, 2020)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4.14†</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r:id="rId22">
              <w:r>
                <w:rPr>
                  <w:rStyle w:val="InternetLink"/>
                </w:rPr>
                <w:t xml:space="preserve">English translation of Supplemental Agreement to Strategic Business Cooperation Agreement dated October 26, 2023 between the Registrant and SF Holding Co., Ltd. (incorporated by reference to Exhibit 4.14 to our annual report on Form 20-F (File No. 001-35454) filed with the Securities and Exchange Commission on April 18, 2024)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8.1*</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w:anchor="d907177dex81.htm">
              <w:r>
                <w:rPr>
                  <w:rStyle w:val="InternetLink"/>
                </w:rPr>
                <w:t xml:space="preserve">List of Significant Consolidated Entities of the Registrant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11.1</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r:id="rId23">
              <w:r>
                <w:rPr>
                  <w:rStyle w:val="InternetLink"/>
                </w:rPr>
                <w:t xml:space="preserve">Amended and Restated Code of Business Conduct and Ethics of the Registrant (incorporated by reference to Exhibit 11.1 to our annual report on Form 20-F (File No. 001-35454) filed with the Securities and Exchange Commission on April 19, 2023)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11.2*</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w:anchor="d907177dex112.htm">
              <w:r>
                <w:rPr>
                  <w:rStyle w:val="InternetLink"/>
                </w:rPr>
                <w:t xml:space="preserve">Amended and Restated Statement of Policies Governing Material Non-Public Information and the Prevention of Insider Trading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12.1*</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w:anchor="d907177dex121.htm">
              <w:r>
                <w:rPr>
                  <w:rStyle w:val="InternetLink"/>
                </w:rPr>
                <w:t xml:space="preserve">Chief Executive Officer Certification Pursuant to Section 302 of the Sarbanes-Oxley Act of 2002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12.2*</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w:anchor="d907177dex122.htm">
              <w:r>
                <w:rPr>
                  <w:rStyle w:val="InternetLink"/>
                </w:rPr>
                <w:t xml:space="preserve">Chief Financial Officer Certification Pursuant to Section 302 of the Sarbanes-Oxley Act of 2002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13.1**</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w:anchor="d907177dex131.htm">
              <w:r>
                <w:rPr>
                  <w:rStyle w:val="InternetLink"/>
                </w:rPr>
                <w:t xml:space="preserve">Chief Executive Officer Certification Pursuant to Section 906 of the Sarbanes-Oxley Act of 2002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13.2**</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w:anchor="d907177dex132.htm">
              <w:r>
                <w:rPr>
                  <w:rStyle w:val="InternetLink"/>
                </w:rPr>
                <w:t xml:space="preserve">Chief Financial Officer Certification Pursuant to Section 906 of the Sarbanes-Oxley Act of 2002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15.1*</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w:anchor="d907177dex151.htm">
              <w:r>
                <w:rPr>
                  <w:rStyle w:val="InternetLink"/>
                </w:rPr>
                <w:t xml:space="preserve">Consent of Deloitte Touche Tohmatsu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15.2*</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w:anchor="d907177dex152.htm">
              <w:r>
                <w:rPr>
                  <w:rStyle w:val="InternetLink"/>
                </w:rPr>
                <w:t xml:space="preserve">Consent of Han Kun Law Offices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15.3*</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w:anchor="d907177dex153.htm">
              <w:r>
                <w:rPr>
                  <w:rStyle w:val="InternetLink"/>
                </w:rPr>
                <w:t xml:space="preserve">Consent of Travers Thorp Alberga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97</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hyperlink r:id="rId24">
              <w:r>
                <w:rPr>
                  <w:rStyle w:val="InternetLink"/>
                </w:rPr>
                <w:t xml:space="preserve">Clawback Policy of the Registrant (incorporated by reference to Exhibit 97 to our annual report on Form 20-F (File No. 001-35454) filed with the Securities and Exchange Commission on April 18, 2024) </w:t>
              </w:r>
            </w:hyperlink>
          </w:p>
        </w:tc>
      </w:tr>
      <w:tr>
        <w:trPr/>
        <w:tc>
          <w:tcPr>
            <w:tcW w:w="677" w:type="dxa"/>
            <w:tcBorders/>
            <w:vAlign w:val="center"/>
          </w:tcPr>
          <w:p>
            <w:pPr>
              <w:pStyle w:val="TableContents"/>
              <w:bidi w:val="0"/>
              <w:spacing w:before="0" w:after="283"/>
              <w:jc w:val="left"/>
              <w:rPr>
                <w:sz w:val="4"/>
                <w:szCs w:val="4"/>
              </w:rPr>
            </w:pPr>
            <w:r>
              <w:rPr>
                <w:sz w:val="4"/>
                <w:szCs w:val="4"/>
              </w:rPr>
            </w:r>
          </w:p>
        </w:tc>
        <w:tc>
          <w:tcPr>
            <w:tcW w:w="9528" w:type="dxa"/>
            <w:gridSpan w:val="2"/>
            <w:tcBorders/>
            <w:vAlign w:val="center"/>
          </w:tcPr>
          <w:p>
            <w:pPr>
              <w:pStyle w:val="TableContents"/>
              <w:bidi w:val="0"/>
              <w:spacing w:before="0" w:after="283"/>
              <w:jc w:val="left"/>
              <w:rPr>
                <w:sz w:val="4"/>
                <w:szCs w:val="4"/>
              </w:rPr>
            </w:pPr>
            <w:r>
              <w:rPr>
                <w:sz w:val="4"/>
                <w:szCs w:val="4"/>
              </w:rPr>
            </w:r>
          </w:p>
        </w:tc>
      </w:tr>
      <w:tr>
        <w:trPr/>
        <w:tc>
          <w:tcPr>
            <w:tcW w:w="677" w:type="dxa"/>
            <w:tcBorders/>
            <w:vAlign w:val="center"/>
          </w:tcPr>
          <w:p>
            <w:pPr>
              <w:pStyle w:val="TableContents"/>
              <w:bidi w:val="0"/>
              <w:spacing w:before="0" w:after="283"/>
              <w:jc w:val="left"/>
              <w:rPr/>
            </w:pPr>
            <w:r>
              <w:rPr/>
              <w:t>101.INS*</w:t>
            </w:r>
          </w:p>
        </w:tc>
        <w:tc>
          <w:tcPr>
            <w:tcW w:w="120" w:type="dxa"/>
            <w:tcBorders/>
            <w:vAlign w:val="center"/>
          </w:tcPr>
          <w:p>
            <w:pPr>
              <w:pStyle w:val="TableContents"/>
              <w:bidi w:val="0"/>
              <w:spacing w:before="0" w:after="283"/>
              <w:jc w:val="left"/>
              <w:rPr/>
            </w:pPr>
            <w:r>
              <w:rPr/>
              <w:t>  </w:t>
            </w:r>
          </w:p>
        </w:tc>
        <w:tc>
          <w:tcPr>
            <w:tcW w:w="9408" w:type="dxa"/>
            <w:tcBorders/>
            <w:vAlign w:val="center"/>
          </w:tcPr>
          <w:p>
            <w:pPr>
              <w:pStyle w:val="TableContents"/>
              <w:bidi w:val="0"/>
              <w:spacing w:before="0" w:after="283"/>
              <w:jc w:val="left"/>
              <w:rPr/>
            </w:pPr>
            <w:r>
              <w:rPr/>
              <w:t>Inline XBRL Instance Document-this instance document does not appear in the Interactive Data File because its XBRL tags are embedded within the Inline XBRL document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8815" w:type="dxa"/>
        <w:jc w:val="left"/>
        <w:tblInd w:w="0" w:type="dxa"/>
        <w:tblLayout w:type="fixed"/>
        <w:tblCellMar>
          <w:top w:w="0" w:type="dxa"/>
          <w:left w:w="0" w:type="dxa"/>
          <w:bottom w:w="0" w:type="dxa"/>
          <w:right w:w="0" w:type="dxa"/>
        </w:tblCellMar>
      </w:tblPr>
      <w:tblGrid>
        <w:gridCol w:w="1070"/>
        <w:gridCol w:w="120"/>
        <w:gridCol w:w="762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101.SCH*</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Inline XBRL Taxonomy Extension Schema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101.CAL*</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Inline XBRL Taxonomy Extension Calculation Linkbase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101.DEF*</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Inline XBRL Taxonomy Extension Definition Linkbase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101.LAB*</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Inline XBRL Taxonomy Extension Label Linkbase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101.PRE*</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Inline XBRL Taxonomy Extension Presentation Linkbase Document</w:t>
            </w:r>
          </w:p>
        </w:tc>
      </w:tr>
      <w:tr>
        <w:trPr/>
        <w:tc>
          <w:tcPr>
            <w:tcW w:w="107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16"/>
        </w:rPr>
      </w:pPr>
      <w:r>
        <w:rPr>
          <w:rFonts w:ascii="Times New Roman" w:hAnsi="Times New Roman"/>
          <w:sz w:val="16"/>
        </w:rPr>
        <w:t xml:space="preserve">Notes: </w:t>
      </w:r>
    </w:p>
    <w:p>
      <w:pPr>
        <w:pStyle w:val="TextBody"/>
        <w:bidi w:val="0"/>
        <w:spacing w:before="0" w:after="0"/>
        <w:jc w:val="left"/>
        <w:rPr/>
      </w:pPr>
      <w:r>
        <w:rPr/>
        <w:t> </w:t>
      </w:r>
    </w:p>
    <w:tbl>
      <w:tblPr>
        <w:tblW w:w="3715" w:type="dxa"/>
        <w:jc w:val="left"/>
        <w:tblInd w:w="0" w:type="dxa"/>
        <w:tblLayout w:type="fixed"/>
        <w:tblCellMar>
          <w:top w:w="0" w:type="dxa"/>
          <w:left w:w="0" w:type="dxa"/>
          <w:bottom w:w="0" w:type="dxa"/>
          <w:right w:w="0" w:type="dxa"/>
        </w:tblCellMar>
      </w:tblPr>
      <w:tblGrid>
        <w:gridCol w:w="155"/>
        <w:gridCol w:w="3560"/>
      </w:tblGrid>
      <w:tr>
        <w:trPr/>
        <w:tc>
          <w:tcPr>
            <w:tcW w:w="155" w:type="dxa"/>
            <w:tcBorders/>
            <w:vAlign w:val="center"/>
          </w:tcPr>
          <w:p>
            <w:pPr>
              <w:pStyle w:val="TableContents"/>
              <w:bidi w:val="0"/>
              <w:spacing w:before="0" w:after="283"/>
              <w:jc w:val="left"/>
              <w:rPr/>
            </w:pPr>
            <w:r>
              <w:rPr/>
              <w:t>*</w:t>
            </w:r>
          </w:p>
        </w:tc>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with this annual report on Form 20-F. </w:t>
            </w:r>
          </w:p>
        </w:tc>
      </w:tr>
    </w:tbl>
    <w:tbl>
      <w:tblPr>
        <w:tblW w:w="4225" w:type="dxa"/>
        <w:jc w:val="left"/>
        <w:tblInd w:w="0" w:type="dxa"/>
        <w:tblLayout w:type="fixed"/>
        <w:tblCellMar>
          <w:top w:w="0" w:type="dxa"/>
          <w:left w:w="0" w:type="dxa"/>
          <w:bottom w:w="0" w:type="dxa"/>
          <w:right w:w="0" w:type="dxa"/>
        </w:tblCellMar>
      </w:tblPr>
      <w:tblGrid>
        <w:gridCol w:w="275"/>
        <w:gridCol w:w="3950"/>
      </w:tblGrid>
      <w:tr>
        <w:trPr/>
        <w:tc>
          <w:tcPr>
            <w:tcW w:w="275" w:type="dxa"/>
            <w:tcBorders/>
            <w:vAlign w:val="center"/>
          </w:tcPr>
          <w:p>
            <w:pPr>
              <w:pStyle w:val="TableContents"/>
              <w:bidi w:val="0"/>
              <w:spacing w:before="0" w:after="283"/>
              <w:jc w:val="left"/>
              <w:rPr/>
            </w:pPr>
            <w:r>
              <w:rPr/>
              <w:t>**</w:t>
            </w:r>
          </w:p>
        </w:tc>
        <w:tc>
          <w:tcPr>
            <w:tcW w:w="3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Furnished with this annual report on Form 20-F. </w:t>
            </w:r>
          </w:p>
        </w:tc>
      </w:tr>
    </w:tbl>
    <w:tbl>
      <w:tblPr>
        <w:tblW w:w="7765" w:type="dxa"/>
        <w:jc w:val="left"/>
        <w:tblInd w:w="0" w:type="dxa"/>
        <w:tblLayout w:type="fixed"/>
        <w:tblCellMar>
          <w:top w:w="0" w:type="dxa"/>
          <w:left w:w="0" w:type="dxa"/>
          <w:bottom w:w="0" w:type="dxa"/>
          <w:right w:w="0" w:type="dxa"/>
        </w:tblCellMar>
      </w:tblPr>
      <w:tblGrid>
        <w:gridCol w:w="155"/>
        <w:gridCol w:w="7610"/>
      </w:tblGrid>
      <w:tr>
        <w:trPr/>
        <w:tc>
          <w:tcPr>
            <w:tcW w:w="155"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Portions of this exhibit have been omitted pursuant to Item 601(b)(10)(iv) of Regulation S-K.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9" w:name="toc907177_34"/>
      <w:bookmarkEnd w:id="39"/>
      <w:r>
        <w:rPr>
          <w:rFonts w:ascii="Times New Roman" w:hAnsi="Times New Roman"/>
          <w:b/>
          <w:sz w:val="20"/>
        </w:rPr>
        <w:t xml:space="preserve">SIGNATURES </w:t>
      </w:r>
    </w:p>
    <w:p>
      <w:pPr>
        <w:pStyle w:val="TextBody"/>
        <w:bidi w:val="0"/>
        <w:spacing w:before="120" w:after="0"/>
        <w:jc w:val="left"/>
        <w:rPr>
          <w:rFonts w:ascii="Times New Roman" w:hAnsi="Times New Roman"/>
          <w:sz w:val="20"/>
        </w:rPr>
      </w:pPr>
      <w:r>
        <w:rPr>
          <w:rFonts w:ascii="Times New Roman" w:hAnsi="Times New Roman"/>
          <w:sz w:val="20"/>
        </w:rPr>
        <w:t xml:space="preserve">The registrant hereby certifies that it meets all of the requirements for filing on Form 20-F and that it has duly caused and authorized the undersigned to sign this annual report on its behalf. </w:t>
      </w:r>
    </w:p>
    <w:p>
      <w:pPr>
        <w:pStyle w:val="TextBody"/>
        <w:bidi w:val="0"/>
        <w:spacing w:before="0" w:after="0"/>
        <w:jc w:val="left"/>
        <w:rPr/>
      </w:pPr>
      <w:r>
        <w:rPr/>
        <w:t> </w:t>
      </w:r>
    </w:p>
    <w:tbl>
      <w:tblPr>
        <w:tblW w:w="9103" w:type="dxa"/>
        <w:jc w:val="left"/>
        <w:tblInd w:w="0" w:type="dxa"/>
        <w:tblLayout w:type="fixed"/>
        <w:tblCellMar>
          <w:top w:w="0" w:type="dxa"/>
          <w:left w:w="0" w:type="dxa"/>
          <w:bottom w:w="0" w:type="dxa"/>
          <w:right w:w="0" w:type="dxa"/>
        </w:tblCellMar>
      </w:tblPr>
      <w:tblGrid>
        <w:gridCol w:w="1700"/>
        <w:gridCol w:w="60"/>
        <w:gridCol w:w="23"/>
        <w:gridCol w:w="60"/>
        <w:gridCol w:w="365"/>
        <w:gridCol w:w="60"/>
        <w:gridCol w:w="650"/>
        <w:gridCol w:w="60"/>
        <w:gridCol w:w="6125"/>
      </w:tblGrid>
      <w:tr>
        <w:trPr/>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125" w:type="dxa"/>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260" w:type="dxa"/>
            <w:gridSpan w:val="5"/>
            <w:tcBorders/>
            <w:vAlign w:val="center"/>
          </w:tcPr>
          <w:p>
            <w:pPr>
              <w:pStyle w:val="TableContents"/>
              <w:bidi w:val="0"/>
              <w:spacing w:before="0" w:after="283"/>
              <w:jc w:val="left"/>
              <w:rPr>
                <w:b/>
              </w:rPr>
            </w:pPr>
            <w:r>
              <w:rPr>
                <w:b/>
              </w:rPr>
              <w:t>Vipshop Holdings Limited</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6895" w:type="dxa"/>
            <w:gridSpan w:val="4"/>
            <w:tcBorders/>
            <w:vAlign w:val="center"/>
          </w:tcPr>
          <w:p>
            <w:pPr>
              <w:pStyle w:val="TableContents"/>
              <w:bidi w:val="0"/>
              <w:spacing w:before="0" w:after="283"/>
              <w:jc w:val="left"/>
              <w:rPr>
                <w:sz w:val="4"/>
                <w:szCs w:val="4"/>
              </w:rPr>
            </w:pPr>
            <w:r>
              <w:rPr>
                <w:sz w:val="4"/>
                <w:szCs w:val="4"/>
              </w:rPr>
            </w:r>
          </w:p>
        </w:tc>
      </w:tr>
      <w:tr>
        <w:trPr/>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835" w:type="dxa"/>
            <w:gridSpan w:val="3"/>
            <w:tcBorders>
              <w:bottom w:val="single" w:sz="6" w:space="0" w:color="000000"/>
            </w:tcBorders>
            <w:tcMar>
              <w:bottom w:w="28" w:type="dxa"/>
            </w:tcMar>
            <w:vAlign w:val="center"/>
          </w:tcPr>
          <w:p>
            <w:pPr>
              <w:pStyle w:val="TableContents"/>
              <w:bidi w:val="0"/>
              <w:spacing w:before="0" w:after="283"/>
              <w:jc w:val="left"/>
              <w:rPr/>
            </w:pPr>
            <w:r>
              <w:rPr/>
              <w:t>/s/ Eric Ya Shen</w:t>
            </w:r>
          </w:p>
        </w:tc>
      </w:tr>
      <w:tr>
        <w:trPr/>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Eric Ya Shen</w:t>
            </w:r>
          </w:p>
        </w:tc>
      </w:tr>
      <w:tr>
        <w:trPr/>
        <w:tc>
          <w:tcPr>
            <w:tcW w:w="1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April 17, 2025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pPr>
            <w:r>
              <w:rPr/>
              <w:t>Chairman of the Board of Directors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VIPSHOP HOLDINGS LIMITED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 xml:space="preserve">INDEX TO THE CONSOLIDATED FINANCIAL STATEMENTS </w:t>
      </w:r>
    </w:p>
    <w:p>
      <w:pPr>
        <w:pStyle w:val="TextBody"/>
        <w:bidi w:val="0"/>
        <w:spacing w:before="0" w:after="0"/>
        <w:jc w:val="left"/>
        <w:rPr>
          <w:spacing w:val="0"/>
        </w:rPr>
      </w:pPr>
      <w:r>
        <w:rPr>
          <w:spacing w:val="0"/>
        </w:rPr>
        <w:t> </w:t>
      </w:r>
    </w:p>
    <w:tbl>
      <w:tblPr>
        <w:tblW w:w="10105" w:type="dxa"/>
        <w:jc w:val="left"/>
        <w:tblInd w:w="0" w:type="dxa"/>
        <w:tblLayout w:type="fixed"/>
        <w:tblCellMar>
          <w:top w:w="0" w:type="dxa"/>
          <w:left w:w="0" w:type="dxa"/>
          <w:bottom w:w="0" w:type="dxa"/>
          <w:right w:w="0" w:type="dxa"/>
        </w:tblCellMar>
      </w:tblPr>
      <w:tblGrid>
        <w:gridCol w:w="9380"/>
        <w:gridCol w:w="120"/>
        <w:gridCol w:w="60"/>
        <w:gridCol w:w="470"/>
        <w:gridCol w:w="75"/>
      </w:tblGrid>
      <w:tr>
        <w:trPr/>
        <w:tc>
          <w:tcPr>
            <w:tcW w:w="93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38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530" w:type="dxa"/>
            <w:gridSpan w:val="2"/>
            <w:tcBorders/>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0"/>
              <w:jc w:val="left"/>
              <w:rPr>
                <w:spacing w:val="0"/>
              </w:rPr>
            </w:pPr>
            <w:r>
              <w:rPr>
                <w:spacing w:val="0"/>
              </w:rPr>
              <w:t> </w:t>
            </w:r>
          </w:p>
        </w:tc>
      </w:tr>
      <w:tr>
        <w:trPr/>
        <w:tc>
          <w:tcPr>
            <w:tcW w:w="9380" w:type="dxa"/>
            <w:tcBorders/>
            <w:vAlign w:val="center"/>
          </w:tcPr>
          <w:p>
            <w:pPr>
              <w:pStyle w:val="TableContents"/>
              <w:bidi w:val="0"/>
              <w:spacing w:before="0" w:after="0"/>
              <w:jc w:val="left"/>
              <w:rPr/>
            </w:pPr>
            <w:hyperlink w:anchor="fin907177_1">
              <w:r>
                <w:rPr>
                  <w:rStyle w:val="InternetLink"/>
                  <w:rFonts w:ascii="Times New Roman" w:hAnsi="Times New Roman"/>
                  <w:spacing w:val="0"/>
                  <w:sz w:val="20"/>
                </w:rPr>
                <w:t>Report of Independent Registered Public Accounting Firm</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F-2</w:t>
            </w:r>
          </w:p>
        </w:tc>
        <w:tc>
          <w:tcPr>
            <w:tcW w:w="75" w:type="dxa"/>
            <w:tcBorders/>
            <w:vAlign w:val="center"/>
          </w:tcPr>
          <w:p>
            <w:pPr>
              <w:pStyle w:val="TableContents"/>
              <w:bidi w:val="0"/>
              <w:spacing w:before="0" w:after="0"/>
              <w:jc w:val="left"/>
              <w:rPr>
                <w:spacing w:val="0"/>
              </w:rPr>
            </w:pPr>
            <w:r>
              <w:rPr>
                <w:spacing w:val="0"/>
              </w:rPr>
              <w:t> </w:t>
            </w:r>
          </w:p>
        </w:tc>
      </w:tr>
      <w:tr>
        <w:trPr/>
        <w:tc>
          <w:tcPr>
            <w:tcW w:w="9380" w:type="dxa"/>
            <w:tcBorders/>
            <w:vAlign w:val="center"/>
          </w:tcPr>
          <w:p>
            <w:pPr>
              <w:pStyle w:val="TableContents"/>
              <w:bidi w:val="0"/>
              <w:spacing w:before="0" w:after="0"/>
              <w:jc w:val="left"/>
              <w:rPr/>
            </w:pPr>
            <w:hyperlink w:anchor="fin907177_2">
              <w:r>
                <w:rPr>
                  <w:rStyle w:val="InternetLink"/>
                  <w:rFonts w:ascii="Times New Roman" w:hAnsi="Times New Roman"/>
                  <w:spacing w:val="0"/>
                  <w:sz w:val="20"/>
                </w:rPr>
                <w:t>Consolidated Balance Sheets as of December 31, 2023 and 2024</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F-5</w:t>
            </w:r>
          </w:p>
        </w:tc>
        <w:tc>
          <w:tcPr>
            <w:tcW w:w="75" w:type="dxa"/>
            <w:tcBorders/>
            <w:vAlign w:val="center"/>
          </w:tcPr>
          <w:p>
            <w:pPr>
              <w:pStyle w:val="TableContents"/>
              <w:bidi w:val="0"/>
              <w:spacing w:before="0" w:after="0"/>
              <w:jc w:val="left"/>
              <w:rPr>
                <w:spacing w:val="0"/>
              </w:rPr>
            </w:pPr>
            <w:r>
              <w:rPr>
                <w:spacing w:val="0"/>
              </w:rPr>
              <w:t> </w:t>
            </w:r>
          </w:p>
        </w:tc>
      </w:tr>
      <w:tr>
        <w:trPr/>
        <w:tc>
          <w:tcPr>
            <w:tcW w:w="9380" w:type="dxa"/>
            <w:tcBorders/>
            <w:vAlign w:val="center"/>
          </w:tcPr>
          <w:p>
            <w:pPr>
              <w:pStyle w:val="TableContents"/>
              <w:bidi w:val="0"/>
              <w:spacing w:before="0" w:after="0"/>
              <w:jc w:val="left"/>
              <w:rPr/>
            </w:pPr>
            <w:hyperlink w:anchor="fin907177_3">
              <w:r>
                <w:rPr>
                  <w:rStyle w:val="InternetLink"/>
                  <w:rFonts w:ascii="Times New Roman" w:hAnsi="Times New Roman"/>
                  <w:spacing w:val="0"/>
                  <w:sz w:val="20"/>
                </w:rPr>
                <w:t>Consolidated Statements of Income and Comprehensive Income for each of the three years in the period ended</w:t>
                <w:br/>
                <w:t>December 31, 2024</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F-8</w:t>
            </w:r>
          </w:p>
        </w:tc>
        <w:tc>
          <w:tcPr>
            <w:tcW w:w="75" w:type="dxa"/>
            <w:tcBorders/>
            <w:vAlign w:val="center"/>
          </w:tcPr>
          <w:p>
            <w:pPr>
              <w:pStyle w:val="TableContents"/>
              <w:bidi w:val="0"/>
              <w:spacing w:before="0" w:after="0"/>
              <w:jc w:val="left"/>
              <w:rPr>
                <w:spacing w:val="0"/>
              </w:rPr>
            </w:pPr>
            <w:r>
              <w:rPr>
                <w:spacing w:val="0"/>
              </w:rPr>
              <w:t> </w:t>
            </w:r>
          </w:p>
        </w:tc>
      </w:tr>
      <w:tr>
        <w:trPr/>
        <w:tc>
          <w:tcPr>
            <w:tcW w:w="9380" w:type="dxa"/>
            <w:tcBorders/>
            <w:vAlign w:val="center"/>
          </w:tcPr>
          <w:p>
            <w:pPr>
              <w:pStyle w:val="TableContents"/>
              <w:bidi w:val="0"/>
              <w:spacing w:before="0" w:after="0"/>
              <w:jc w:val="left"/>
              <w:rPr/>
            </w:pPr>
            <w:hyperlink w:anchor="fin907177_4">
              <w:r>
                <w:rPr>
                  <w:rStyle w:val="InternetLink"/>
                  <w:rFonts w:ascii="Times New Roman" w:hAnsi="Times New Roman"/>
                  <w:spacing w:val="0"/>
                  <w:sz w:val="20"/>
                </w:rPr>
                <w:t>Consolidated Statements of Shareholders’ Equity for each of the three years in the period ended December 31, 2024</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F-10</w:t>
            </w:r>
          </w:p>
        </w:tc>
        <w:tc>
          <w:tcPr>
            <w:tcW w:w="75" w:type="dxa"/>
            <w:tcBorders/>
            <w:vAlign w:val="center"/>
          </w:tcPr>
          <w:p>
            <w:pPr>
              <w:pStyle w:val="TableContents"/>
              <w:bidi w:val="0"/>
              <w:spacing w:before="0" w:after="0"/>
              <w:jc w:val="left"/>
              <w:rPr>
                <w:spacing w:val="0"/>
              </w:rPr>
            </w:pPr>
            <w:r>
              <w:rPr>
                <w:spacing w:val="0"/>
              </w:rPr>
              <w:t> </w:t>
            </w:r>
          </w:p>
        </w:tc>
      </w:tr>
      <w:tr>
        <w:trPr/>
        <w:tc>
          <w:tcPr>
            <w:tcW w:w="9380" w:type="dxa"/>
            <w:tcBorders/>
            <w:vAlign w:val="center"/>
          </w:tcPr>
          <w:p>
            <w:pPr>
              <w:pStyle w:val="TableContents"/>
              <w:bidi w:val="0"/>
              <w:spacing w:before="0" w:after="0"/>
              <w:jc w:val="left"/>
              <w:rPr/>
            </w:pPr>
            <w:hyperlink w:anchor="fin907177_5">
              <w:r>
                <w:rPr>
                  <w:rStyle w:val="InternetLink"/>
                  <w:rFonts w:ascii="Times New Roman" w:hAnsi="Times New Roman"/>
                  <w:spacing w:val="0"/>
                  <w:sz w:val="20"/>
                </w:rPr>
                <w:t>Consolidated Statements of Cash Flows for each of the three years in the period ended December 31, 2024</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F-13</w:t>
            </w:r>
          </w:p>
        </w:tc>
        <w:tc>
          <w:tcPr>
            <w:tcW w:w="75" w:type="dxa"/>
            <w:tcBorders/>
            <w:vAlign w:val="center"/>
          </w:tcPr>
          <w:p>
            <w:pPr>
              <w:pStyle w:val="TableContents"/>
              <w:bidi w:val="0"/>
              <w:spacing w:before="0" w:after="0"/>
              <w:jc w:val="left"/>
              <w:rPr>
                <w:spacing w:val="0"/>
              </w:rPr>
            </w:pPr>
            <w:r>
              <w:rPr>
                <w:spacing w:val="0"/>
              </w:rPr>
              <w:t> </w:t>
            </w:r>
          </w:p>
        </w:tc>
      </w:tr>
      <w:tr>
        <w:trPr/>
        <w:tc>
          <w:tcPr>
            <w:tcW w:w="9380" w:type="dxa"/>
            <w:tcBorders/>
            <w:vAlign w:val="center"/>
          </w:tcPr>
          <w:p>
            <w:pPr>
              <w:pStyle w:val="TableContents"/>
              <w:bidi w:val="0"/>
              <w:spacing w:before="0" w:after="0"/>
              <w:jc w:val="left"/>
              <w:rPr/>
            </w:pPr>
            <w:hyperlink w:anchor="fin907177_6">
              <w:r>
                <w:rPr>
                  <w:rStyle w:val="InternetLink"/>
                  <w:rFonts w:ascii="Times New Roman" w:hAnsi="Times New Roman"/>
                  <w:spacing w:val="0"/>
                  <w:sz w:val="20"/>
                </w:rPr>
                <w:t>Notes to the Consolidated Financial Statements</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F-16</w:t>
            </w:r>
          </w:p>
        </w:tc>
        <w:tc>
          <w:tcPr>
            <w:tcW w:w="75" w:type="dxa"/>
            <w:tcBorders/>
            <w:vAlign w:val="center"/>
          </w:tcPr>
          <w:p>
            <w:pPr>
              <w:pStyle w:val="TableContents"/>
              <w:bidi w:val="0"/>
              <w:spacing w:before="0" w:after="0"/>
              <w:jc w:val="left"/>
              <w:rPr>
                <w:spacing w:val="0"/>
              </w:rPr>
            </w:pPr>
            <w:r>
              <w:rPr>
                <w:spacing w:val="0"/>
              </w:rPr>
              <w:t> </w:t>
            </w:r>
          </w:p>
        </w:tc>
      </w:tr>
      <w:tr>
        <w:trPr/>
        <w:tc>
          <w:tcPr>
            <w:tcW w:w="9380" w:type="dxa"/>
            <w:tcBorders/>
            <w:vAlign w:val="center"/>
          </w:tcPr>
          <w:p>
            <w:pPr>
              <w:pStyle w:val="TableContents"/>
              <w:bidi w:val="0"/>
              <w:spacing w:before="0" w:after="0"/>
              <w:jc w:val="left"/>
              <w:rPr/>
            </w:pPr>
            <w:hyperlink w:anchor="fin907177_7">
              <w:r>
                <w:rPr>
                  <w:rStyle w:val="InternetLink"/>
                  <w:rFonts w:ascii="Times New Roman" w:hAnsi="Times New Roman"/>
                  <w:spacing w:val="0"/>
                  <w:sz w:val="20"/>
                </w:rPr>
                <w:t>Schedule I—Condensed Financial Information of the Parent Company</w:t>
              </w:r>
            </w:hyperlink>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470" w:type="dxa"/>
            <w:tcBorders/>
            <w:vAlign w:val="center"/>
          </w:tcPr>
          <w:p>
            <w:pPr>
              <w:pStyle w:val="TableContents"/>
              <w:bidi w:val="0"/>
              <w:spacing w:before="0" w:after="0"/>
              <w:jc w:val="right"/>
              <w:rPr>
                <w:spacing w:val="0"/>
              </w:rPr>
            </w:pPr>
            <w:r>
              <w:rPr>
                <w:spacing w:val="0"/>
              </w:rPr>
              <w:t>F-6</w:t>
            </w:r>
          </w:p>
          <w:p>
            <w:pPr>
              <w:pStyle w:val="TableContents"/>
              <w:bidi w:val="0"/>
              <w:spacing w:before="0" w:after="0"/>
              <w:jc w:val="right"/>
              <w:rPr>
                <w:spacing w:val="0"/>
              </w:rPr>
            </w:pPr>
            <w:r>
              <w:rPr>
                <w:spacing w:val="0"/>
              </w:rPr>
              <w:t>1</w:t>
            </w:r>
          </w:p>
        </w:tc>
        <w:tc>
          <w:tcPr>
            <w:tcW w:w="75"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To the Shareholders and the Board of Directors of Vipshop Holdings Limited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Opinion on the Financial Statements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We have audited the accompanying consolidated balance sheets of Vipshop Holdings Limited and its subsidiaries, (collectively referred to as the “Company”) as of December 31, 2024 and 2023, the related consolidated statements of income and comprehensive income, shareholders’ equity, and cash flows, for each of the three years in the period ended December 31, 2024, the related notes and the schedule listed in the Schedule I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We have also audited, in accordance with the standards of the Public Company Accounting Oversight Board (United States) (PCAOB), the Company’s internal control over financial reporting as of December 31, 2024, based on criteria established in Internal Control—Integrated Framework (2013) issued by the Committee of Sponsoring Organizations of the Treadway Commission and our report dated April 17, 2025, expressed an unqualified opinion on the Company’s internal control over financial reporting.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Convenience translation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Our audits also comprehended the translation of Renminbi amounts into United States dollar amounts and, in our opinion, such translation has been made in conformity with the basis stated in Note 2(z) to the financial statements. Such United States dollar amounts are presented solely for the convenience of readers in the United States of America.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Critical Audit Matter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Critical Audit Matter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(Continued)</w:t>
      </w:r>
    </w:p>
    <w:p>
      <w:pPr>
        <w:pStyle w:val="TextBody"/>
        <w:bidi w:val="0"/>
        <w:spacing w:before="0" w:after="0"/>
        <w:jc w:val="left"/>
        <w:rPr>
          <w:spacing w:val="0"/>
        </w:rPr>
      </w:pPr>
      <w:r>
        <w:rPr>
          <w:spacing w:val="0"/>
        </w:rPr>
        <w:t> </w:t>
      </w:r>
    </w:p>
    <w:p>
      <w:pPr>
        <w:pStyle w:val="TextBody"/>
        <w:bidi w:val="0"/>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Inventory—Inventory write-down—Refer to Note 2(g) to the financial statements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Critical Audit Matter Description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The Company had inventories of RMB5.03 billion as of December 31, 2024, which represented approximately 13.3% of the Company’s total current assets. Inventories are valued at cost or net realizable value. Inventory write-downs are recorded when estimated future net realizable values are less than costs as well as estimated based on significant management estimates and assumptions used to determine the write-down including the percentages that are applied to different aging and condition of the merchandizes within each product category. In determining the write-down percentages on inventories, the Company takes into considerations of factors such as the inventories’ aging, historical trends, forecasted demands, expected selling prices and future promotional events. Changes in the write-down percentages could have a significant impact on the recorded balance of inventories in the financial statements. </w:t>
      </w:r>
    </w:p>
    <w:p>
      <w:pPr>
        <w:pStyle w:val="TextBody"/>
        <w:bidi w:val="0"/>
        <w:spacing w:before="240" w:after="0"/>
        <w:jc w:val="left"/>
        <w:rPr>
          <w:rFonts w:ascii="Times New Roman" w:hAnsi="Times New Roman"/>
          <w:spacing w:val="0"/>
          <w:sz w:val="20"/>
        </w:rPr>
      </w:pPr>
      <w:r>
        <w:rPr>
          <w:rFonts w:ascii="Times New Roman" w:hAnsi="Times New Roman"/>
          <w:spacing w:val="0"/>
          <w:sz w:val="20"/>
        </w:rPr>
        <w:t xml:space="preserve">Auditing management’s estimates related to the inventory write-down percentages involves subjective and complex auditors’ judgments on the appropriateness of the percentages applied.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How the Critical Audit Matter Was Addressed in the Audit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Our audit procedures related to management’s valuation of inventories included the following, among others: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tested the design and implementation, as well as the operating effectiveness of internal controls over management’s assessment of inventories write-downs;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evaluated the appropriateness and consistency of management’s methods and assumptions used in developing their estimates of the inventories write-downs;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made inquiries with management to obtain an understanding of the planned promotion events, forecasted demand, expected sales trends in the upcoming promotion cycles and evaluate whether these factors have been appropriately incorporated into the valuation assessments;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tested the accuracy and completeness of the underlying data utilized in the management’s write-down assessment, including categorization of the inventories and the aging distribution of the inventory by category; </w:t>
            </w:r>
          </w:p>
        </w:tc>
      </w:tr>
    </w:tbl>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spacing w:val="0"/>
              </w:rPr>
            </w:pPr>
            <w:r>
              <w:rPr>
                <w:spacing w:val="0"/>
              </w:rPr>
              <w:t> </w:t>
            </w:r>
          </w:p>
        </w:tc>
        <w:tc>
          <w:tcPr>
            <w:tcW w:w="110" w:type="dxa"/>
            <w:tcBorders/>
            <w:vAlign w:val="center"/>
          </w:tcPr>
          <w:p>
            <w:pPr>
              <w:pStyle w:val="TableContents"/>
              <w:bidi w:val="0"/>
              <w:spacing w:before="0" w:after="0"/>
              <w:jc w:val="left"/>
              <w:rPr>
                <w:spacing w:val="0"/>
              </w:rPr>
            </w:pPr>
            <w:r>
              <w:rPr>
                <w:spacing w:val="0"/>
              </w:rPr>
              <w:t>•</w:t>
            </w:r>
          </w:p>
        </w:tc>
        <w:tc>
          <w:tcPr>
            <w:tcW w:w="60" w:type="dxa"/>
            <w:tcBorders/>
            <w:vAlign w:val="center"/>
          </w:tcPr>
          <w:p>
            <w:pPr>
              <w:pStyle w:val="TableContents"/>
              <w:bidi w:val="0"/>
              <w:spacing w:before="0" w:after="0"/>
              <w:jc w:val="left"/>
              <w:rPr>
                <w:spacing w:val="0"/>
              </w:rPr>
            </w:pPr>
            <w:r>
              <w:rPr>
                <w:spacing w:val="0"/>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We performed substantive analytical procedure and retrospective review to assess the reasonableness of management’s estimates on write-down percentages by comparing current period trends to historical trends across multiple fiscal periods, including sales trends, inventory aging and gross margin rates to evaluate management’s ability to reasonably estimate inventory write-downs. </w:t>
            </w:r>
          </w:p>
        </w:tc>
      </w:tr>
    </w:tbl>
    <w:p>
      <w:pPr>
        <w:pStyle w:val="TextBody"/>
        <w:bidi w:val="0"/>
        <w:spacing w:before="360" w:after="0"/>
        <w:jc w:val="left"/>
        <w:rPr>
          <w:rFonts w:ascii="Times New Roman" w:hAnsi="Times New Roman"/>
          <w:spacing w:val="0"/>
          <w:sz w:val="20"/>
        </w:rPr>
      </w:pPr>
      <w:r>
        <w:rPr>
          <w:rFonts w:ascii="Times New Roman" w:hAnsi="Times New Roman"/>
          <w:spacing w:val="0"/>
          <w:sz w:val="20"/>
        </w:rPr>
        <w:t xml:space="preserve">/s/ </w:t>
      </w:r>
    </w:p>
    <w:p>
      <w:pPr>
        <w:pStyle w:val="TextBody"/>
        <w:bidi w:val="0"/>
        <w:spacing w:before="360" w:after="0"/>
        <w:jc w:val="left"/>
        <w:rPr>
          <w:rFonts w:ascii="Times New Roman" w:hAnsi="Times New Roman"/>
          <w:sz w:val="20"/>
        </w:rPr>
      </w:pPr>
      <w:r>
        <w:rPr>
          <w:rFonts w:ascii="Times New Roman" w:hAnsi="Times New Roman"/>
          <w:sz w:val="20"/>
        </w:rPr>
        <w:t>Deloitte Touche Tohmatsu</w:t>
      </w:r>
    </w:p>
    <w:p>
      <w:pPr>
        <w:pStyle w:val="TextBody"/>
        <w:bidi w:val="0"/>
        <w:spacing w:before="0" w:after="0"/>
        <w:jc w:val="left"/>
        <w:rPr>
          <w:rFonts w:ascii="Times New Roman" w:hAnsi="Times New Roman"/>
          <w:sz w:val="20"/>
        </w:rPr>
      </w:pPr>
      <w:r>
        <w:rPr>
          <w:rFonts w:ascii="Times New Roman" w:hAnsi="Times New Roman"/>
          <w:sz w:val="20"/>
        </w:rPr>
        <w:t xml:space="preserve">Certified Public Accountants </w:t>
      </w:r>
    </w:p>
    <w:p>
      <w:pPr>
        <w:pStyle w:val="TextBody"/>
        <w:bidi w:val="0"/>
        <w:spacing w:before="0" w:after="0"/>
        <w:jc w:val="left"/>
        <w:rPr>
          <w:rFonts w:ascii="Times New Roman" w:hAnsi="Times New Roman"/>
          <w:sz w:val="20"/>
        </w:rPr>
      </w:pPr>
      <w:r>
        <w:rPr>
          <w:rFonts w:ascii="Times New Roman" w:hAnsi="Times New Roman"/>
          <w:sz w:val="20"/>
        </w:rPr>
        <w:t xml:space="preserve">Hong Kong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April 17, 2025 </w:t>
      </w:r>
    </w:p>
    <w:p>
      <w:pPr>
        <w:pStyle w:val="TextBody"/>
        <w:bidi w:val="0"/>
        <w:spacing w:before="0" w:after="0"/>
        <w:jc w:val="left"/>
        <w:rPr>
          <w:rFonts w:ascii="Times New Roman" w:hAnsi="Times New Roman"/>
          <w:sz w:val="20"/>
        </w:rPr>
      </w:pPr>
      <w:r>
        <w:rPr>
          <w:rFonts w:ascii="Times New Roman" w:hAnsi="Times New Roman"/>
          <w:sz w:val="20"/>
        </w:rPr>
        <w:t xml:space="preserve">We have served as the Company’s auditor since 2011.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To the Shareholders and the Board of Directors of Vipshop Holdings Limited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Opinion on Internal Control over Financial Reporting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We have audited the internal control over financial reporting of Vipshop Holdings Limited and its subsidiaries (collectively referred to as the “Company”) as of December 31, 2024, based on criteria established in Internal Control—Integrated Framework (2013) issued by the Committee of Sponsoring Organizations of the Treadway Commission (COSO). In our opinion, the Company maintained, in all material respects, effective internal control over financial reporting as of December 31, 2024, based on criteria established in Internal Control—Integrated Framework (2013) issued by COSO. </w:t>
      </w:r>
    </w:p>
    <w:p>
      <w:pPr>
        <w:pStyle w:val="TextBody"/>
        <w:bidi w:val="0"/>
        <w:spacing w:before="24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We have also audited, in accordance with the standards of the Public Company Accounting Oversight Board (United States) (PCAOB), the consolidated financial statements as of and for the year ended December 31, 2024, of the Company and our report dated April 17, 2025, expressed an unqualified opinion on those financial statements.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Basis for Opinion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Financing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 </w:t>
      </w:r>
    </w:p>
    <w:p>
      <w:pPr>
        <w:pStyle w:val="TextBody"/>
        <w:bidi w:val="0"/>
        <w:spacing w:before="360" w:after="0"/>
        <w:ind w:left="0" w:right="0" w:hanging="0"/>
        <w:jc w:val="left"/>
        <w:rPr>
          <w:rFonts w:ascii="Times New Roman" w:hAnsi="Times New Roman"/>
          <w:b/>
          <w:spacing w:val="0"/>
          <w:sz w:val="20"/>
        </w:rPr>
      </w:pPr>
      <w:r>
        <w:rPr>
          <w:rFonts w:ascii="Times New Roman" w:hAnsi="Times New Roman"/>
          <w:b/>
          <w:spacing w:val="0"/>
          <w:sz w:val="20"/>
        </w:rPr>
        <w:t xml:space="preserve">Definition and Limitations of Internal Control over Financial Reporting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/s/ Deloitte Touche Tohmatsu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Certified Public Accountants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Hong Kong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April 17, 2025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We have served as the Company’s auditor since 2011.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BALANCE SHEETS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w:t>
      </w:r>
    </w:p>
    <w:p>
      <w:pPr>
        <w:pStyle w:val="TextBody"/>
        <w:bidi w:val="0"/>
        <w:spacing w:before="0" w:after="0"/>
        <w:jc w:val="left"/>
        <w:rPr/>
      </w:pPr>
      <w:r>
        <w:rPr/>
        <w:t> </w:t>
      </w:r>
    </w:p>
    <w:tbl>
      <w:tblPr>
        <w:tblW w:w="7280" w:type="dxa"/>
        <w:jc w:val="left"/>
        <w:tblInd w:w="0" w:type="dxa"/>
        <w:tblLayout w:type="fixed"/>
        <w:tblCellMar>
          <w:top w:w="0" w:type="dxa"/>
          <w:left w:w="0" w:type="dxa"/>
          <w:bottom w:w="0" w:type="dxa"/>
          <w:right w:w="0" w:type="dxa"/>
        </w:tblCellMar>
      </w:tblPr>
      <w:tblGrid>
        <w:gridCol w:w="3245"/>
        <w:gridCol w:w="120"/>
        <w:gridCol w:w="60"/>
        <w:gridCol w:w="1100"/>
        <w:gridCol w:w="60"/>
        <w:gridCol w:w="120"/>
        <w:gridCol w:w="60"/>
        <w:gridCol w:w="1100"/>
        <w:gridCol w:w="60"/>
        <w:gridCol w:w="120"/>
        <w:gridCol w:w="60"/>
        <w:gridCol w:w="1100"/>
        <w:gridCol w:w="75"/>
      </w:tblGrid>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4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Note 2(z)</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25,414,729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26,352,161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3,610,231</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882,637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602,342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82,521</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1,983,201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1,872,756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256,567</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778,767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915,158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125,376</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553,502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548,145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75,096</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 and prepayments,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2,298,612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2,473,050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338,806</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Loan receivables,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942</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5,644,713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5,032,069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689,391</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37,560,598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37,802,559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5,178,930</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16,882,100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18,292,771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2,506,099</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Deposits for property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200,739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164,955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22,599</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10,132,626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10,686,400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1,464,031</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332,821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327,844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44,914</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Investments in equity method investees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2,155,561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2,002,043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274,279</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2,916,189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3,355,489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459,700</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147,669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434,206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59,486</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755,213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755,213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103,464</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685,017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681,029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93,301</w:t>
            </w:r>
          </w:p>
        </w:tc>
        <w:tc>
          <w:tcPr>
            <w:tcW w:w="7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554,061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433,617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59,405</w:t>
            </w:r>
          </w:p>
        </w:tc>
        <w:tc>
          <w:tcPr>
            <w:tcW w:w="7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72,322,594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74,936,126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10,266,208</w:t>
            </w:r>
          </w:p>
        </w:tc>
        <w:tc>
          <w:tcPr>
            <w:tcW w:w="7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CONSOLIDATED BALANCE SHEETS </w:t>
      </w:r>
    </w:p>
    <w:p>
      <w:pPr>
        <w:pStyle w:val="TextBody"/>
        <w:bidi w:val="0"/>
        <w:spacing w:before="0" w:after="0"/>
        <w:jc w:val="center"/>
        <w:rPr>
          <w:rFonts w:ascii="Times New Roman" w:hAnsi="Times New Roman"/>
          <w:sz w:val="20"/>
        </w:rPr>
      </w:pPr>
      <w:r>
        <w:rPr>
          <w:rFonts w:ascii="Times New Roman" w:hAnsi="Times New Roman"/>
          <w:sz w:val="20"/>
        </w:rPr>
        <w:t>(Continued)</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90"/>
        <w:gridCol w:w="120"/>
        <w:gridCol w:w="60"/>
        <w:gridCol w:w="1100"/>
        <w:gridCol w:w="60"/>
        <w:gridCol w:w="120"/>
        <w:gridCol w:w="60"/>
        <w:gridCol w:w="1100"/>
        <w:gridCol w:w="60"/>
        <w:gridCol w:w="120"/>
        <w:gridCol w:w="60"/>
        <w:gridCol w:w="980"/>
        <w:gridCol w:w="75"/>
      </w:tblGrid>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2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Note 2(z)</w:t>
            </w:r>
          </w:p>
        </w:tc>
        <w:tc>
          <w:tcPr>
            <w:tcW w:w="75"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 (Including accounts payable of the consolidated VIEs and VIEs’ subsidiaries without recourse to the Company of RMB3,478 and RMB837 as of December 31, 2023 and 2024,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17,259,395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15,190,560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2,081,098</w:t>
            </w:r>
          </w:p>
        </w:tc>
        <w:tc>
          <w:tcPr>
            <w:tcW w:w="75"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Advances from customers (Including advances from customers of the consolidated VIEs and VIEs’ subsidiaries without recourse to the Company of RMB277,846 and RMB367,640 as of December 31, 2023 and 2024, respectively)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1,689,881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2,035,184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278,819</w:t>
            </w:r>
          </w:p>
        </w:tc>
        <w:tc>
          <w:tcPr>
            <w:tcW w:w="75"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 (Including accrued expenses and other current liabilities of the consolidated VIEs and VIEs’ subsidiaries without recourse to the Company of RMB729,440 and RMB524,165 as of December 31, 2023 and 2024,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9,560,449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9,663,421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1,323,882</w:t>
            </w:r>
          </w:p>
        </w:tc>
        <w:tc>
          <w:tcPr>
            <w:tcW w:w="75"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due to related parties (Including amounts due to related parties of the consolidated VIEs and VIEs’ subsidiaries without recourse to the Company of RMB8,488 and RMB4,975 as of December 31, 2023 and 2024, respectively)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150,373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104,187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14,274</w:t>
            </w:r>
          </w:p>
        </w:tc>
        <w:tc>
          <w:tcPr>
            <w:tcW w:w="75"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 (Including deferred income of the consolidated VIEs and VIEs’ subsidiaries without recourse to the Company of RMB2,575 and RMB1,066 as of December 31, 2023 and 2024,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457,594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476,796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65,321</w:t>
            </w:r>
          </w:p>
        </w:tc>
        <w:tc>
          <w:tcPr>
            <w:tcW w:w="75"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loans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1,425,576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2,399,629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328,748</w:t>
            </w:r>
          </w:p>
        </w:tc>
        <w:tc>
          <w:tcPr>
            <w:tcW w:w="75"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 (Including operating lease liabilities of the consolidated VIEs and VIEs’ subsidiaries without recourse to the Company of RMB5,722 and RMB814 as of December 31, 2023 and 2024,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80,868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57,224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7,840</w:t>
            </w:r>
          </w:p>
        </w:tc>
        <w:tc>
          <w:tcPr>
            <w:tcW w:w="75" w:type="dxa"/>
            <w:tcBorders/>
            <w:shd w:fill="CCEEFF" w:val="clear"/>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30,624,136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29,927,001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4,099,982</w:t>
            </w:r>
          </w:p>
        </w:tc>
        <w:tc>
          <w:tcPr>
            <w:tcW w:w="75" w:type="dxa"/>
            <w:tcBorders/>
            <w:vAlign w:val="center"/>
          </w:tcPr>
          <w:p>
            <w:pPr>
              <w:pStyle w:val="TableContents"/>
              <w:bidi w:val="0"/>
              <w:spacing w:before="0" w:after="283"/>
              <w:jc w:val="left"/>
              <w:rPr/>
            </w:pPr>
            <w:r>
              <w:rPr/>
              <w:t> </w:t>
            </w:r>
          </w:p>
        </w:tc>
      </w:tr>
      <w:tr>
        <w:trPr/>
        <w:tc>
          <w:tcPr>
            <w:tcW w:w="62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CONSOLIDATED BALANCE SHEETS </w:t>
      </w:r>
    </w:p>
    <w:p>
      <w:pPr>
        <w:pStyle w:val="TextBody"/>
        <w:bidi w:val="0"/>
        <w:spacing w:before="0" w:after="0"/>
        <w:jc w:val="center"/>
        <w:rPr>
          <w:rFonts w:ascii="Times New Roman" w:hAnsi="Times New Roman"/>
          <w:sz w:val="20"/>
        </w:rPr>
      </w:pPr>
      <w:r>
        <w:rPr>
          <w:rFonts w:ascii="Times New Roman" w:hAnsi="Times New Roman"/>
          <w:sz w:val="20"/>
        </w:rPr>
        <w:t>(Continued)</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05"/>
        <w:gridCol w:w="120"/>
        <w:gridCol w:w="60"/>
        <w:gridCol w:w="1100"/>
        <w:gridCol w:w="155"/>
        <w:gridCol w:w="60"/>
        <w:gridCol w:w="60"/>
        <w:gridCol w:w="1100"/>
        <w:gridCol w:w="155"/>
        <w:gridCol w:w="60"/>
        <w:gridCol w:w="60"/>
        <w:gridCol w:w="1100"/>
        <w:gridCol w:w="170"/>
      </w:tblGrid>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91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Note 2(z)</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 (Including deferred tax liabilities of the consolidated VIEs and VIEs’ subsidiaries without recourse to the Company of RMB33,823 and RMB1,735 as of December 31, 2023 and 2024,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692,492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783,863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107,389</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income-noncurrent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1,756,949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2,084,038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285,512</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liabilities-noncurrent (Including operating lease liabilities-noncurrent of the consolidated VIEs and VIEs’ subsidiaries without recourse to the Company of RMB784 and RMB24 as of December 31, 2023 and 2024,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689,259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591,995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81,103</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33,762,836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33,386,897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4,573,986</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22)</w:t>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A ordinary shares (US$0.0001 par value, 483,489,642 shares authorized, and 98,877,929 and 100,640,510 shares issued, of which 92,900,247 and 86,982,144 shares were outstanding as of December 31, 2023 and 2024,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B ordinary shares (US$0.0001 par value, 16,510,358 shares authorized, and 15,560,358 and 15,560,358 shares issued and outstanding as of December 31, 2023 and 2024, respectively)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Treasury shares, at cost (5,977,682 and 13,028,013 Class A shares as of December 31, 2023 and 2024,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(3,624,763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(7,042,759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(964,854</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4,444,755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4,912,703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673,038</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36,836,928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42,906,188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5,878,124</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(695,589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(807,394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(110,613</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Vipshop Holdings Limited shareholders’ equity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36,961,404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39,968,813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5,475,706</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1,598,354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1,580,416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216,516</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38,559,758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41,549,229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5,692,222</w:t>
            </w:r>
          </w:p>
        </w:tc>
        <w:tc>
          <w:tcPr>
            <w:tcW w:w="170" w:type="dxa"/>
            <w:tcBorders/>
            <w:shd w:fill="CCEEFF" w:val="clear"/>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equity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72,322,594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74,936,126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10,266,208</w:t>
            </w:r>
          </w:p>
        </w:tc>
        <w:tc>
          <w:tcPr>
            <w:tcW w:w="17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INCOME AND COMPREHENSIVE INCOME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95"/>
        <w:gridCol w:w="120"/>
        <w:gridCol w:w="60"/>
        <w:gridCol w:w="1220"/>
        <w:gridCol w:w="155"/>
        <w:gridCol w:w="60"/>
        <w:gridCol w:w="60"/>
        <w:gridCol w:w="1220"/>
        <w:gridCol w:w="155"/>
        <w:gridCol w:w="60"/>
        <w:gridCol w:w="60"/>
        <w:gridCol w:w="1220"/>
        <w:gridCol w:w="155"/>
        <w:gridCol w:w="60"/>
        <w:gridCol w:w="60"/>
        <w:gridCol w:w="1175"/>
        <w:gridCol w:w="170"/>
      </w:tblGrid>
      <w:tr>
        <w:trPr/>
        <w:tc>
          <w:tcPr>
            <w:tcW w:w="4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2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pPr>
            <w:r>
              <w:rPr/>
              <w:t>Note 2(z)</w:t>
            </w:r>
          </w:p>
        </w:tc>
        <w:tc>
          <w:tcPr>
            <w:tcW w:w="170" w:type="dxa"/>
            <w:tcBorders/>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Product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97,250,078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105,613,485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100,734,550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13,800,577</w:t>
            </w:r>
          </w:p>
        </w:tc>
        <w:tc>
          <w:tcPr>
            <w:tcW w:w="170" w:type="dxa"/>
            <w:tcBorders/>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5,902,411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7,242,535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7,686,282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1,053,016</w:t>
            </w:r>
          </w:p>
        </w:tc>
        <w:tc>
          <w:tcPr>
            <w:tcW w:w="170" w:type="dxa"/>
            <w:tcBorders/>
            <w:shd w:fill="CCEEFF" w:val="clear"/>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net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103,152,489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112,856,020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108,420,832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14,853,593</w:t>
            </w:r>
          </w:p>
        </w:tc>
        <w:tc>
          <w:tcPr>
            <w:tcW w:w="170" w:type="dxa"/>
            <w:tcBorders/>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(81,536,409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(87,135,128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(82,951,178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(11,364,265</w:t>
            </w:r>
          </w:p>
        </w:tc>
        <w:tc>
          <w:tcPr>
            <w:tcW w:w="170" w:type="dxa"/>
            <w:tcBorders/>
            <w:shd w:fill="CCEEFF" w:val="clear"/>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21,616,080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25,720,892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25,469,654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3,489,328</w:t>
            </w:r>
          </w:p>
        </w:tc>
        <w:tc>
          <w:tcPr>
            <w:tcW w:w="170" w:type="dxa"/>
            <w:tcBorders/>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Fulfillment expenses (Including shipping and handling expenses of RMB5,062,808, RMB5,837,096 and RMB5,822,405 for the years ended December 31, 2022, 2023 and 2024, respectively)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(7,247,210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(8,262,004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(8,346,864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(1,143,516</w:t>
            </w:r>
          </w:p>
        </w:tc>
        <w:tc>
          <w:tcPr>
            <w:tcW w:w="170" w:type="dxa"/>
            <w:tcBorders/>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Marketing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(2,831,316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(3,242,215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(2,979,654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(408,211</w:t>
            </w:r>
          </w:p>
        </w:tc>
        <w:tc>
          <w:tcPr>
            <w:tcW w:w="170" w:type="dxa"/>
            <w:tcBorders/>
            <w:shd w:fill="CCEEFF" w:val="clear"/>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Technology and content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(1,605,422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(1,767,530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(1,892,434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(259,262</w:t>
            </w:r>
          </w:p>
        </w:tc>
        <w:tc>
          <w:tcPr>
            <w:tcW w:w="170" w:type="dxa"/>
            <w:tcBorders/>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(4,459,518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(4,146,568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(3,992,657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(546,992</w:t>
            </w:r>
          </w:p>
        </w:tc>
        <w:tc>
          <w:tcPr>
            <w:tcW w:w="170" w:type="dxa"/>
            <w:tcBorders/>
            <w:shd w:fill="CCEEFF" w:val="clear"/>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(16,143,466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(17,418,317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(17,211,609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(2,357,981</w:t>
            </w:r>
          </w:p>
        </w:tc>
        <w:tc>
          <w:tcPr>
            <w:tcW w:w="170" w:type="dxa"/>
            <w:tcBorders/>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724,832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801,560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915,208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125,383</w:t>
            </w:r>
          </w:p>
        </w:tc>
        <w:tc>
          <w:tcPr>
            <w:tcW w:w="170" w:type="dxa"/>
            <w:tcBorders/>
            <w:shd w:fill="CCEEFF" w:val="clear"/>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6,197,446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9,104,135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9,173,253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1,256,730</w:t>
            </w:r>
          </w:p>
        </w:tc>
        <w:tc>
          <w:tcPr>
            <w:tcW w:w="170" w:type="dxa"/>
            <w:tcBorders/>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loss of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(93,904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(19,105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(61,246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(8,391</w:t>
            </w:r>
          </w:p>
        </w:tc>
        <w:tc>
          <w:tcPr>
            <w:tcW w:w="170" w:type="dxa"/>
            <w:tcBorders/>
            <w:shd w:fill="CCEEFF" w:val="clear"/>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(24,258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(22,932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(57,676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(7,902</w:t>
            </w:r>
          </w:p>
        </w:tc>
        <w:tc>
          <w:tcPr>
            <w:tcW w:w="170" w:type="dxa"/>
            <w:tcBorders/>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764,018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780,292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809,792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110,941</w:t>
            </w:r>
          </w:p>
        </w:tc>
        <w:tc>
          <w:tcPr>
            <w:tcW w:w="170" w:type="dxa"/>
            <w:tcBorders/>
            <w:shd w:fill="CCEEFF" w:val="clear"/>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Exchange gain/(loss)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687,871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162,666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(24,813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(3,399</w:t>
            </w:r>
          </w:p>
        </w:tc>
        <w:tc>
          <w:tcPr>
            <w:tcW w:w="170" w:type="dxa"/>
            <w:tcBorders/>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 gain/(loss) and revaluation of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546,031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(18,054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148,170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20,299</w:t>
            </w:r>
          </w:p>
        </w:tc>
        <w:tc>
          <w:tcPr>
            <w:tcW w:w="170" w:type="dxa"/>
            <w:tcBorders/>
            <w:shd w:fill="CCEEFF" w:val="clear"/>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 and share of (loss)income of equity method investees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8,077,204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9,987,002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9,987,480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1,368,278</w:t>
            </w:r>
          </w:p>
        </w:tc>
        <w:tc>
          <w:tcPr>
            <w:tcW w:w="170" w:type="dxa"/>
            <w:tcBorders/>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(1,758,810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(1,866,004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(2,315,515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(317,224</w:t>
            </w:r>
          </w:p>
        </w:tc>
        <w:tc>
          <w:tcPr>
            <w:tcW w:w="170" w:type="dxa"/>
            <w:tcBorders/>
            <w:shd w:fill="CCEEFF" w:val="clear"/>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of (loss)income of equity method investees, net of tax of nil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(6,559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80,301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166,980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22,876</w:t>
            </w:r>
          </w:p>
        </w:tc>
        <w:tc>
          <w:tcPr>
            <w:tcW w:w="170" w:type="dxa"/>
            <w:tcBorders/>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6,311,835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8,201,299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7,838,945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1,073,930</w:t>
            </w:r>
          </w:p>
        </w:tc>
        <w:tc>
          <w:tcPr>
            <w:tcW w:w="170" w:type="dxa"/>
            <w:tcBorders/>
            <w:shd w:fill="CCEEFF" w:val="clear"/>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income attributable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(13,019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(84,675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(99,010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(13,564</w:t>
            </w:r>
          </w:p>
        </w:tc>
        <w:tc>
          <w:tcPr>
            <w:tcW w:w="170" w:type="dxa"/>
            <w:tcBorders/>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Vipshop Holdings Limited’s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6,298,816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8,116,624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7,739,935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1,060,366</w:t>
            </w:r>
          </w:p>
        </w:tc>
        <w:tc>
          <w:tcPr>
            <w:tcW w:w="170" w:type="dxa"/>
            <w:tcBorders/>
            <w:shd w:fill="CCEEFF" w:val="clear"/>
            <w:vAlign w:val="center"/>
          </w:tcPr>
          <w:p>
            <w:pPr>
              <w:pStyle w:val="TableContents"/>
              <w:bidi w:val="0"/>
              <w:spacing w:before="0" w:after="283"/>
              <w:jc w:val="left"/>
              <w:rPr/>
            </w:pPr>
            <w:r>
              <w:rPr/>
              <w:t> </w:t>
            </w:r>
          </w:p>
        </w:tc>
      </w:tr>
      <w:tr>
        <w:trPr/>
        <w:tc>
          <w:tcPr>
            <w:tcW w:w="4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VIPSHOP HOLDINGS LIMITED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CONSOLIDATED STATEMENTS OF INCOME AND COMPREHENSIVE INCOME </w:t>
      </w:r>
    </w:p>
    <w:p>
      <w:pPr>
        <w:pStyle w:val="TextBody"/>
        <w:bidi w:val="0"/>
        <w:spacing w:before="0" w:after="0"/>
        <w:jc w:val="center"/>
        <w:rPr>
          <w:rFonts w:ascii="Times New Roman" w:hAnsi="Times New Roman"/>
          <w:sz w:val="20"/>
        </w:rPr>
      </w:pPr>
      <w:r>
        <w:rPr>
          <w:rFonts w:ascii="Times New Roman" w:hAnsi="Times New Roman"/>
          <w:sz w:val="20"/>
        </w:rPr>
        <w:t>(Continued)</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(All amounts in thousands, except for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50"/>
        <w:gridCol w:w="120"/>
        <w:gridCol w:w="60"/>
        <w:gridCol w:w="1220"/>
        <w:gridCol w:w="155"/>
        <w:gridCol w:w="60"/>
        <w:gridCol w:w="60"/>
        <w:gridCol w:w="1220"/>
        <w:gridCol w:w="155"/>
        <w:gridCol w:w="60"/>
        <w:gridCol w:w="60"/>
        <w:gridCol w:w="1220"/>
        <w:gridCol w:w="155"/>
        <w:gridCol w:w="60"/>
        <w:gridCol w:w="60"/>
        <w:gridCol w:w="1220"/>
        <w:gridCol w:w="170"/>
      </w:tblGrid>
      <w:tr>
        <w:trPr/>
        <w:tc>
          <w:tcPr>
            <w:tcW w:w="4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76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41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41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41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Note 2(z)</w:t>
            </w:r>
          </w:p>
        </w:tc>
        <w:tc>
          <w:tcPr>
            <w:tcW w:w="170" w:type="dxa"/>
            <w:tcBorders/>
            <w:vAlign w:val="center"/>
          </w:tcPr>
          <w:p>
            <w:pPr>
              <w:pStyle w:val="TableContents"/>
              <w:bidi w:val="0"/>
              <w:spacing w:before="0" w:after="283"/>
              <w:jc w:val="left"/>
              <w:rPr/>
            </w:pPr>
            <w:r>
              <w:rPr/>
              <w:t> </w:t>
            </w:r>
          </w:p>
        </w:tc>
      </w:tr>
      <w:tr>
        <w:trPr/>
        <w:tc>
          <w:tcPr>
            <w:tcW w:w="4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used in calculating earnings per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Class A and Class B ordinary shares for computing earnings per Class A and Class B ordinary share: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50" w:type="dxa"/>
            <w:tcBorders/>
            <w:shd w:fill="CCEEFF" w:val="clear"/>
            <w:vAlign w:val="center"/>
          </w:tcPr>
          <w:p>
            <w:pPr>
              <w:pStyle w:val="TableContents"/>
              <w:bidi w:val="0"/>
              <w:spacing w:before="0" w:after="0"/>
              <w:jc w:val="left"/>
              <w:rPr/>
            </w:pPr>
            <w:r>
              <w:rPr/>
              <w:t>—</w:t>
            </w:r>
            <w:r>
              <w:rPr>
                <w:rFonts w:ascii="Times New Roman" w:hAnsi="Times New Roman"/>
                <w:sz w:val="20"/>
              </w:rPr>
              <w:t>Basic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127,235,048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110,695,778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106,074,914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106,074,914</w:t>
            </w:r>
          </w:p>
        </w:tc>
        <w:tc>
          <w:tcPr>
            <w:tcW w:w="170" w:type="dxa"/>
            <w:tcBorders/>
            <w:shd w:fill="CCEEFF" w:val="clear"/>
            <w:vAlign w:val="center"/>
          </w:tcPr>
          <w:p>
            <w:pPr>
              <w:pStyle w:val="TableContents"/>
              <w:bidi w:val="0"/>
              <w:spacing w:before="0" w:after="283"/>
              <w:jc w:val="left"/>
              <w:rPr/>
            </w:pPr>
            <w:r>
              <w:rPr/>
              <w:t> </w:t>
            </w:r>
          </w:p>
        </w:tc>
      </w:tr>
      <w:tr>
        <w:trPr/>
        <w:tc>
          <w:tcPr>
            <w:tcW w:w="4150" w:type="dxa"/>
            <w:tcBorders/>
            <w:vAlign w:val="center"/>
          </w:tcPr>
          <w:p>
            <w:pPr>
              <w:pStyle w:val="TableContents"/>
              <w:bidi w:val="0"/>
              <w:spacing w:before="0" w:after="0"/>
              <w:jc w:val="left"/>
              <w:rPr/>
            </w:pPr>
            <w:r>
              <w:rPr/>
              <w:t>—</w:t>
            </w:r>
            <w:r>
              <w:rPr>
                <w:rFonts w:ascii="Times New Roman" w:hAnsi="Times New Roman"/>
                <w:sz w:val="20"/>
              </w:rPr>
              <w:t>Diluted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128,157,304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112,552,398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107,855,806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107,855,806</w:t>
            </w:r>
          </w:p>
        </w:tc>
        <w:tc>
          <w:tcPr>
            <w:tcW w:w="170" w:type="dxa"/>
            <w:tcBorders/>
            <w:vAlign w:val="center"/>
          </w:tcPr>
          <w:p>
            <w:pPr>
              <w:pStyle w:val="TableContents"/>
              <w:bidi w:val="0"/>
              <w:spacing w:before="0" w:after="283"/>
              <w:jc w:val="left"/>
              <w:rPr/>
            </w:pPr>
            <w:r>
              <w:rPr/>
              <w:t> </w:t>
            </w:r>
          </w:p>
        </w:tc>
      </w:tr>
      <w:tr>
        <w:trPr/>
        <w:tc>
          <w:tcPr>
            <w:tcW w:w="4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earnings per Class A and Class B ordinary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50" w:type="dxa"/>
            <w:tcBorders/>
            <w:vAlign w:val="center"/>
          </w:tcPr>
          <w:p>
            <w:pPr>
              <w:pStyle w:val="TableContents"/>
              <w:bidi w:val="0"/>
              <w:spacing w:before="0" w:after="0"/>
              <w:jc w:val="left"/>
              <w:rPr/>
            </w:pPr>
            <w:r>
              <w:rPr/>
              <w:t>—</w:t>
            </w: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49.51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73.32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72.97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10.00</w:t>
            </w:r>
          </w:p>
        </w:tc>
        <w:tc>
          <w:tcPr>
            <w:tcW w:w="170" w:type="dxa"/>
            <w:tcBorders/>
            <w:vAlign w:val="center"/>
          </w:tcPr>
          <w:p>
            <w:pPr>
              <w:pStyle w:val="TableContents"/>
              <w:bidi w:val="0"/>
              <w:spacing w:before="0" w:after="283"/>
              <w:jc w:val="left"/>
              <w:rPr/>
            </w:pPr>
            <w:r>
              <w:rPr/>
              <w:t> </w:t>
            </w:r>
          </w:p>
        </w:tc>
      </w:tr>
      <w:tr>
        <w:trPr/>
        <w:tc>
          <w:tcPr>
            <w:tcW w:w="4150" w:type="dxa"/>
            <w:tcBorders/>
            <w:shd w:fill="CCEEFF" w:val="clear"/>
            <w:vAlign w:val="center"/>
          </w:tcPr>
          <w:p>
            <w:pPr>
              <w:pStyle w:val="TableContents"/>
              <w:bidi w:val="0"/>
              <w:spacing w:before="0" w:after="0"/>
              <w:jc w:val="left"/>
              <w:rPr/>
            </w:pPr>
            <w:r>
              <w:rPr/>
              <w:t>—</w:t>
            </w: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49.15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72.11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71.76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9.83</w:t>
            </w:r>
          </w:p>
        </w:tc>
        <w:tc>
          <w:tcPr>
            <w:tcW w:w="170" w:type="dxa"/>
            <w:tcBorders/>
            <w:shd w:fill="CCEEFF" w:val="clear"/>
            <w:vAlign w:val="center"/>
          </w:tcPr>
          <w:p>
            <w:pPr>
              <w:pStyle w:val="TableContents"/>
              <w:bidi w:val="0"/>
              <w:spacing w:before="0" w:after="283"/>
              <w:jc w:val="left"/>
              <w:rPr/>
            </w:pPr>
            <w:r>
              <w:rPr/>
              <w:t> </w:t>
            </w:r>
          </w:p>
        </w:tc>
      </w:tr>
      <w:tr>
        <w:trPr/>
        <w:tc>
          <w:tcPr>
            <w:tcW w:w="4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6,311,835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8,201,299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7,838,945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1,073,930</w:t>
            </w:r>
          </w:p>
        </w:tc>
        <w:tc>
          <w:tcPr>
            <w:tcW w:w="170" w:type="dxa"/>
            <w:tcBorders/>
            <w:vAlign w:val="center"/>
          </w:tcPr>
          <w:p>
            <w:pPr>
              <w:pStyle w:val="TableContents"/>
              <w:bidi w:val="0"/>
              <w:spacing w:before="0" w:after="283"/>
              <w:jc w:val="left"/>
              <w:rPr/>
            </w:pPr>
            <w:r>
              <w:rPr/>
              <w:t> </w:t>
            </w:r>
          </w:p>
        </w:tc>
      </w:tr>
      <w:tr>
        <w:trPr/>
        <w:tc>
          <w:tcPr>
            <w:tcW w:w="4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fair value of debt securities derived from the share of (loss)income of an equity method investee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(8,733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23,124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(148,886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(20,397</w:t>
            </w:r>
          </w:p>
        </w:tc>
        <w:tc>
          <w:tcPr>
            <w:tcW w:w="170" w:type="dxa"/>
            <w:tcBorders/>
            <w:vAlign w:val="center"/>
          </w:tcPr>
          <w:p>
            <w:pPr>
              <w:pStyle w:val="TableContents"/>
              <w:bidi w:val="0"/>
              <w:spacing w:before="0" w:after="283"/>
              <w:jc w:val="left"/>
              <w:rPr/>
            </w:pPr>
            <w:r>
              <w:rPr/>
              <w:t>) </w:t>
            </w:r>
          </w:p>
        </w:tc>
      </w:tr>
      <w:tr>
        <w:trPr/>
        <w:tc>
          <w:tcPr>
            <w:tcW w:w="4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net of tax of nil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(610,296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(11,085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37,081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5,080</w:t>
            </w:r>
          </w:p>
        </w:tc>
        <w:tc>
          <w:tcPr>
            <w:tcW w:w="170" w:type="dxa"/>
            <w:tcBorders/>
            <w:shd w:fill="CCEEFF" w:val="clear"/>
            <w:vAlign w:val="center"/>
          </w:tcPr>
          <w:p>
            <w:pPr>
              <w:pStyle w:val="TableContents"/>
              <w:bidi w:val="0"/>
              <w:spacing w:before="0" w:after="283"/>
              <w:jc w:val="left"/>
              <w:rPr/>
            </w:pPr>
            <w:r>
              <w:rPr/>
              <w:t> </w:t>
            </w:r>
          </w:p>
        </w:tc>
      </w:tr>
      <w:tr>
        <w:trPr/>
        <w:tc>
          <w:tcPr>
            <w:tcW w:w="4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5,692,806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8,213,338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7,727,140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1,058,613</w:t>
            </w:r>
          </w:p>
        </w:tc>
        <w:tc>
          <w:tcPr>
            <w:tcW w:w="170" w:type="dxa"/>
            <w:tcBorders/>
            <w:vAlign w:val="center"/>
          </w:tcPr>
          <w:p>
            <w:pPr>
              <w:pStyle w:val="TableContents"/>
              <w:bidi w:val="0"/>
              <w:spacing w:before="0" w:after="283"/>
              <w:jc w:val="left"/>
              <w:rPr/>
            </w:pPr>
            <w:r>
              <w:rPr/>
              <w:t> </w:t>
            </w:r>
          </w:p>
        </w:tc>
      </w:tr>
      <w:tr>
        <w:trPr/>
        <w:tc>
          <w:tcPr>
            <w:tcW w:w="4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1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Less: Comprehensive income attributable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84,675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99,010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13,564</w:t>
            </w:r>
          </w:p>
        </w:tc>
        <w:tc>
          <w:tcPr>
            <w:tcW w:w="170" w:type="dxa"/>
            <w:tcBorders/>
            <w:shd w:fill="CCEEFF" w:val="clear"/>
            <w:vAlign w:val="center"/>
          </w:tcPr>
          <w:p>
            <w:pPr>
              <w:pStyle w:val="TableContents"/>
              <w:bidi w:val="0"/>
              <w:spacing w:before="0" w:after="283"/>
              <w:jc w:val="left"/>
              <w:rPr/>
            </w:pPr>
            <w:r>
              <w:rPr/>
              <w:t> </w:t>
            </w:r>
          </w:p>
        </w:tc>
      </w:tr>
      <w:tr>
        <w:trPr/>
        <w:tc>
          <w:tcPr>
            <w:tcW w:w="4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 attributable to Vipshop Holdings Limited’s shareholders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5,679,787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8,128,663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7,628,130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1,045,049</w:t>
            </w:r>
          </w:p>
        </w:tc>
        <w:tc>
          <w:tcPr>
            <w:tcW w:w="170" w:type="dxa"/>
            <w:tcBorders/>
            <w:vAlign w:val="center"/>
          </w:tcPr>
          <w:p>
            <w:pPr>
              <w:pStyle w:val="TableContents"/>
              <w:bidi w:val="0"/>
              <w:spacing w:before="0" w:after="283"/>
              <w:jc w:val="left"/>
              <w:rPr/>
            </w:pPr>
            <w:r>
              <w:rPr/>
              <w:t> </w:t>
            </w:r>
          </w:p>
        </w:tc>
      </w:tr>
      <w:tr>
        <w:trPr/>
        <w:tc>
          <w:tcPr>
            <w:tcW w:w="41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SHAREHOLDERS’ EQUITY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data) </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ind w:left="0" w:right="0" w:hanging="0"/>
        <w:jc w:val="left"/>
        <w:rPr>
          <w:sz w:val="24"/>
        </w:rPr>
      </w:pPr>
      <w:r>
        <w:rPr>
          <w:sz w:val="24"/>
        </w:rPr>
      </w:r>
    </w:p>
    <w:tbl>
      <w:tblPr>
        <w:tblW w:w="18709" w:type="dxa"/>
        <w:jc w:val="left"/>
        <w:tblInd w:w="0" w:type="dxa"/>
        <w:tblLayout w:type="fixed"/>
        <w:tblCellMar>
          <w:top w:w="0" w:type="dxa"/>
          <w:left w:w="0" w:type="dxa"/>
          <w:bottom w:w="0" w:type="dxa"/>
          <w:right w:w="0" w:type="dxa"/>
        </w:tblCellMar>
      </w:tblPr>
      <w:tblGrid>
        <w:gridCol w:w="1130"/>
        <w:gridCol w:w="120"/>
        <w:gridCol w:w="81"/>
        <w:gridCol w:w="1656"/>
        <w:gridCol w:w="210"/>
        <w:gridCol w:w="81"/>
        <w:gridCol w:w="159"/>
        <w:gridCol w:w="701"/>
        <w:gridCol w:w="60"/>
        <w:gridCol w:w="120"/>
        <w:gridCol w:w="88"/>
        <w:gridCol w:w="1623"/>
        <w:gridCol w:w="88"/>
        <w:gridCol w:w="177"/>
        <w:gridCol w:w="159"/>
        <w:gridCol w:w="701"/>
        <w:gridCol w:w="60"/>
        <w:gridCol w:w="120"/>
        <w:gridCol w:w="69"/>
        <w:gridCol w:w="1271"/>
        <w:gridCol w:w="60"/>
        <w:gridCol w:w="120"/>
        <w:gridCol w:w="60"/>
        <w:gridCol w:w="1055"/>
        <w:gridCol w:w="155"/>
        <w:gridCol w:w="60"/>
        <w:gridCol w:w="60"/>
        <w:gridCol w:w="1100"/>
        <w:gridCol w:w="60"/>
        <w:gridCol w:w="120"/>
        <w:gridCol w:w="60"/>
        <w:gridCol w:w="1100"/>
        <w:gridCol w:w="60"/>
        <w:gridCol w:w="120"/>
        <w:gridCol w:w="69"/>
        <w:gridCol w:w="1016"/>
        <w:gridCol w:w="155"/>
        <w:gridCol w:w="60"/>
        <w:gridCol w:w="60"/>
        <w:gridCol w:w="1100"/>
        <w:gridCol w:w="155"/>
        <w:gridCol w:w="60"/>
        <w:gridCol w:w="93"/>
        <w:gridCol w:w="1532"/>
        <w:gridCol w:w="155"/>
        <w:gridCol w:w="60"/>
        <w:gridCol w:w="60"/>
        <w:gridCol w:w="1100"/>
        <w:gridCol w:w="170"/>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74" w:type="dxa"/>
            <w:gridSpan w:val="38"/>
            <w:tcBorders/>
            <w:vAlign w:val="center"/>
          </w:tcPr>
          <w:p>
            <w:pPr>
              <w:pStyle w:val="TableContents"/>
              <w:bidi w:val="0"/>
              <w:spacing w:before="0" w:after="0"/>
              <w:jc w:val="center"/>
              <w:rPr>
                <w:b/>
                <w:spacing w:val="0"/>
              </w:rPr>
            </w:pPr>
            <w:r>
              <w:rPr>
                <w:b/>
                <w:spacing w:val="0"/>
              </w:rPr>
              <w:t>Vipshop Holdings Limited Shareholders’ Equity</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888" w:type="dxa"/>
            <w:gridSpan w:val="6"/>
            <w:tcBorders/>
            <w:vAlign w:val="center"/>
          </w:tcPr>
          <w:p>
            <w:pPr>
              <w:pStyle w:val="TableContents"/>
              <w:bidi w:val="0"/>
              <w:spacing w:before="0" w:after="0"/>
              <w:jc w:val="center"/>
              <w:rPr>
                <w:b/>
                <w:spacing w:val="0"/>
              </w:rPr>
            </w:pPr>
            <w:r>
              <w:rPr>
                <w:b/>
                <w:spacing w:val="0"/>
              </w:rPr>
              <w:t>Class A ordinary shares</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836" w:type="dxa"/>
            <w:gridSpan w:val="6"/>
            <w:tcBorders/>
            <w:vAlign w:val="center"/>
          </w:tcPr>
          <w:p>
            <w:pPr>
              <w:pStyle w:val="TableContents"/>
              <w:bidi w:val="0"/>
              <w:spacing w:before="0" w:after="0"/>
              <w:jc w:val="center"/>
              <w:rPr>
                <w:b/>
                <w:spacing w:val="0"/>
              </w:rPr>
            </w:pPr>
            <w:r>
              <w:rPr>
                <w:b/>
                <w:spacing w:val="0"/>
              </w:rPr>
              <w:t>Class B ordinary shares</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635" w:type="dxa"/>
            <w:gridSpan w:val="6"/>
            <w:tcBorders/>
            <w:vAlign w:val="center"/>
          </w:tcPr>
          <w:p>
            <w:pPr>
              <w:pStyle w:val="TableContents"/>
              <w:bidi w:val="0"/>
              <w:spacing w:before="0" w:after="0"/>
              <w:jc w:val="center"/>
              <w:rPr>
                <w:b/>
                <w:spacing w:val="0"/>
              </w:rPr>
            </w:pPr>
            <w:r>
              <w:rPr>
                <w:b/>
                <w:spacing w:val="0"/>
              </w:rPr>
              <w:t>Treasury shares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Additional</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paid in</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Retained</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85"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Accumulated</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other</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comprehensive</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Total Vipshop</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Holdings</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Limited</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Shareholders’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Non-controlling</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0"/>
              <w:jc w:val="left"/>
              <w:rPr/>
            </w:pPr>
            <w:r>
              <w:rPr/>
              <w:t> </w:t>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737" w:type="dxa"/>
            <w:gridSpan w:val="2"/>
            <w:tcBorders/>
            <w:vAlign w:val="center"/>
          </w:tcPr>
          <w:p>
            <w:pPr>
              <w:pStyle w:val="TableContents"/>
              <w:bidi w:val="0"/>
              <w:spacing w:before="0" w:after="0"/>
              <w:jc w:val="center"/>
              <w:rPr>
                <w:b/>
                <w:spacing w:val="0"/>
              </w:rPr>
            </w:pPr>
            <w:r>
              <w:rPr>
                <w:b/>
                <w:spacing w:val="0"/>
              </w:rPr>
              <w:t>No. of shares</w:t>
            </w:r>
          </w:p>
        </w:tc>
        <w:tc>
          <w:tcPr>
            <w:tcW w:w="210" w:type="dxa"/>
            <w:tcBorders/>
            <w:vAlign w:val="center"/>
          </w:tcPr>
          <w:p>
            <w:pPr>
              <w:pStyle w:val="TableContents"/>
              <w:bidi w:val="0"/>
              <w:spacing w:before="0" w:after="0"/>
              <w:jc w:val="left"/>
              <w:rPr/>
            </w:pPr>
            <w:r>
              <w:rPr/>
              <w:t> </w:t>
            </w:r>
          </w:p>
        </w:tc>
        <w:tc>
          <w:tcPr>
            <w:tcW w:w="81"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711" w:type="dxa"/>
            <w:gridSpan w:val="2"/>
            <w:tcBorders/>
            <w:vAlign w:val="center"/>
          </w:tcPr>
          <w:p>
            <w:pPr>
              <w:pStyle w:val="TableContents"/>
              <w:bidi w:val="0"/>
              <w:spacing w:before="0" w:after="0"/>
              <w:jc w:val="center"/>
              <w:rPr>
                <w:b/>
                <w:spacing w:val="0"/>
              </w:rPr>
            </w:pPr>
            <w:r>
              <w:rPr>
                <w:b/>
                <w:spacing w:val="0"/>
              </w:rPr>
              <w:t>No. of shares</w:t>
            </w:r>
          </w:p>
        </w:tc>
        <w:tc>
          <w:tcPr>
            <w:tcW w:w="88"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40" w:type="dxa"/>
            <w:gridSpan w:val="2"/>
            <w:tcBorders/>
            <w:vAlign w:val="center"/>
          </w:tcPr>
          <w:p>
            <w:pPr>
              <w:pStyle w:val="TableContents"/>
              <w:bidi w:val="0"/>
              <w:spacing w:before="0" w:after="0"/>
              <w:jc w:val="center"/>
              <w:rPr>
                <w:b/>
                <w:spacing w:val="0"/>
              </w:rPr>
            </w:pPr>
            <w:r>
              <w:rPr>
                <w:b/>
                <w:spacing w:val="0"/>
              </w:rPr>
              <w:t>No. of shares</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capital</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earnings</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85" w:type="dxa"/>
            <w:gridSpan w:val="2"/>
            <w:tcBorders/>
            <w:vAlign w:val="center"/>
          </w:tcPr>
          <w:p>
            <w:pPr>
              <w:pStyle w:val="TableContents"/>
              <w:bidi w:val="0"/>
              <w:spacing w:before="0" w:after="0"/>
              <w:jc w:val="center"/>
              <w:rPr>
                <w:b/>
                <w:spacing w:val="0"/>
              </w:rPr>
            </w:pPr>
            <w:r>
              <w:rPr>
                <w:b/>
                <w:spacing w:val="0"/>
              </w:rPr>
              <w:t>loss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Equity</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interests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Equity</w:t>
            </w:r>
          </w:p>
        </w:tc>
        <w:tc>
          <w:tcPr>
            <w:tcW w:w="170" w:type="dxa"/>
            <w:tcBorders/>
            <w:vAlign w:val="center"/>
          </w:tcPr>
          <w:p>
            <w:pPr>
              <w:pStyle w:val="TableContents"/>
              <w:bidi w:val="0"/>
              <w:spacing w:before="0" w:after="0"/>
              <w:jc w:val="left"/>
              <w:rPr/>
            </w:pPr>
            <w:r>
              <w:rPr/>
              <w:t> </w:t>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737" w:type="dxa"/>
            <w:gridSpan w:val="2"/>
            <w:tcBorders/>
            <w:vAlign w:val="center"/>
          </w:tcPr>
          <w:p>
            <w:pPr>
              <w:pStyle w:val="TableContents"/>
              <w:bidi w:val="0"/>
              <w:spacing w:before="0" w:after="0"/>
              <w:jc w:val="left"/>
              <w:rPr/>
            </w:pPr>
            <w:r>
              <w:rPr/>
              <w:t> </w:t>
            </w:r>
          </w:p>
        </w:tc>
        <w:tc>
          <w:tcPr>
            <w:tcW w:w="210" w:type="dxa"/>
            <w:tcBorders/>
            <w:vAlign w:val="center"/>
          </w:tcPr>
          <w:p>
            <w:pPr>
              <w:pStyle w:val="TableContents"/>
              <w:bidi w:val="0"/>
              <w:spacing w:before="0" w:after="0"/>
              <w:jc w:val="left"/>
              <w:rPr/>
            </w:pPr>
            <w:r>
              <w:rPr/>
              <w:t> </w:t>
            </w:r>
          </w:p>
        </w:tc>
        <w:tc>
          <w:tcPr>
            <w:tcW w:w="81"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711" w:type="dxa"/>
            <w:gridSpan w:val="2"/>
            <w:tcBorders/>
            <w:vAlign w:val="center"/>
          </w:tcPr>
          <w:p>
            <w:pPr>
              <w:pStyle w:val="TableContents"/>
              <w:bidi w:val="0"/>
              <w:spacing w:before="0" w:after="0"/>
              <w:jc w:val="left"/>
              <w:rPr/>
            </w:pPr>
            <w:r>
              <w:rPr/>
              <w:t> </w:t>
            </w:r>
          </w:p>
        </w:tc>
        <w:tc>
          <w:tcPr>
            <w:tcW w:w="88"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40"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8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0"/>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as of December 31, 2021</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pPr>
            <w:r>
              <w:rPr/>
              <w:t>120,232,895</w:t>
            </w:r>
          </w:p>
        </w:tc>
        <w:tc>
          <w:tcPr>
            <w:tcW w:w="21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15,560,358</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2,742,990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(1,927,719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12,227,637</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22,421,488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(88,599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32,632,898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1,195,418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33,828,316</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income</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6,298,816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6,298,816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13,019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6,311,835</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Repurchase of ordinary shares (Note 17)</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pPr>
            <w:r>
              <w:rPr/>
              <w:t>(19,695,770</w:t>
            </w:r>
          </w:p>
        </w:tc>
        <w:tc>
          <w:tcPr>
            <w:tcW w:w="21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19,695,770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(6,424,792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(6,424,792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(6,424,792</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Issuance of ordinary shares upon vesting of shares awards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right"/>
              <w:rPr/>
            </w:pPr>
            <w:r>
              <w:rPr/>
              <w:t>1,084,205</w:t>
            </w:r>
          </w:p>
        </w:tc>
        <w:tc>
          <w:tcPr>
            <w:tcW w:w="21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Share-based compensation expense</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854,930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854,930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854,930</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Capital contribution from </w:t>
            </w:r>
          </w:p>
          <w:p>
            <w:pPr>
              <w:pStyle w:val="TableContents"/>
              <w:bidi w:val="0"/>
              <w:spacing w:before="0" w:after="0"/>
              <w:jc w:val="left"/>
              <w:rPr>
                <w:rFonts w:ascii="Times New Roman" w:hAnsi="Times New Roman"/>
                <w:spacing w:val="0"/>
                <w:sz w:val="16"/>
              </w:rPr>
            </w:pPr>
            <w:r>
              <w:rPr>
                <w:rFonts w:ascii="Times New Roman" w:hAnsi="Times New Roman"/>
                <w:spacing w:val="0"/>
                <w:sz w:val="16"/>
              </w:rPr>
              <w:t>non-controlling</w:t>
            </w:r>
          </w:p>
          <w:p>
            <w:pPr>
              <w:pStyle w:val="TableContents"/>
              <w:bidi w:val="0"/>
              <w:spacing w:before="0" w:after="0"/>
              <w:jc w:val="left"/>
              <w:rPr>
                <w:rFonts w:ascii="Times New Roman" w:hAnsi="Times New Roman"/>
                <w:sz w:val="16"/>
              </w:rPr>
            </w:pPr>
            <w:r>
              <w:rPr>
                <w:rFonts w:ascii="Times New Roman" w:hAnsi="Times New Roman"/>
                <w:sz w:val="16"/>
              </w:rPr>
              <w:t>interests shareholders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6,761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6,761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184,434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191,195</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Acquisition of additional equity interest in subsidiaries</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2,453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(29,558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(27,105</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Dividend distribution to </w:t>
            </w:r>
          </w:p>
          <w:p>
            <w:pPr>
              <w:pStyle w:val="TableContents"/>
              <w:bidi w:val="0"/>
              <w:spacing w:before="0" w:after="0"/>
              <w:jc w:val="left"/>
              <w:rPr>
                <w:rFonts w:ascii="Times New Roman" w:hAnsi="Times New Roman"/>
                <w:sz w:val="16"/>
              </w:rPr>
            </w:pPr>
            <w:r>
              <w:rPr>
                <w:rFonts w:ascii="Times New Roman" w:hAnsi="Times New Roman"/>
                <w:sz w:val="16"/>
              </w:rPr>
              <w:t>non-controlling</w:t>
            </w:r>
          </w:p>
          <w:p>
            <w:pPr>
              <w:pStyle w:val="TableContents"/>
              <w:bidi w:val="0"/>
              <w:spacing w:before="0" w:after="0"/>
              <w:jc w:val="left"/>
              <w:rPr>
                <w:rFonts w:ascii="Times New Roman" w:hAnsi="Times New Roman"/>
                <w:sz w:val="16"/>
              </w:rPr>
            </w:pPr>
            <w:r>
              <w:rPr>
                <w:rFonts w:ascii="Times New Roman" w:hAnsi="Times New Roman"/>
                <w:sz w:val="16"/>
              </w:rPr>
              <w:t>interests shareholders</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(42,307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(42,307</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Changes of fair value of debt securities derived from the share of loss of an equity method investee</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pPr>
            <w:r>
              <w:rPr/>
              <w:t>— </w:t>
            </w:r>
          </w:p>
        </w:tc>
        <w:tc>
          <w:tcPr>
            <w:tcW w:w="21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(8,733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(8,733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(8,733</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Foreign currency translation</w:t>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656" w:type="dxa"/>
            <w:tcBorders/>
            <w:vAlign w:val="center"/>
          </w:tcPr>
          <w:p>
            <w:pPr>
              <w:pStyle w:val="TableContents"/>
              <w:bidi w:val="0"/>
              <w:spacing w:before="0" w:after="283"/>
              <w:jc w:val="right"/>
              <w:rPr/>
            </w:pPr>
            <w:r>
              <w:rPr/>
              <w:t>— </w:t>
            </w:r>
          </w:p>
        </w:tc>
        <w:tc>
          <w:tcPr>
            <w:tcW w:w="21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(610,296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(610,296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(610,296</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single" w:sz="2" w:space="1" w:color="000000"/>
              </w:rPr>
            </w:pPr>
            <w:r>
              <w:rPr>
                <w:bdr w:val="single" w:sz="2" w:space="1" w:color="000000"/>
              </w:rPr>
              <w:t> </w:t>
            </w:r>
          </w:p>
        </w:tc>
        <w:tc>
          <w:tcPr>
            <w:tcW w:w="1656" w:type="dxa"/>
            <w:tcBorders/>
            <w:vAlign w:val="center"/>
          </w:tcPr>
          <w:p>
            <w:pPr>
              <w:pStyle w:val="TableContents"/>
              <w:bidi w:val="0"/>
              <w:spacing w:before="0" w:after="0"/>
              <w:jc w:val="left"/>
              <w:rPr>
                <w:bdr w:val="single" w:sz="2" w:space="1" w:color="000000"/>
              </w:rPr>
            </w:pPr>
            <w:r>
              <w:rPr>
                <w:bdr w:val="single" w:sz="2" w:space="1" w:color="000000"/>
              </w:rPr>
              <w:t> </w:t>
            </w:r>
          </w:p>
        </w:tc>
        <w:tc>
          <w:tcPr>
            <w:tcW w:w="21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single" w:sz="2" w:space="1" w:color="000000"/>
              </w:rPr>
            </w:pPr>
            <w:r>
              <w:rPr>
                <w:bdr w:val="single" w:sz="2" w:space="1" w:color="000000"/>
              </w:rPr>
              <w:t> </w:t>
            </w:r>
          </w:p>
        </w:tc>
        <w:tc>
          <w:tcPr>
            <w:tcW w:w="70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bdr w:val="single" w:sz="2" w:space="1" w:color="000000"/>
              </w:rPr>
            </w:pPr>
            <w:r>
              <w:rPr>
                <w:bdr w:val="single" w:sz="2" w:space="1" w:color="000000"/>
              </w:rPr>
              <w:t> </w:t>
            </w:r>
          </w:p>
        </w:tc>
        <w:tc>
          <w:tcPr>
            <w:tcW w:w="1623" w:type="dxa"/>
            <w:tcBorders/>
            <w:vAlign w:val="center"/>
          </w:tcPr>
          <w:p>
            <w:pPr>
              <w:pStyle w:val="TableContents"/>
              <w:bidi w:val="0"/>
              <w:spacing w:before="0" w:after="0"/>
              <w:jc w:val="left"/>
              <w:rPr>
                <w:bdr w:val="single" w:sz="2" w:space="1" w:color="000000"/>
              </w:rPr>
            </w:pPr>
            <w:r>
              <w:rPr>
                <w:bdr w:val="single" w:sz="2" w:space="1" w:color="000000"/>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single" w:sz="2" w:space="1" w:color="000000"/>
              </w:rPr>
            </w:pPr>
            <w:r>
              <w:rPr>
                <w:bdr w:val="single" w:sz="2" w:space="1" w:color="000000"/>
              </w:rPr>
              <w:t> </w:t>
            </w:r>
          </w:p>
        </w:tc>
        <w:tc>
          <w:tcPr>
            <w:tcW w:w="70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single" w:sz="2" w:space="1" w:color="000000"/>
              </w:rPr>
            </w:pPr>
            <w:r>
              <w:rPr>
                <w:bdr w:val="single" w:sz="2" w:space="1" w:color="000000"/>
              </w:rPr>
              <w:t> </w:t>
            </w:r>
          </w:p>
        </w:tc>
        <w:tc>
          <w:tcPr>
            <w:tcW w:w="127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single" w:sz="2" w:space="1" w:color="000000"/>
              </w:rPr>
            </w:pPr>
            <w:r>
              <w:rPr>
                <w:bdr w:val="single" w:sz="2" w:space="1" w:color="000000"/>
              </w:rPr>
              <w:t> </w:t>
            </w:r>
          </w:p>
        </w:tc>
        <w:tc>
          <w:tcPr>
            <w:tcW w:w="101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153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as of December 31, 2022</w:t>
            </w:r>
          </w:p>
        </w:tc>
        <w:tc>
          <w:tcPr>
            <w:tcW w:w="12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6" w:type="dxa"/>
            <w:tcBorders/>
            <w:shd w:fill="CCEEFF" w:val="clear"/>
            <w:vAlign w:val="center"/>
          </w:tcPr>
          <w:p>
            <w:pPr>
              <w:pStyle w:val="TableContents"/>
              <w:bidi w:val="0"/>
              <w:spacing w:before="0" w:after="283"/>
              <w:jc w:val="right"/>
              <w:rPr/>
            </w:pPr>
            <w:r>
              <w:rPr/>
              <w:t>101,621,330</w:t>
            </w:r>
          </w:p>
        </w:tc>
        <w:tc>
          <w:tcPr>
            <w:tcW w:w="21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80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15,560,358</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22,438,760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(8,352,511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13,091,781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28,720,304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(707,628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32,752,037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1,321,006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34,073,043</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0"/>
              <w:jc w:val="left"/>
              <w:rPr>
                <w:bdr w:val="double" w:sz="6" w:space="1" w:color="000000"/>
              </w:rPr>
            </w:pPr>
            <w:r>
              <w:rPr>
                <w:bdr w:val="double" w:sz="6" w:space="1" w:color="000000"/>
              </w:rPr>
              <w:t> </w:t>
            </w:r>
          </w:p>
        </w:tc>
        <w:tc>
          <w:tcPr>
            <w:tcW w:w="1656" w:type="dxa"/>
            <w:tcBorders/>
            <w:vAlign w:val="center"/>
          </w:tcPr>
          <w:p>
            <w:pPr>
              <w:pStyle w:val="TableContents"/>
              <w:bidi w:val="0"/>
              <w:spacing w:before="0" w:after="0"/>
              <w:jc w:val="left"/>
              <w:rPr>
                <w:bdr w:val="double" w:sz="6" w:space="1" w:color="000000"/>
              </w:rPr>
            </w:pPr>
            <w:r>
              <w:rPr>
                <w:bdr w:val="double" w:sz="6" w:space="1" w:color="000000"/>
              </w:rPr>
              <w:t> </w:t>
            </w:r>
          </w:p>
        </w:tc>
        <w:tc>
          <w:tcPr>
            <w:tcW w:w="210"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70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bdr w:val="double" w:sz="6" w:space="1" w:color="000000"/>
              </w:rPr>
            </w:pPr>
            <w:r>
              <w:rPr>
                <w:bdr w:val="double" w:sz="6" w:space="1" w:color="000000"/>
              </w:rPr>
              <w:t> </w:t>
            </w:r>
          </w:p>
        </w:tc>
        <w:tc>
          <w:tcPr>
            <w:tcW w:w="1623" w:type="dxa"/>
            <w:tcBorders/>
            <w:vAlign w:val="center"/>
          </w:tcPr>
          <w:p>
            <w:pPr>
              <w:pStyle w:val="TableContents"/>
              <w:bidi w:val="0"/>
              <w:spacing w:before="0" w:after="0"/>
              <w:jc w:val="left"/>
              <w:rPr>
                <w:bdr w:val="double" w:sz="6" w:space="1" w:color="000000"/>
              </w:rPr>
            </w:pPr>
            <w:r>
              <w:rPr>
                <w:bdr w:val="double" w:sz="6" w:space="1" w:color="000000"/>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70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double" w:sz="6" w:space="1" w:color="000000"/>
              </w:rPr>
            </w:pPr>
            <w:r>
              <w:rPr>
                <w:bdr w:val="double" w:sz="6" w:space="1" w:color="000000"/>
              </w:rPr>
              <w:t> </w:t>
            </w:r>
          </w:p>
        </w:tc>
        <w:tc>
          <w:tcPr>
            <w:tcW w:w="127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double" w:sz="6" w:space="1" w:color="000000"/>
              </w:rPr>
            </w:pPr>
            <w:r>
              <w:rPr>
                <w:bdr w:val="double" w:sz="6" w:space="1" w:color="000000"/>
              </w:rPr>
              <w:t> </w:t>
            </w:r>
          </w:p>
        </w:tc>
        <w:tc>
          <w:tcPr>
            <w:tcW w:w="101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153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CONSOLIDATED STATEMENTS OF SHAREHOLDERS’ EQUITY </w:t>
      </w:r>
    </w:p>
    <w:p>
      <w:pPr>
        <w:pStyle w:val="TextBody"/>
        <w:bidi w:val="0"/>
        <w:spacing w:before="0" w:after="0"/>
        <w:jc w:val="center"/>
        <w:rPr>
          <w:rFonts w:ascii="Times New Roman" w:hAnsi="Times New Roman"/>
          <w:sz w:val="20"/>
        </w:rPr>
      </w:pPr>
      <w:r>
        <w:rPr>
          <w:rFonts w:ascii="Times New Roman" w:hAnsi="Times New Roman"/>
          <w:sz w:val="20"/>
        </w:rPr>
        <w:t>(Continued)</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data) </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ind w:left="0" w:right="0" w:hanging="0"/>
        <w:jc w:val="left"/>
        <w:rPr>
          <w:sz w:val="16"/>
        </w:rPr>
      </w:pPr>
      <w:r>
        <w:rPr>
          <w:sz w:val="16"/>
        </w:rPr>
      </w:r>
    </w:p>
    <w:tbl>
      <w:tblPr>
        <w:tblW w:w="18735" w:type="dxa"/>
        <w:jc w:val="left"/>
        <w:tblInd w:w="0" w:type="dxa"/>
        <w:tblLayout w:type="fixed"/>
        <w:tblCellMar>
          <w:top w:w="0" w:type="dxa"/>
          <w:left w:w="0" w:type="dxa"/>
          <w:bottom w:w="0" w:type="dxa"/>
          <w:right w:w="0" w:type="dxa"/>
        </w:tblCellMar>
      </w:tblPr>
      <w:tblGrid>
        <w:gridCol w:w="1130"/>
        <w:gridCol w:w="120"/>
        <w:gridCol w:w="78"/>
        <w:gridCol w:w="1591"/>
        <w:gridCol w:w="202"/>
        <w:gridCol w:w="78"/>
        <w:gridCol w:w="130"/>
        <w:gridCol w:w="730"/>
        <w:gridCol w:w="155"/>
        <w:gridCol w:w="60"/>
        <w:gridCol w:w="88"/>
        <w:gridCol w:w="1623"/>
        <w:gridCol w:w="88"/>
        <w:gridCol w:w="177"/>
        <w:gridCol w:w="159"/>
        <w:gridCol w:w="701"/>
        <w:gridCol w:w="60"/>
        <w:gridCol w:w="120"/>
        <w:gridCol w:w="65"/>
        <w:gridCol w:w="1275"/>
        <w:gridCol w:w="155"/>
        <w:gridCol w:w="60"/>
        <w:gridCol w:w="60"/>
        <w:gridCol w:w="1055"/>
        <w:gridCol w:w="155"/>
        <w:gridCol w:w="60"/>
        <w:gridCol w:w="60"/>
        <w:gridCol w:w="1100"/>
        <w:gridCol w:w="155"/>
        <w:gridCol w:w="60"/>
        <w:gridCol w:w="60"/>
        <w:gridCol w:w="1100"/>
        <w:gridCol w:w="60"/>
        <w:gridCol w:w="120"/>
        <w:gridCol w:w="69"/>
        <w:gridCol w:w="1016"/>
        <w:gridCol w:w="155"/>
        <w:gridCol w:w="60"/>
        <w:gridCol w:w="60"/>
        <w:gridCol w:w="1100"/>
        <w:gridCol w:w="155"/>
        <w:gridCol w:w="60"/>
        <w:gridCol w:w="93"/>
        <w:gridCol w:w="1532"/>
        <w:gridCol w:w="155"/>
        <w:gridCol w:w="60"/>
        <w:gridCol w:w="60"/>
        <w:gridCol w:w="1100"/>
        <w:gridCol w:w="170"/>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100" w:type="dxa"/>
            <w:gridSpan w:val="38"/>
            <w:tcBorders/>
            <w:vAlign w:val="center"/>
          </w:tcPr>
          <w:p>
            <w:pPr>
              <w:pStyle w:val="TableContents"/>
              <w:bidi w:val="0"/>
              <w:spacing w:before="0" w:after="0"/>
              <w:jc w:val="center"/>
              <w:rPr>
                <w:b/>
                <w:spacing w:val="0"/>
              </w:rPr>
            </w:pPr>
            <w:r>
              <w:rPr>
                <w:b/>
                <w:spacing w:val="0"/>
              </w:rPr>
              <w:t>Vipshop Holdings Limited Shareholders’ Equity</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809" w:type="dxa"/>
            <w:gridSpan w:val="6"/>
            <w:tcBorders/>
            <w:vAlign w:val="center"/>
          </w:tcPr>
          <w:p>
            <w:pPr>
              <w:pStyle w:val="TableContents"/>
              <w:bidi w:val="0"/>
              <w:spacing w:before="0" w:after="0"/>
              <w:jc w:val="center"/>
              <w:rPr>
                <w:b/>
                <w:spacing w:val="0"/>
              </w:rPr>
            </w:pPr>
            <w:r>
              <w:rPr>
                <w:b/>
                <w:spacing w:val="0"/>
              </w:rPr>
              <w:t>Class A ordinary shares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836" w:type="dxa"/>
            <w:gridSpan w:val="6"/>
            <w:tcBorders/>
            <w:vAlign w:val="center"/>
          </w:tcPr>
          <w:p>
            <w:pPr>
              <w:pStyle w:val="TableContents"/>
              <w:bidi w:val="0"/>
              <w:spacing w:before="0" w:after="0"/>
              <w:jc w:val="center"/>
              <w:rPr>
                <w:b/>
                <w:spacing w:val="0"/>
              </w:rPr>
            </w:pPr>
            <w:r>
              <w:rPr>
                <w:b/>
                <w:spacing w:val="0"/>
              </w:rPr>
              <w:t>Class B ordinary shares</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670" w:type="dxa"/>
            <w:gridSpan w:val="6"/>
            <w:tcBorders/>
            <w:vAlign w:val="center"/>
          </w:tcPr>
          <w:p>
            <w:pPr>
              <w:pStyle w:val="TableContents"/>
              <w:bidi w:val="0"/>
              <w:spacing w:before="0" w:after="0"/>
              <w:jc w:val="center"/>
              <w:rPr>
                <w:b/>
                <w:spacing w:val="0"/>
              </w:rPr>
            </w:pPr>
            <w:r>
              <w:rPr>
                <w:b/>
                <w:spacing w:val="0"/>
              </w:rPr>
              <w:t>Treasury shares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Additional</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paid in</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Retained</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85"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Accumulated</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other</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comprehensive</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Total Vipshop</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Holdings</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Limited</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Shareholders’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Non-controlling</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0"/>
              <w:jc w:val="left"/>
              <w:rPr/>
            </w:pPr>
            <w:r>
              <w:rPr/>
              <w:t> </w:t>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669" w:type="dxa"/>
            <w:gridSpan w:val="2"/>
            <w:tcBorders/>
            <w:vAlign w:val="center"/>
          </w:tcPr>
          <w:p>
            <w:pPr>
              <w:pStyle w:val="TableContents"/>
              <w:bidi w:val="0"/>
              <w:spacing w:before="0" w:after="0"/>
              <w:jc w:val="center"/>
              <w:rPr>
                <w:b/>
                <w:spacing w:val="0"/>
              </w:rPr>
            </w:pPr>
            <w:r>
              <w:rPr>
                <w:b/>
                <w:spacing w:val="0"/>
              </w:rPr>
              <w:t>No. of shares</w:t>
            </w:r>
          </w:p>
        </w:tc>
        <w:tc>
          <w:tcPr>
            <w:tcW w:w="202" w:type="dxa"/>
            <w:tcBorders/>
            <w:vAlign w:val="center"/>
          </w:tcPr>
          <w:p>
            <w:pPr>
              <w:pStyle w:val="TableContents"/>
              <w:bidi w:val="0"/>
              <w:spacing w:before="0" w:after="0"/>
              <w:jc w:val="left"/>
              <w:rPr/>
            </w:pPr>
            <w:r>
              <w:rPr/>
              <w:t> </w:t>
            </w:r>
          </w:p>
        </w:tc>
        <w:tc>
          <w:tcPr>
            <w:tcW w:w="78"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711" w:type="dxa"/>
            <w:gridSpan w:val="2"/>
            <w:tcBorders/>
            <w:vAlign w:val="center"/>
          </w:tcPr>
          <w:p>
            <w:pPr>
              <w:pStyle w:val="TableContents"/>
              <w:bidi w:val="0"/>
              <w:spacing w:before="0" w:after="0"/>
              <w:jc w:val="center"/>
              <w:rPr>
                <w:b/>
                <w:spacing w:val="0"/>
              </w:rPr>
            </w:pPr>
            <w:r>
              <w:rPr>
                <w:b/>
                <w:spacing w:val="0"/>
              </w:rPr>
              <w:t>No. of shares</w:t>
            </w:r>
          </w:p>
        </w:tc>
        <w:tc>
          <w:tcPr>
            <w:tcW w:w="88"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40" w:type="dxa"/>
            <w:gridSpan w:val="2"/>
            <w:tcBorders/>
            <w:vAlign w:val="center"/>
          </w:tcPr>
          <w:p>
            <w:pPr>
              <w:pStyle w:val="TableContents"/>
              <w:bidi w:val="0"/>
              <w:spacing w:before="0" w:after="0"/>
              <w:jc w:val="center"/>
              <w:rPr>
                <w:b/>
                <w:spacing w:val="0"/>
              </w:rPr>
            </w:pPr>
            <w:r>
              <w:rPr>
                <w:b/>
                <w:spacing w:val="0"/>
              </w:rPr>
              <w:t>No. of shares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capital</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earnings</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85" w:type="dxa"/>
            <w:gridSpan w:val="2"/>
            <w:tcBorders/>
            <w:vAlign w:val="center"/>
          </w:tcPr>
          <w:p>
            <w:pPr>
              <w:pStyle w:val="TableContents"/>
              <w:bidi w:val="0"/>
              <w:spacing w:before="0" w:after="0"/>
              <w:jc w:val="center"/>
              <w:rPr>
                <w:b/>
                <w:spacing w:val="0"/>
              </w:rPr>
            </w:pPr>
            <w:r>
              <w:rPr>
                <w:b/>
                <w:spacing w:val="0"/>
              </w:rPr>
              <w:t>(loss)income</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Equity</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interests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Equity</w:t>
            </w:r>
          </w:p>
        </w:tc>
        <w:tc>
          <w:tcPr>
            <w:tcW w:w="170" w:type="dxa"/>
            <w:tcBorders/>
            <w:vAlign w:val="center"/>
          </w:tcPr>
          <w:p>
            <w:pPr>
              <w:pStyle w:val="TableContents"/>
              <w:bidi w:val="0"/>
              <w:spacing w:before="0" w:after="0"/>
              <w:jc w:val="left"/>
              <w:rPr/>
            </w:pPr>
            <w:r>
              <w:rPr/>
              <w:t> </w:t>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669" w:type="dxa"/>
            <w:gridSpan w:val="2"/>
            <w:tcBorders/>
            <w:vAlign w:val="center"/>
          </w:tcPr>
          <w:p>
            <w:pPr>
              <w:pStyle w:val="TableContents"/>
              <w:bidi w:val="0"/>
              <w:spacing w:before="0" w:after="0"/>
              <w:jc w:val="left"/>
              <w:rPr/>
            </w:pPr>
            <w:r>
              <w:rPr/>
              <w:t> </w:t>
            </w:r>
          </w:p>
        </w:tc>
        <w:tc>
          <w:tcPr>
            <w:tcW w:w="202" w:type="dxa"/>
            <w:tcBorders/>
            <w:vAlign w:val="center"/>
          </w:tcPr>
          <w:p>
            <w:pPr>
              <w:pStyle w:val="TableContents"/>
              <w:bidi w:val="0"/>
              <w:spacing w:before="0" w:after="0"/>
              <w:jc w:val="left"/>
              <w:rPr/>
            </w:pPr>
            <w:r>
              <w:rPr/>
              <w:t> </w:t>
            </w:r>
          </w:p>
        </w:tc>
        <w:tc>
          <w:tcPr>
            <w:tcW w:w="78"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711" w:type="dxa"/>
            <w:gridSpan w:val="2"/>
            <w:tcBorders/>
            <w:vAlign w:val="center"/>
          </w:tcPr>
          <w:p>
            <w:pPr>
              <w:pStyle w:val="TableContents"/>
              <w:bidi w:val="0"/>
              <w:spacing w:before="0" w:after="0"/>
              <w:jc w:val="left"/>
              <w:rPr/>
            </w:pPr>
            <w:r>
              <w:rPr/>
              <w:t> </w:t>
            </w:r>
          </w:p>
        </w:tc>
        <w:tc>
          <w:tcPr>
            <w:tcW w:w="88"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40"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8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0"/>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as of December 31, 2022</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91" w:type="dxa"/>
            <w:tcBorders/>
            <w:shd w:fill="CCEEFF" w:val="clear"/>
            <w:vAlign w:val="center"/>
          </w:tcPr>
          <w:p>
            <w:pPr>
              <w:pStyle w:val="TableContents"/>
              <w:bidi w:val="0"/>
              <w:spacing w:before="0" w:after="283"/>
              <w:jc w:val="right"/>
              <w:rPr/>
            </w:pPr>
            <w:r>
              <w:rPr/>
              <w:t>101,621,330</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15,560,358</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22,438,760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(8,352,511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13,091,781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28,720,304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(707,628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32,752,037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1,321,006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34,073,043</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income</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8,116,624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8,116,624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84,675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8,201,299</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Repurchase of ordinary shares</w:t>
            </w:r>
          </w:p>
          <w:p>
            <w:pPr>
              <w:pStyle w:val="TableContents"/>
              <w:bidi w:val="0"/>
              <w:spacing w:before="0" w:after="20"/>
              <w:jc w:val="left"/>
              <w:rPr>
                <w:rFonts w:ascii="Times New Roman" w:hAnsi="Times New Roman"/>
                <w:sz w:val="16"/>
              </w:rPr>
            </w:pPr>
            <w:r>
              <w:rPr>
                <w:rFonts w:ascii="Times New Roman" w:hAnsi="Times New Roman"/>
                <w:sz w:val="16"/>
              </w:rPr>
              <w:t>(Note 17)</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91" w:type="dxa"/>
            <w:tcBorders/>
            <w:shd w:fill="CCEEFF" w:val="clear"/>
            <w:vAlign w:val="center"/>
          </w:tcPr>
          <w:p>
            <w:pPr>
              <w:pStyle w:val="TableContents"/>
              <w:bidi w:val="0"/>
              <w:spacing w:before="0" w:after="283"/>
              <w:jc w:val="right"/>
              <w:rPr/>
            </w:pPr>
            <w:r>
              <w:rPr/>
              <w:t>(9,755,695</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9,755,695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(4,968,545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(4,968,545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(4,968,545</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Cancellation of treasury shares</w:t>
            </w:r>
          </w:p>
          <w:p>
            <w:pPr>
              <w:pStyle w:val="TableContents"/>
              <w:bidi w:val="0"/>
              <w:spacing w:before="0" w:after="20"/>
              <w:jc w:val="left"/>
              <w:rPr>
                <w:rFonts w:ascii="Times New Roman" w:hAnsi="Times New Roman"/>
                <w:sz w:val="16"/>
              </w:rPr>
            </w:pPr>
            <w:r>
              <w:rPr>
                <w:rFonts w:ascii="Times New Roman" w:hAnsi="Times New Roman"/>
                <w:sz w:val="16"/>
              </w:rPr>
              <w:t>(Note 17)</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(26,216,773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9,696,293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(9,696,274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Issuance of ordinary shares upon vesting of shares awards</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91" w:type="dxa"/>
            <w:tcBorders/>
            <w:shd w:fill="CCEEFF" w:val="clear"/>
            <w:vAlign w:val="center"/>
          </w:tcPr>
          <w:p>
            <w:pPr>
              <w:pStyle w:val="TableContents"/>
              <w:bidi w:val="0"/>
              <w:spacing w:before="0" w:after="283"/>
              <w:jc w:val="right"/>
              <w:rPr/>
            </w:pPr>
            <w:r>
              <w:rPr/>
              <w:t>1,034,612</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Share-based compensation expense</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1,068,611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1,068,611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1,068,611</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Capital contribution from </w:t>
            </w:r>
          </w:p>
          <w:p>
            <w:pPr>
              <w:pStyle w:val="TableContents"/>
              <w:bidi w:val="0"/>
              <w:spacing w:before="0" w:after="0"/>
              <w:jc w:val="left"/>
              <w:rPr>
                <w:rFonts w:ascii="Times New Roman" w:hAnsi="Times New Roman"/>
                <w:sz w:val="16"/>
              </w:rPr>
            </w:pPr>
            <w:r>
              <w:rPr>
                <w:rFonts w:ascii="Times New Roman" w:hAnsi="Times New Roman"/>
                <w:sz w:val="16"/>
              </w:rPr>
              <w:t>non-controlling</w:t>
            </w:r>
          </w:p>
          <w:p>
            <w:pPr>
              <w:pStyle w:val="TableContents"/>
              <w:bidi w:val="0"/>
              <w:spacing w:before="0" w:after="0"/>
              <w:jc w:val="left"/>
              <w:rPr>
                <w:rFonts w:ascii="Times New Roman" w:hAnsi="Times New Roman"/>
                <w:sz w:val="16"/>
              </w:rPr>
            </w:pPr>
            <w:r>
              <w:rPr>
                <w:rFonts w:ascii="Times New Roman" w:hAnsi="Times New Roman"/>
                <w:sz w:val="16"/>
              </w:rPr>
              <w:t>interests shareholders (Note 18)</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91"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296,080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285,450</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Deregistration of a subsidiary</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(32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Acquisition of additional equity interest in subsidiaries (Note 18)</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91"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(8,732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(64,268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(73,000</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Dividend distribution to </w:t>
            </w:r>
          </w:p>
          <w:p>
            <w:pPr>
              <w:pStyle w:val="TableContents"/>
              <w:bidi w:val="0"/>
              <w:spacing w:before="0" w:after="0"/>
              <w:jc w:val="left"/>
              <w:rPr>
                <w:rFonts w:ascii="Times New Roman" w:hAnsi="Times New Roman"/>
                <w:sz w:val="16"/>
              </w:rPr>
            </w:pPr>
            <w:r>
              <w:rPr>
                <w:rFonts w:ascii="Times New Roman" w:hAnsi="Times New Roman"/>
                <w:sz w:val="16"/>
              </w:rPr>
              <w:t>non-controlling</w:t>
            </w:r>
          </w:p>
          <w:p>
            <w:pPr>
              <w:pStyle w:val="TableContents"/>
              <w:bidi w:val="0"/>
              <w:spacing w:before="0" w:after="0"/>
              <w:jc w:val="left"/>
              <w:rPr>
                <w:rFonts w:ascii="Times New Roman" w:hAnsi="Times New Roman"/>
                <w:sz w:val="16"/>
              </w:rPr>
            </w:pPr>
            <w:r>
              <w:rPr>
                <w:rFonts w:ascii="Times New Roman" w:hAnsi="Times New Roman"/>
                <w:sz w:val="16"/>
              </w:rPr>
              <w:t>interests shareholders</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(39,107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(39,107</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Changes of fair value of debt securities derived from the share of income of an equity method investee</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91"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23,124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23,124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23,124</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Foreign currency translation</w:t>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591" w:type="dxa"/>
            <w:tcBorders/>
            <w:vAlign w:val="center"/>
          </w:tcPr>
          <w:p>
            <w:pPr>
              <w:pStyle w:val="TableContents"/>
              <w:bidi w:val="0"/>
              <w:spacing w:before="0" w:after="283"/>
              <w:jc w:val="right"/>
              <w:rPr/>
            </w:pPr>
            <w:r>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3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(11,085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(11,085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(11,085</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single" w:sz="2" w:space="1" w:color="000000"/>
              </w:rPr>
            </w:pPr>
            <w:r>
              <w:rPr>
                <w:bdr w:val="single" w:sz="2" w:space="1" w:color="000000"/>
              </w:rPr>
              <w:t> </w:t>
            </w:r>
          </w:p>
        </w:tc>
        <w:tc>
          <w:tcPr>
            <w:tcW w:w="1591" w:type="dxa"/>
            <w:tcBorders/>
            <w:vAlign w:val="center"/>
          </w:tcPr>
          <w:p>
            <w:pPr>
              <w:pStyle w:val="TableContents"/>
              <w:bidi w:val="0"/>
              <w:spacing w:before="0" w:after="0"/>
              <w:jc w:val="left"/>
              <w:rPr>
                <w:bdr w:val="single" w:sz="2" w:space="1" w:color="000000"/>
              </w:rPr>
            </w:pPr>
            <w:r>
              <w:rPr>
                <w:bdr w:val="single" w:sz="2" w:space="1" w:color="000000"/>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jc w:val="left"/>
              <w:rPr>
                <w:bdr w:val="single" w:sz="2" w:space="1" w:color="000000"/>
              </w:rPr>
            </w:pPr>
            <w:r>
              <w:rPr>
                <w:bdr w:val="single" w:sz="2" w:space="1" w:color="000000"/>
              </w:rPr>
              <w:t> </w:t>
            </w:r>
          </w:p>
        </w:tc>
        <w:tc>
          <w:tcPr>
            <w:tcW w:w="73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bdr w:val="single" w:sz="2" w:space="1" w:color="000000"/>
              </w:rPr>
            </w:pPr>
            <w:r>
              <w:rPr>
                <w:bdr w:val="single" w:sz="2" w:space="1" w:color="000000"/>
              </w:rPr>
              <w:t> </w:t>
            </w:r>
          </w:p>
        </w:tc>
        <w:tc>
          <w:tcPr>
            <w:tcW w:w="1623" w:type="dxa"/>
            <w:tcBorders/>
            <w:vAlign w:val="center"/>
          </w:tcPr>
          <w:p>
            <w:pPr>
              <w:pStyle w:val="TableContents"/>
              <w:bidi w:val="0"/>
              <w:spacing w:before="0" w:after="0"/>
              <w:jc w:val="left"/>
              <w:rPr>
                <w:bdr w:val="single" w:sz="2" w:space="1" w:color="000000"/>
              </w:rPr>
            </w:pPr>
            <w:r>
              <w:rPr>
                <w:bdr w:val="single" w:sz="2" w:space="1" w:color="000000"/>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single" w:sz="2" w:space="1" w:color="000000"/>
              </w:rPr>
            </w:pPr>
            <w:r>
              <w:rPr>
                <w:bdr w:val="single" w:sz="2" w:space="1" w:color="000000"/>
              </w:rPr>
              <w:t> </w:t>
            </w:r>
          </w:p>
        </w:tc>
        <w:tc>
          <w:tcPr>
            <w:tcW w:w="70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2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single" w:sz="2" w:space="1" w:color="000000"/>
              </w:rPr>
            </w:pPr>
            <w:r>
              <w:rPr>
                <w:bdr w:val="single" w:sz="2" w:space="1" w:color="000000"/>
              </w:rPr>
              <w:t> </w:t>
            </w:r>
          </w:p>
        </w:tc>
        <w:tc>
          <w:tcPr>
            <w:tcW w:w="101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153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591" w:type="dxa"/>
            <w:tcBorders/>
            <w:shd w:fill="CCEEFF" w:val="clear"/>
            <w:vAlign w:val="center"/>
          </w:tcPr>
          <w:p>
            <w:pPr>
              <w:pStyle w:val="TableContents"/>
              <w:bidi w:val="0"/>
              <w:spacing w:before="0" w:after="283"/>
              <w:jc w:val="right"/>
              <w:rPr/>
            </w:pPr>
            <w:r>
              <w:rPr/>
              <w:t>92,900,247</w:t>
            </w:r>
          </w:p>
        </w:tc>
        <w:tc>
          <w:tcPr>
            <w:tcW w:w="202"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15,560,358</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75" w:type="dxa"/>
            <w:tcBorders/>
            <w:shd w:fill="CCEEFF" w:val="clear"/>
            <w:vAlign w:val="center"/>
          </w:tcPr>
          <w:p>
            <w:pPr>
              <w:pStyle w:val="TableContents"/>
              <w:bidi w:val="0"/>
              <w:spacing w:before="0" w:after="283"/>
              <w:jc w:val="right"/>
              <w:rPr/>
            </w:pPr>
            <w:r>
              <w:rPr/>
              <w:t>5,977,682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(3,624,763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4,444,755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36,836,928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(695,589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36,961,404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1,598,354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38,559,758</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0"/>
              <w:jc w:val="left"/>
              <w:rPr>
                <w:bdr w:val="double" w:sz="6" w:space="1" w:color="000000"/>
              </w:rPr>
            </w:pPr>
            <w:r>
              <w:rPr>
                <w:bdr w:val="double" w:sz="6" w:space="1" w:color="000000"/>
              </w:rPr>
              <w:t> </w:t>
            </w:r>
          </w:p>
        </w:tc>
        <w:tc>
          <w:tcPr>
            <w:tcW w:w="1591" w:type="dxa"/>
            <w:tcBorders/>
            <w:vAlign w:val="center"/>
          </w:tcPr>
          <w:p>
            <w:pPr>
              <w:pStyle w:val="TableContents"/>
              <w:bidi w:val="0"/>
              <w:spacing w:before="0" w:after="0"/>
              <w:jc w:val="left"/>
              <w:rPr>
                <w:bdr w:val="double" w:sz="6" w:space="1" w:color="000000"/>
              </w:rPr>
            </w:pPr>
            <w:r>
              <w:rPr>
                <w:bdr w:val="double" w:sz="6" w:space="1" w:color="000000"/>
              </w:rPr>
              <w:t> </w:t>
            </w:r>
          </w:p>
        </w:tc>
        <w:tc>
          <w:tcPr>
            <w:tcW w:w="202"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jc w:val="left"/>
              <w:rPr>
                <w:bdr w:val="double" w:sz="6" w:space="1" w:color="000000"/>
              </w:rPr>
            </w:pPr>
            <w:r>
              <w:rPr>
                <w:bdr w:val="double" w:sz="6" w:space="1" w:color="000000"/>
              </w:rPr>
              <w:t> </w:t>
            </w:r>
          </w:p>
        </w:tc>
        <w:tc>
          <w:tcPr>
            <w:tcW w:w="73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bdr w:val="double" w:sz="6" w:space="1" w:color="000000"/>
              </w:rPr>
            </w:pPr>
            <w:r>
              <w:rPr>
                <w:bdr w:val="double" w:sz="6" w:space="1" w:color="000000"/>
              </w:rPr>
              <w:t> </w:t>
            </w:r>
          </w:p>
        </w:tc>
        <w:tc>
          <w:tcPr>
            <w:tcW w:w="1623" w:type="dxa"/>
            <w:tcBorders/>
            <w:vAlign w:val="center"/>
          </w:tcPr>
          <w:p>
            <w:pPr>
              <w:pStyle w:val="TableContents"/>
              <w:bidi w:val="0"/>
              <w:spacing w:before="0" w:after="0"/>
              <w:jc w:val="left"/>
              <w:rPr>
                <w:bdr w:val="double" w:sz="6" w:space="1" w:color="000000"/>
              </w:rPr>
            </w:pPr>
            <w:r>
              <w:rPr>
                <w:bdr w:val="double" w:sz="6" w:space="1" w:color="000000"/>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70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2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double" w:sz="6" w:space="1" w:color="000000"/>
              </w:rPr>
            </w:pPr>
            <w:r>
              <w:rPr>
                <w:bdr w:val="double" w:sz="6" w:space="1" w:color="000000"/>
              </w:rPr>
              <w:t> </w:t>
            </w:r>
          </w:p>
        </w:tc>
        <w:tc>
          <w:tcPr>
            <w:tcW w:w="101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153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CONSOLIDATED STATEMENTS OF SHAREHOLDERS’ EQUITY </w:t>
      </w:r>
    </w:p>
    <w:p>
      <w:pPr>
        <w:pStyle w:val="TextBody"/>
        <w:bidi w:val="0"/>
        <w:spacing w:before="0" w:after="0"/>
        <w:jc w:val="center"/>
        <w:rPr>
          <w:rFonts w:ascii="Times New Roman" w:hAnsi="Times New Roman"/>
          <w:sz w:val="20"/>
        </w:rPr>
      </w:pPr>
      <w:r>
        <w:rPr>
          <w:rFonts w:ascii="Times New Roman" w:hAnsi="Times New Roman"/>
          <w:sz w:val="20"/>
        </w:rPr>
        <w:t>(Continued)</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data) </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ind w:left="0" w:right="0" w:hanging="0"/>
        <w:jc w:val="left"/>
        <w:rPr>
          <w:sz w:val="16"/>
        </w:rPr>
      </w:pPr>
      <w:r>
        <w:rPr>
          <w:sz w:val="16"/>
        </w:rPr>
      </w:r>
    </w:p>
    <w:tbl>
      <w:tblPr>
        <w:tblW w:w="18664" w:type="dxa"/>
        <w:jc w:val="left"/>
        <w:tblInd w:w="0" w:type="dxa"/>
        <w:tblLayout w:type="fixed"/>
        <w:tblCellMar>
          <w:top w:w="0" w:type="dxa"/>
          <w:left w:w="0" w:type="dxa"/>
          <w:bottom w:w="0" w:type="dxa"/>
          <w:right w:w="0" w:type="dxa"/>
        </w:tblCellMar>
      </w:tblPr>
      <w:tblGrid>
        <w:gridCol w:w="1130"/>
        <w:gridCol w:w="120"/>
        <w:gridCol w:w="87"/>
        <w:gridCol w:w="1599"/>
        <w:gridCol w:w="225"/>
        <w:gridCol w:w="87"/>
        <w:gridCol w:w="160"/>
        <w:gridCol w:w="700"/>
        <w:gridCol w:w="60"/>
        <w:gridCol w:w="120"/>
        <w:gridCol w:w="88"/>
        <w:gridCol w:w="1623"/>
        <w:gridCol w:w="88"/>
        <w:gridCol w:w="177"/>
        <w:gridCol w:w="159"/>
        <w:gridCol w:w="701"/>
        <w:gridCol w:w="60"/>
        <w:gridCol w:w="120"/>
        <w:gridCol w:w="69"/>
        <w:gridCol w:w="1271"/>
        <w:gridCol w:w="155"/>
        <w:gridCol w:w="60"/>
        <w:gridCol w:w="60"/>
        <w:gridCol w:w="1055"/>
        <w:gridCol w:w="155"/>
        <w:gridCol w:w="60"/>
        <w:gridCol w:w="60"/>
        <w:gridCol w:w="980"/>
        <w:gridCol w:w="155"/>
        <w:gridCol w:w="60"/>
        <w:gridCol w:w="60"/>
        <w:gridCol w:w="1100"/>
        <w:gridCol w:w="155"/>
        <w:gridCol w:w="60"/>
        <w:gridCol w:w="69"/>
        <w:gridCol w:w="1016"/>
        <w:gridCol w:w="155"/>
        <w:gridCol w:w="60"/>
        <w:gridCol w:w="60"/>
        <w:gridCol w:w="1100"/>
        <w:gridCol w:w="155"/>
        <w:gridCol w:w="60"/>
        <w:gridCol w:w="93"/>
        <w:gridCol w:w="1532"/>
        <w:gridCol w:w="155"/>
        <w:gridCol w:w="60"/>
        <w:gridCol w:w="60"/>
        <w:gridCol w:w="1100"/>
        <w:gridCol w:w="170"/>
      </w:tblGrid>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4029" w:type="dxa"/>
            <w:gridSpan w:val="38"/>
            <w:tcBorders/>
            <w:vAlign w:val="center"/>
          </w:tcPr>
          <w:p>
            <w:pPr>
              <w:pStyle w:val="TableContents"/>
              <w:bidi w:val="0"/>
              <w:spacing w:before="0" w:after="0"/>
              <w:jc w:val="center"/>
              <w:rPr>
                <w:b/>
                <w:spacing w:val="0"/>
              </w:rPr>
            </w:pPr>
            <w:r>
              <w:rPr>
                <w:b/>
                <w:spacing w:val="0"/>
              </w:rPr>
              <w:t>Vipshop Holdings Limited Shareholders’ Equity</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858" w:type="dxa"/>
            <w:gridSpan w:val="6"/>
            <w:tcBorders/>
            <w:vAlign w:val="center"/>
          </w:tcPr>
          <w:p>
            <w:pPr>
              <w:pStyle w:val="TableContents"/>
              <w:bidi w:val="0"/>
              <w:spacing w:before="0" w:after="0"/>
              <w:jc w:val="center"/>
              <w:rPr>
                <w:b/>
                <w:spacing w:val="0"/>
              </w:rPr>
            </w:pPr>
            <w:r>
              <w:rPr>
                <w:b/>
                <w:spacing w:val="0"/>
              </w:rPr>
              <w:t>Class A ordinary shares</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836" w:type="dxa"/>
            <w:gridSpan w:val="6"/>
            <w:tcBorders/>
            <w:vAlign w:val="center"/>
          </w:tcPr>
          <w:p>
            <w:pPr>
              <w:pStyle w:val="TableContents"/>
              <w:bidi w:val="0"/>
              <w:spacing w:before="0" w:after="0"/>
              <w:jc w:val="center"/>
              <w:rPr>
                <w:b/>
                <w:spacing w:val="0"/>
              </w:rPr>
            </w:pPr>
            <w:r>
              <w:rPr>
                <w:b/>
                <w:spacing w:val="0"/>
              </w:rPr>
              <w:t>Class B ordinary shares</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2670" w:type="dxa"/>
            <w:gridSpan w:val="6"/>
            <w:tcBorders/>
            <w:vAlign w:val="center"/>
          </w:tcPr>
          <w:p>
            <w:pPr>
              <w:pStyle w:val="TableContents"/>
              <w:bidi w:val="0"/>
              <w:spacing w:before="0" w:after="0"/>
              <w:jc w:val="center"/>
              <w:rPr>
                <w:b/>
                <w:spacing w:val="0"/>
              </w:rPr>
            </w:pPr>
            <w:r>
              <w:rPr>
                <w:b/>
                <w:spacing w:val="0"/>
              </w:rPr>
              <w:t>Treasury shares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Additional</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paid in</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Retained</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85"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Accumulated</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other</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comprehensive</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Total Vipshop</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Holdings</w:t>
            </w:r>
          </w:p>
          <w:p>
            <w:pPr>
              <w:pStyle w:val="TableContents"/>
              <w:bidi w:val="0"/>
              <w:spacing w:before="0" w:after="0"/>
              <w:jc w:val="center"/>
              <w:rPr>
                <w:rFonts w:ascii="Times New Roman" w:hAnsi="Times New Roman"/>
                <w:b/>
                <w:spacing w:val="0"/>
                <w:sz w:val="16"/>
              </w:rPr>
            </w:pPr>
            <w:r>
              <w:rPr>
                <w:rFonts w:ascii="Times New Roman" w:hAnsi="Times New Roman"/>
                <w:b/>
                <w:spacing w:val="0"/>
                <w:sz w:val="16"/>
              </w:rPr>
              <w:t>Limited</w:t>
            </w:r>
          </w:p>
          <w:p>
            <w:pPr>
              <w:pStyle w:val="TableContents"/>
              <w:bidi w:val="0"/>
              <w:spacing w:before="0" w:after="20"/>
              <w:jc w:val="center"/>
              <w:rPr>
                <w:rFonts w:ascii="Times New Roman" w:hAnsi="Times New Roman"/>
                <w:b/>
                <w:spacing w:val="0"/>
                <w:sz w:val="16"/>
              </w:rPr>
            </w:pPr>
            <w:r>
              <w:rPr>
                <w:rFonts w:ascii="Times New Roman" w:hAnsi="Times New Roman"/>
                <w:b/>
                <w:spacing w:val="0"/>
                <w:sz w:val="16"/>
              </w:rPr>
              <w:t>Shareholders’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Non-controlling</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Total</w:t>
            </w:r>
          </w:p>
        </w:tc>
        <w:tc>
          <w:tcPr>
            <w:tcW w:w="170" w:type="dxa"/>
            <w:tcBorders/>
            <w:vAlign w:val="center"/>
          </w:tcPr>
          <w:p>
            <w:pPr>
              <w:pStyle w:val="TableContents"/>
              <w:bidi w:val="0"/>
              <w:spacing w:before="0" w:after="0"/>
              <w:jc w:val="left"/>
              <w:rPr/>
            </w:pPr>
            <w:r>
              <w:rPr/>
              <w:t> </w:t>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686" w:type="dxa"/>
            <w:gridSpan w:val="2"/>
            <w:tcBorders/>
            <w:vAlign w:val="center"/>
          </w:tcPr>
          <w:p>
            <w:pPr>
              <w:pStyle w:val="TableContents"/>
              <w:bidi w:val="0"/>
              <w:spacing w:before="0" w:after="0"/>
              <w:jc w:val="center"/>
              <w:rPr>
                <w:b/>
                <w:spacing w:val="0"/>
              </w:rPr>
            </w:pPr>
            <w:r>
              <w:rPr>
                <w:b/>
                <w:spacing w:val="0"/>
              </w:rPr>
              <w:t>No. of shares</w:t>
            </w:r>
          </w:p>
        </w:tc>
        <w:tc>
          <w:tcPr>
            <w:tcW w:w="225" w:type="dxa"/>
            <w:tcBorders/>
            <w:vAlign w:val="center"/>
          </w:tcPr>
          <w:p>
            <w:pPr>
              <w:pStyle w:val="TableContents"/>
              <w:bidi w:val="0"/>
              <w:spacing w:before="0" w:after="0"/>
              <w:jc w:val="left"/>
              <w:rPr/>
            </w:pPr>
            <w:r>
              <w:rPr/>
              <w:t> </w:t>
            </w:r>
          </w:p>
        </w:tc>
        <w:tc>
          <w:tcPr>
            <w:tcW w:w="87"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711" w:type="dxa"/>
            <w:gridSpan w:val="2"/>
            <w:tcBorders/>
            <w:vAlign w:val="center"/>
          </w:tcPr>
          <w:p>
            <w:pPr>
              <w:pStyle w:val="TableContents"/>
              <w:bidi w:val="0"/>
              <w:spacing w:before="0" w:after="0"/>
              <w:jc w:val="center"/>
              <w:rPr>
                <w:b/>
                <w:spacing w:val="0"/>
              </w:rPr>
            </w:pPr>
            <w:r>
              <w:rPr>
                <w:b/>
                <w:spacing w:val="0"/>
              </w:rPr>
              <w:t>No. of shares</w:t>
            </w:r>
          </w:p>
        </w:tc>
        <w:tc>
          <w:tcPr>
            <w:tcW w:w="88"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40" w:type="dxa"/>
            <w:gridSpan w:val="2"/>
            <w:tcBorders/>
            <w:vAlign w:val="center"/>
          </w:tcPr>
          <w:p>
            <w:pPr>
              <w:pStyle w:val="TableContents"/>
              <w:bidi w:val="0"/>
              <w:spacing w:before="0" w:after="0"/>
              <w:jc w:val="center"/>
              <w:rPr>
                <w:b/>
                <w:spacing w:val="0"/>
              </w:rPr>
            </w:pPr>
            <w:r>
              <w:rPr>
                <w:b/>
                <w:spacing w:val="0"/>
              </w:rPr>
              <w:t>No. of shares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Amount</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capital</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earnings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85" w:type="dxa"/>
            <w:gridSpan w:val="2"/>
            <w:tcBorders/>
            <w:vAlign w:val="center"/>
          </w:tcPr>
          <w:p>
            <w:pPr>
              <w:pStyle w:val="TableContents"/>
              <w:bidi w:val="0"/>
              <w:spacing w:before="0" w:after="0"/>
              <w:jc w:val="center"/>
              <w:rPr>
                <w:b/>
                <w:spacing w:val="0"/>
              </w:rPr>
            </w:pPr>
            <w:r>
              <w:rPr>
                <w:b/>
                <w:spacing w:val="0"/>
              </w:rPr>
              <w:t>(loss)income</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Equity</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interests</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Equity</w:t>
            </w:r>
          </w:p>
        </w:tc>
        <w:tc>
          <w:tcPr>
            <w:tcW w:w="170" w:type="dxa"/>
            <w:tcBorders/>
            <w:vAlign w:val="center"/>
          </w:tcPr>
          <w:p>
            <w:pPr>
              <w:pStyle w:val="TableContents"/>
              <w:bidi w:val="0"/>
              <w:spacing w:before="0" w:after="0"/>
              <w:jc w:val="left"/>
              <w:rPr/>
            </w:pPr>
            <w:r>
              <w:rPr/>
              <w:t> </w:t>
            </w:r>
          </w:p>
        </w:tc>
      </w:tr>
      <w:tr>
        <w:trPr/>
        <w:tc>
          <w:tcPr>
            <w:tcW w:w="113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686" w:type="dxa"/>
            <w:gridSpan w:val="2"/>
            <w:tcBorders/>
            <w:vAlign w:val="center"/>
          </w:tcPr>
          <w:p>
            <w:pPr>
              <w:pStyle w:val="TableContents"/>
              <w:bidi w:val="0"/>
              <w:spacing w:before="0" w:after="0"/>
              <w:jc w:val="left"/>
              <w:rPr/>
            </w:pPr>
            <w:r>
              <w:rPr/>
              <w:t> </w:t>
            </w:r>
          </w:p>
        </w:tc>
        <w:tc>
          <w:tcPr>
            <w:tcW w:w="225" w:type="dxa"/>
            <w:tcBorders/>
            <w:vAlign w:val="center"/>
          </w:tcPr>
          <w:p>
            <w:pPr>
              <w:pStyle w:val="TableContents"/>
              <w:bidi w:val="0"/>
              <w:spacing w:before="0" w:after="0"/>
              <w:jc w:val="left"/>
              <w:rPr/>
            </w:pPr>
            <w:r>
              <w:rPr/>
              <w:t> </w:t>
            </w:r>
          </w:p>
        </w:tc>
        <w:tc>
          <w:tcPr>
            <w:tcW w:w="87"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711" w:type="dxa"/>
            <w:gridSpan w:val="2"/>
            <w:tcBorders/>
            <w:vAlign w:val="center"/>
          </w:tcPr>
          <w:p>
            <w:pPr>
              <w:pStyle w:val="TableContents"/>
              <w:bidi w:val="0"/>
              <w:spacing w:before="0" w:after="0"/>
              <w:jc w:val="left"/>
              <w:rPr/>
            </w:pPr>
            <w:r>
              <w:rPr/>
              <w:t> </w:t>
            </w:r>
          </w:p>
        </w:tc>
        <w:tc>
          <w:tcPr>
            <w:tcW w:w="88" w:type="dxa"/>
            <w:tcBorders/>
            <w:vAlign w:val="center"/>
          </w:tcPr>
          <w:p>
            <w:pPr>
              <w:pStyle w:val="TableContents"/>
              <w:bidi w:val="0"/>
              <w:spacing w:before="0" w:after="0"/>
              <w:jc w:val="left"/>
              <w:rPr/>
            </w:pPr>
            <w:r>
              <w:rPr/>
              <w:t> </w:t>
            </w:r>
          </w:p>
        </w:tc>
        <w:tc>
          <w:tcPr>
            <w:tcW w:w="177" w:type="dxa"/>
            <w:tcBorders/>
            <w:vAlign w:val="center"/>
          </w:tcPr>
          <w:p>
            <w:pPr>
              <w:pStyle w:val="TableContents"/>
              <w:bidi w:val="0"/>
              <w:spacing w:before="0" w:after="0"/>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340"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08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0"/>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92,900,247</w:t>
            </w:r>
          </w:p>
        </w:tc>
        <w:tc>
          <w:tcPr>
            <w:tcW w:w="22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15,560,358</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5,977,682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(3,624,763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4,444,755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36,836,928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(695,589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36,961,404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1,598,354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38,559,758</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 income</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9" w:type="dxa"/>
            <w:tcBorders/>
            <w:vAlign w:val="center"/>
          </w:tcPr>
          <w:p>
            <w:pPr>
              <w:pStyle w:val="TableContents"/>
              <w:bidi w:val="0"/>
              <w:spacing w:before="0" w:after="283"/>
              <w:jc w:val="right"/>
              <w:rPr/>
            </w:pPr>
            <w:r>
              <w:rPr/>
              <w:t>— </w:t>
            </w:r>
          </w:p>
        </w:tc>
        <w:tc>
          <w:tcPr>
            <w:tcW w:w="225"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7,739,935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7,739,935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99,010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7,838,945</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Repurchase of ordinary shares</w:t>
            </w:r>
          </w:p>
          <w:p>
            <w:pPr>
              <w:pStyle w:val="TableContents"/>
              <w:bidi w:val="0"/>
              <w:spacing w:before="0" w:after="20"/>
              <w:jc w:val="left"/>
              <w:rPr>
                <w:rFonts w:ascii="Times New Roman" w:hAnsi="Times New Roman"/>
                <w:sz w:val="16"/>
              </w:rPr>
            </w:pPr>
            <w:r>
              <w:rPr>
                <w:rFonts w:ascii="Times New Roman" w:hAnsi="Times New Roman"/>
                <w:sz w:val="16"/>
              </w:rPr>
              <w:t>(Note 17)</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(7,680,684</w:t>
            </w:r>
          </w:p>
        </w:tc>
        <w:tc>
          <w:tcPr>
            <w:tcW w:w="22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7,680,684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(3,852,387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(3,852,387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(3,852,387</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Issuance of ordinary shares upon vesting of shares awards</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9" w:type="dxa"/>
            <w:tcBorders/>
            <w:vAlign w:val="center"/>
          </w:tcPr>
          <w:p>
            <w:pPr>
              <w:pStyle w:val="TableContents"/>
              <w:bidi w:val="0"/>
              <w:spacing w:before="0" w:after="283"/>
              <w:jc w:val="right"/>
              <w:rPr/>
            </w:pPr>
            <w:r>
              <w:rPr/>
              <w:t>1,118,228</w:t>
            </w:r>
          </w:p>
        </w:tc>
        <w:tc>
          <w:tcPr>
            <w:tcW w:w="225"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w:t>
            </w:r>
          </w:p>
        </w:tc>
        <w:tc>
          <w:tcPr>
            <w:tcW w:w="15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Issuance of ordinary shares upon exercises of share options</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14,000</w:t>
            </w:r>
          </w:p>
        </w:tc>
        <w:tc>
          <w:tcPr>
            <w:tcW w:w="22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251</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pacing w:val="0"/>
                <w:sz w:val="16"/>
              </w:rPr>
            </w:pPr>
            <w:r>
              <w:rPr>
                <w:rFonts w:ascii="Times New Roman" w:hAnsi="Times New Roman"/>
                <w:spacing w:val="0"/>
                <w:sz w:val="16"/>
              </w:rPr>
              <w:t>Re-issuance</w:t>
            </w:r>
          </w:p>
          <w:p>
            <w:pPr>
              <w:pStyle w:val="TableContents"/>
              <w:bidi w:val="0"/>
              <w:spacing w:before="0" w:after="0"/>
              <w:jc w:val="left"/>
              <w:rPr>
                <w:rFonts w:ascii="Times New Roman" w:hAnsi="Times New Roman"/>
                <w:sz w:val="16"/>
              </w:rPr>
            </w:pPr>
            <w:r>
              <w:rPr>
                <w:rFonts w:ascii="Times New Roman" w:hAnsi="Times New Roman"/>
                <w:sz w:val="16"/>
              </w:rPr>
              <w:t>of treasury shares upon vesting of shares awards</w:t>
            </w:r>
          </w:p>
          <w:p>
            <w:pPr>
              <w:pStyle w:val="TableContents"/>
              <w:bidi w:val="0"/>
              <w:spacing w:before="0" w:after="20"/>
              <w:jc w:val="left"/>
              <w:rPr>
                <w:rFonts w:ascii="Times New Roman" w:hAnsi="Times New Roman"/>
                <w:sz w:val="16"/>
              </w:rPr>
            </w:pPr>
            <w:r>
              <w:rPr>
                <w:rFonts w:ascii="Times New Roman" w:hAnsi="Times New Roman"/>
                <w:sz w:val="16"/>
              </w:rPr>
              <w:t>(Note 17)</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9" w:type="dxa"/>
            <w:tcBorders/>
            <w:vAlign w:val="center"/>
          </w:tcPr>
          <w:p>
            <w:pPr>
              <w:pStyle w:val="TableContents"/>
              <w:bidi w:val="0"/>
              <w:spacing w:before="0" w:after="283"/>
              <w:jc w:val="right"/>
              <w:rPr/>
            </w:pPr>
            <w:r>
              <w:rPr/>
              <w:t>630,353</w:t>
            </w:r>
          </w:p>
        </w:tc>
        <w:tc>
          <w:tcPr>
            <w:tcW w:w="225"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(630,353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434,391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(434,391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Share-based compensation expense</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22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1,177,685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1,177,685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1,177,685</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Capital contribution from </w:t>
            </w:r>
          </w:p>
          <w:p>
            <w:pPr>
              <w:pStyle w:val="TableContents"/>
              <w:bidi w:val="0"/>
              <w:spacing w:before="0" w:after="0"/>
              <w:jc w:val="left"/>
              <w:rPr>
                <w:rFonts w:ascii="Times New Roman" w:hAnsi="Times New Roman"/>
                <w:sz w:val="16"/>
              </w:rPr>
            </w:pPr>
            <w:r>
              <w:rPr>
                <w:rFonts w:ascii="Times New Roman" w:hAnsi="Times New Roman"/>
                <w:sz w:val="16"/>
              </w:rPr>
              <w:t>non-controlling</w:t>
            </w:r>
          </w:p>
          <w:p>
            <w:pPr>
              <w:pStyle w:val="TableContents"/>
              <w:bidi w:val="0"/>
              <w:spacing w:before="0" w:after="0"/>
              <w:jc w:val="left"/>
              <w:rPr>
                <w:rFonts w:ascii="Times New Roman" w:hAnsi="Times New Roman"/>
                <w:sz w:val="16"/>
              </w:rPr>
            </w:pPr>
            <w:r>
              <w:rPr>
                <w:rFonts w:ascii="Times New Roman" w:hAnsi="Times New Roman"/>
                <w:sz w:val="16"/>
              </w:rPr>
              <w:t>interests shareholders (Note 18)</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9" w:type="dxa"/>
            <w:tcBorders/>
            <w:vAlign w:val="center"/>
          </w:tcPr>
          <w:p>
            <w:pPr>
              <w:pStyle w:val="TableContents"/>
              <w:bidi w:val="0"/>
              <w:spacing w:before="0" w:after="283"/>
              <w:jc w:val="right"/>
              <w:rPr/>
            </w:pPr>
            <w:r>
              <w:rPr/>
              <w:t>— </w:t>
            </w:r>
          </w:p>
        </w:tc>
        <w:tc>
          <w:tcPr>
            <w:tcW w:w="225"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8,297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155,563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163,860</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Deregistration of a subsidiary</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22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(1,275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(1,275</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Acquisition of additional equity interest in subsidiaries (Note 18)</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9" w:type="dxa"/>
            <w:tcBorders/>
            <w:vAlign w:val="center"/>
          </w:tcPr>
          <w:p>
            <w:pPr>
              <w:pStyle w:val="TableContents"/>
              <w:bidi w:val="0"/>
              <w:spacing w:before="0" w:after="283"/>
              <w:jc w:val="right"/>
              <w:rPr/>
            </w:pPr>
            <w:r>
              <w:rPr/>
              <w:t>— </w:t>
            </w:r>
          </w:p>
        </w:tc>
        <w:tc>
          <w:tcPr>
            <w:tcW w:w="225"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(283,892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(283,892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(228,345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(512,237</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Dividend distribution to </w:t>
            </w:r>
          </w:p>
          <w:p>
            <w:pPr>
              <w:pStyle w:val="TableContents"/>
              <w:bidi w:val="0"/>
              <w:spacing w:before="0" w:after="0"/>
              <w:jc w:val="left"/>
              <w:rPr>
                <w:rFonts w:ascii="Times New Roman" w:hAnsi="Times New Roman"/>
                <w:sz w:val="16"/>
              </w:rPr>
            </w:pPr>
            <w:r>
              <w:rPr>
                <w:rFonts w:ascii="Times New Roman" w:hAnsi="Times New Roman"/>
                <w:sz w:val="16"/>
              </w:rPr>
              <w:t>non-controlling</w:t>
            </w:r>
          </w:p>
          <w:p>
            <w:pPr>
              <w:pStyle w:val="TableContents"/>
              <w:bidi w:val="0"/>
              <w:spacing w:before="0" w:after="0"/>
              <w:jc w:val="left"/>
              <w:rPr>
                <w:rFonts w:ascii="Times New Roman" w:hAnsi="Times New Roman"/>
                <w:sz w:val="16"/>
              </w:rPr>
            </w:pPr>
            <w:r>
              <w:rPr>
                <w:rFonts w:ascii="Times New Roman" w:hAnsi="Times New Roman"/>
                <w:sz w:val="16"/>
              </w:rPr>
              <w:t>interests shareholders</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22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(42,891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(42,891</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Dividend distribution to the Company’s shareholders</w:t>
            </w:r>
          </w:p>
          <w:p>
            <w:pPr>
              <w:pStyle w:val="TableContents"/>
              <w:bidi w:val="0"/>
              <w:spacing w:before="0" w:after="20"/>
              <w:jc w:val="left"/>
              <w:rPr>
                <w:rFonts w:ascii="Times New Roman" w:hAnsi="Times New Roman"/>
                <w:sz w:val="16"/>
              </w:rPr>
            </w:pPr>
            <w:r>
              <w:rPr>
                <w:rFonts w:ascii="Times New Roman" w:hAnsi="Times New Roman"/>
                <w:sz w:val="16"/>
              </w:rPr>
              <w:t>(Note 17)</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9" w:type="dxa"/>
            <w:tcBorders/>
            <w:vAlign w:val="center"/>
          </w:tcPr>
          <w:p>
            <w:pPr>
              <w:pStyle w:val="TableContents"/>
              <w:bidi w:val="0"/>
              <w:spacing w:before="0" w:after="283"/>
              <w:jc w:val="right"/>
              <w:rPr/>
            </w:pPr>
            <w:r>
              <w:rPr/>
              <w:t>— </w:t>
            </w:r>
          </w:p>
        </w:tc>
        <w:tc>
          <w:tcPr>
            <w:tcW w:w="225"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(1,670,675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(1,670,675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(1,670,675</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Changes of fair value of debt securities derived from the share of income of an equity method investee</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— </w:t>
            </w:r>
          </w:p>
        </w:tc>
        <w:tc>
          <w:tcPr>
            <w:tcW w:w="22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(148,886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(148,886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(148,886</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Foreign currency translation</w:t>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9" w:type="dxa"/>
            <w:tcBorders/>
            <w:vAlign w:val="center"/>
          </w:tcPr>
          <w:p>
            <w:pPr>
              <w:pStyle w:val="TableContents"/>
              <w:bidi w:val="0"/>
              <w:spacing w:before="0" w:after="283"/>
              <w:jc w:val="right"/>
              <w:rPr/>
            </w:pPr>
            <w:r>
              <w:rPr/>
              <w:t>— </w:t>
            </w:r>
          </w:p>
        </w:tc>
        <w:tc>
          <w:tcPr>
            <w:tcW w:w="225"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pPr>
            <w:r>
              <w:rPr/>
              <w:t> </w:t>
            </w:r>
          </w:p>
        </w:tc>
        <w:tc>
          <w:tcPr>
            <w:tcW w:w="1623" w:type="dxa"/>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271"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016" w:type="dxa"/>
            <w:tcBorders/>
            <w:vAlign w:val="center"/>
          </w:tcPr>
          <w:p>
            <w:pPr>
              <w:pStyle w:val="TableContents"/>
              <w:bidi w:val="0"/>
              <w:spacing w:before="0" w:after="283"/>
              <w:jc w:val="right"/>
              <w:rPr/>
            </w:pPr>
            <w:r>
              <w:rPr/>
              <w:t>37,081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37,081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37,081</w:t>
            </w:r>
          </w:p>
        </w:tc>
        <w:tc>
          <w:tcPr>
            <w:tcW w:w="170"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599" w:type="dxa"/>
            <w:tcBorders/>
            <w:vAlign w:val="center"/>
          </w:tcPr>
          <w:p>
            <w:pPr>
              <w:pStyle w:val="TableContents"/>
              <w:bidi w:val="0"/>
              <w:spacing w:before="0" w:after="0"/>
              <w:jc w:val="left"/>
              <w:rPr>
                <w:bdr w:val="single" w:sz="2" w:space="1" w:color="000000"/>
              </w:rPr>
            </w:pPr>
            <w:r>
              <w:rPr>
                <w:bdr w:val="single" w:sz="2" w:space="1" w:color="000000"/>
              </w:rPr>
              <w:t> </w:t>
            </w:r>
          </w:p>
        </w:tc>
        <w:tc>
          <w:tcPr>
            <w:tcW w:w="225"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single" w:sz="2" w:space="1" w:color="000000"/>
              </w:rPr>
            </w:pPr>
            <w:r>
              <w:rPr>
                <w:bdr w:val="single" w:sz="2" w:space="1" w:color="000000"/>
              </w:rPr>
              <w:t> </w:t>
            </w:r>
          </w:p>
        </w:tc>
        <w:tc>
          <w:tcPr>
            <w:tcW w:w="7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bdr w:val="single" w:sz="2" w:space="1" w:color="000000"/>
              </w:rPr>
            </w:pPr>
            <w:r>
              <w:rPr>
                <w:bdr w:val="single" w:sz="2" w:space="1" w:color="000000"/>
              </w:rPr>
              <w:t> </w:t>
            </w:r>
          </w:p>
        </w:tc>
        <w:tc>
          <w:tcPr>
            <w:tcW w:w="1623" w:type="dxa"/>
            <w:tcBorders/>
            <w:vAlign w:val="center"/>
          </w:tcPr>
          <w:p>
            <w:pPr>
              <w:pStyle w:val="TableContents"/>
              <w:bidi w:val="0"/>
              <w:spacing w:before="0" w:after="0"/>
              <w:jc w:val="left"/>
              <w:rPr>
                <w:bdr w:val="single" w:sz="2" w:space="1" w:color="000000"/>
              </w:rPr>
            </w:pPr>
            <w:r>
              <w:rPr>
                <w:bdr w:val="single" w:sz="2" w:space="1" w:color="000000"/>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single" w:sz="2" w:space="1" w:color="000000"/>
              </w:rPr>
            </w:pPr>
            <w:r>
              <w:rPr>
                <w:bdr w:val="single" w:sz="2" w:space="1" w:color="000000"/>
              </w:rPr>
              <w:t> </w:t>
            </w:r>
          </w:p>
        </w:tc>
        <w:tc>
          <w:tcPr>
            <w:tcW w:w="70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single" w:sz="2" w:space="1" w:color="000000"/>
              </w:rPr>
            </w:pPr>
            <w:r>
              <w:rPr>
                <w:bdr w:val="single" w:sz="2" w:space="1" w:color="000000"/>
              </w:rPr>
              <w:t> </w:t>
            </w:r>
          </w:p>
        </w:tc>
        <w:tc>
          <w:tcPr>
            <w:tcW w:w="1271"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single" w:sz="2" w:space="1" w:color="000000"/>
              </w:rPr>
            </w:pPr>
            <w:r>
              <w:rPr>
                <w:bdr w:val="single" w:sz="2" w:space="1" w:color="000000"/>
              </w:rPr>
              <w:t> </w:t>
            </w:r>
          </w:p>
        </w:tc>
        <w:tc>
          <w:tcPr>
            <w:tcW w:w="1016"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1532"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13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9" w:type="dxa"/>
            <w:tcBorders/>
            <w:shd w:fill="CCEEFF" w:val="clear"/>
            <w:vAlign w:val="center"/>
          </w:tcPr>
          <w:p>
            <w:pPr>
              <w:pStyle w:val="TableContents"/>
              <w:bidi w:val="0"/>
              <w:spacing w:before="0" w:after="283"/>
              <w:jc w:val="right"/>
              <w:rPr/>
            </w:pPr>
            <w:r>
              <w:rPr/>
              <w:t>86,982,144</w:t>
            </w:r>
          </w:p>
        </w:tc>
        <w:tc>
          <w:tcPr>
            <w:tcW w:w="225"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623" w:type="dxa"/>
            <w:tcBorders/>
            <w:shd w:fill="CCEEFF" w:val="clear"/>
            <w:vAlign w:val="center"/>
          </w:tcPr>
          <w:p>
            <w:pPr>
              <w:pStyle w:val="TableContents"/>
              <w:bidi w:val="0"/>
              <w:spacing w:before="0" w:after="283"/>
              <w:jc w:val="right"/>
              <w:rPr/>
            </w:pPr>
            <w:r>
              <w:rPr/>
              <w:t>15,560,358</w:t>
            </w:r>
          </w:p>
        </w:tc>
        <w:tc>
          <w:tcPr>
            <w:tcW w:w="8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271" w:type="dxa"/>
            <w:tcBorders/>
            <w:shd w:fill="CCEEFF" w:val="clear"/>
            <w:vAlign w:val="center"/>
          </w:tcPr>
          <w:p>
            <w:pPr>
              <w:pStyle w:val="TableContents"/>
              <w:bidi w:val="0"/>
              <w:spacing w:before="0" w:after="283"/>
              <w:jc w:val="right"/>
              <w:rPr/>
            </w:pPr>
            <w:r>
              <w:rPr/>
              <w:t>13,028,013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(7,042,759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4,912,703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42,906,188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(807,394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39,968,813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1,580,416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41,549,229</w:t>
            </w:r>
          </w:p>
        </w:tc>
        <w:tc>
          <w:tcPr>
            <w:tcW w:w="170" w:type="dxa"/>
            <w:tcBorders/>
            <w:shd w:fill="CCEEFF" w:val="clear"/>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double" w:sz="6" w:space="1" w:color="000000"/>
              </w:rPr>
            </w:pPr>
            <w:r>
              <w:rPr>
                <w:bdr w:val="double" w:sz="6" w:space="1" w:color="000000"/>
              </w:rPr>
              <w:t> </w:t>
            </w:r>
          </w:p>
        </w:tc>
        <w:tc>
          <w:tcPr>
            <w:tcW w:w="1599" w:type="dxa"/>
            <w:tcBorders/>
            <w:vAlign w:val="center"/>
          </w:tcPr>
          <w:p>
            <w:pPr>
              <w:pStyle w:val="TableContents"/>
              <w:bidi w:val="0"/>
              <w:spacing w:before="0" w:after="0"/>
              <w:jc w:val="left"/>
              <w:rPr>
                <w:bdr w:val="double" w:sz="6" w:space="1" w:color="000000"/>
              </w:rPr>
            </w:pPr>
            <w:r>
              <w:rPr>
                <w:bdr w:val="double" w:sz="6" w:space="1" w:color="000000"/>
              </w:rPr>
              <w:t> </w:t>
            </w:r>
          </w:p>
        </w:tc>
        <w:tc>
          <w:tcPr>
            <w:tcW w:w="225"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jc w:val="left"/>
              <w:rPr>
                <w:bdr w:val="double" w:sz="6" w:space="1" w:color="000000"/>
              </w:rPr>
            </w:pPr>
            <w:r>
              <w:rPr>
                <w:bdr w:val="double" w:sz="6" w:space="1" w:color="000000"/>
              </w:rPr>
              <w:t> </w:t>
            </w:r>
          </w:p>
        </w:tc>
        <w:tc>
          <w:tcPr>
            <w:tcW w:w="7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0"/>
              <w:jc w:val="left"/>
              <w:rPr>
                <w:bdr w:val="double" w:sz="6" w:space="1" w:color="000000"/>
              </w:rPr>
            </w:pPr>
            <w:r>
              <w:rPr>
                <w:bdr w:val="double" w:sz="6" w:space="1" w:color="000000"/>
              </w:rPr>
              <w:t> </w:t>
            </w:r>
          </w:p>
        </w:tc>
        <w:tc>
          <w:tcPr>
            <w:tcW w:w="1623" w:type="dxa"/>
            <w:tcBorders/>
            <w:vAlign w:val="center"/>
          </w:tcPr>
          <w:p>
            <w:pPr>
              <w:pStyle w:val="TableContents"/>
              <w:bidi w:val="0"/>
              <w:spacing w:before="0" w:after="0"/>
              <w:jc w:val="left"/>
              <w:rPr>
                <w:bdr w:val="double" w:sz="6" w:space="1" w:color="000000"/>
              </w:rPr>
            </w:pPr>
            <w:r>
              <w:rPr>
                <w:bdr w:val="double" w:sz="6" w:space="1" w:color="000000"/>
              </w:rPr>
              <w:t> </w:t>
            </w:r>
          </w:p>
        </w:tc>
        <w:tc>
          <w:tcPr>
            <w:tcW w:w="8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jc w:val="left"/>
              <w:rPr>
                <w:bdr w:val="double" w:sz="6" w:space="1" w:color="000000"/>
              </w:rPr>
            </w:pPr>
            <w:r>
              <w:rPr>
                <w:bdr w:val="double" w:sz="6" w:space="1" w:color="000000"/>
              </w:rPr>
              <w:t> </w:t>
            </w:r>
          </w:p>
        </w:tc>
        <w:tc>
          <w:tcPr>
            <w:tcW w:w="70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double" w:sz="6" w:space="1" w:color="000000"/>
              </w:rPr>
            </w:pPr>
            <w:r>
              <w:rPr>
                <w:bdr w:val="double" w:sz="6" w:space="1" w:color="000000"/>
              </w:rPr>
              <w:t> </w:t>
            </w:r>
          </w:p>
        </w:tc>
        <w:tc>
          <w:tcPr>
            <w:tcW w:w="1271"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0"/>
              <w:jc w:val="left"/>
              <w:rPr>
                <w:bdr w:val="double" w:sz="6" w:space="1" w:color="000000"/>
              </w:rPr>
            </w:pPr>
            <w:r>
              <w:rPr>
                <w:bdr w:val="double" w:sz="6" w:space="1" w:color="000000"/>
              </w:rPr>
              <w:t> </w:t>
            </w:r>
          </w:p>
        </w:tc>
        <w:tc>
          <w:tcPr>
            <w:tcW w:w="1016"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1532"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CONSOLIDATED STATEMENTS OF CASH FLOWS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20"/>
        <w:gridCol w:w="120"/>
        <w:gridCol w:w="60"/>
        <w:gridCol w:w="1175"/>
        <w:gridCol w:w="155"/>
        <w:gridCol w:w="60"/>
        <w:gridCol w:w="60"/>
        <w:gridCol w:w="1100"/>
        <w:gridCol w:w="155"/>
        <w:gridCol w:w="60"/>
        <w:gridCol w:w="60"/>
        <w:gridCol w:w="1055"/>
        <w:gridCol w:w="155"/>
        <w:gridCol w:w="60"/>
        <w:gridCol w:w="60"/>
        <w:gridCol w:w="980"/>
        <w:gridCol w:w="170"/>
      </w:tblGrid>
      <w:tr>
        <w:trPr/>
        <w:tc>
          <w:tcPr>
            <w:tcW w:w="4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9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Note 2(z)</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75" w:type="dxa"/>
            <w:tcBorders/>
            <w:vAlign w:val="center"/>
          </w:tcPr>
          <w:p>
            <w:pPr>
              <w:pStyle w:val="TableContents"/>
              <w:bidi w:val="0"/>
              <w:spacing w:before="0" w:after="0"/>
              <w:jc w:val="right"/>
              <w:rPr>
                <w:b/>
                <w:spacing w:val="0"/>
              </w:rPr>
            </w:pPr>
            <w:r>
              <w:rPr>
                <w:b/>
                <w:spacing w:val="0"/>
              </w:rPr>
              <w:t>6,311,835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8,201,299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b/>
                <w:spacing w:val="0"/>
              </w:rPr>
            </w:pPr>
            <w:r>
              <w:rPr>
                <w:b/>
                <w:spacing w:val="0"/>
              </w:rPr>
              <w:t>7,838,945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1,073,930</w:t>
            </w:r>
          </w:p>
        </w:tc>
        <w:tc>
          <w:tcPr>
            <w:tcW w:w="170" w:type="dxa"/>
            <w:tcBorders/>
            <w:vAlign w:val="center"/>
          </w:tcPr>
          <w:p>
            <w:pPr>
              <w:pStyle w:val="TableContents"/>
              <w:bidi w:val="0"/>
              <w:spacing w:before="0" w:after="0"/>
              <w:jc w:val="left"/>
              <w:rPr>
                <w:spacing w:val="0"/>
              </w:rPr>
            </w:pPr>
            <w:r>
              <w:rPr>
                <w:spacing w:val="0"/>
              </w:rPr>
              <w:t> </w:t>
            </w:r>
          </w:p>
        </w:tc>
      </w:tr>
      <w:tr>
        <w:trPr/>
        <w:tc>
          <w:tcPr>
            <w:tcW w:w="47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Adjustments to reconcile net income to net cash by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Provision for allowance for doubtful accounts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70,427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28,114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44,807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6,139</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Changes of inventory write-down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130,660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(681,173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xml:space="preserve">(312,414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xml:space="preserve">(42,801 </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Depreciation of property and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1,231,305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1,299,384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1,418,492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194,333</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deferred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(41,408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(49,301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xml:space="preserve">(72,415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xml:space="preserve">(9,921 </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239,302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156,241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518</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Amortization of land use rights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178,840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217,323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270,063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36,998</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79,018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3,988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546</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(28,743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118,758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91,371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12,518</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 (gain) on disposal of long-lived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34,785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5,262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xml:space="preserve">(3,776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xml:space="preserve">(517 </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 based compensation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1,207,581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1,509,806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1,537,740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210,670</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 of loss (income) of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6,559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(80,301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xml:space="preserve">(166,980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xml:space="preserve">(22,876 </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loss of other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93,904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19,105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61,246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8,391</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 gain and revaluation of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(236,374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(10,217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xml:space="preserve">(135,132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xml:space="preserve">(18,513 </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Gain on disposal of equity method investees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(304,570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Gain on disposal of other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(605</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Noncash lease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293,235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130,447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76,567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10,490</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Changes in operating assets and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(99,333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(199,852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xml:space="preserve">(126,178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xml:space="preserve">(17,286 </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due from related parties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(32,650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(25,220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xml:space="preserve">(39,543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xml:space="preserve">(5,417 </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 and prepayments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(263,404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12,613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xml:space="preserve">(185,599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xml:space="preserve">(25,427 </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long-term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8,870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Interest receivables on short-term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(12,294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(6,201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xml:space="preserve">(19,424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xml:space="preserve">(2,661 </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1,455,103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601,440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944,727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129,427</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Dividends received from equity method investees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149,426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102,545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156,517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21,443</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982,951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2,565,874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(2,170,812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(297,400</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Advances from customers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(94,711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(47,543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345,303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47,306</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(248,491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666,260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xml:space="preserve">(356,287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xml:space="preserve">(48,812 </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due to related parties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(210,952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(40,063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xml:space="preserve">(2,486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xml:space="preserve">(341 </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(66,034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46,882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5,780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792</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(318,310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(127,500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xml:space="preserve">(74,878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xml:space="preserve">(10,258 </w:t>
            </w:r>
          </w:p>
        </w:tc>
        <w:tc>
          <w:tcPr>
            <w:tcW w:w="170"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75" w:type="dxa"/>
            <w:tcBorders/>
            <w:shd w:fill="CCEEFF" w:val="clear"/>
            <w:vAlign w:val="center"/>
          </w:tcPr>
          <w:p>
            <w:pPr>
              <w:pStyle w:val="TableContents"/>
              <w:bidi w:val="0"/>
              <w:spacing w:before="0" w:after="0"/>
              <w:jc w:val="right"/>
              <w:rPr>
                <w:b/>
                <w:spacing w:val="0"/>
              </w:rPr>
            </w:pPr>
            <w:r>
              <w:rPr>
                <w:b/>
                <w:spacing w:val="0"/>
              </w:rPr>
              <w:t>10,519,692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14,414,513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b/>
                <w:spacing w:val="0"/>
              </w:rPr>
            </w:pPr>
            <w:r>
              <w:rPr>
                <w:b/>
                <w:spacing w:val="0"/>
              </w:rPr>
              <w:t>9,128,983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1,250,666</w:t>
            </w:r>
          </w:p>
        </w:tc>
        <w:tc>
          <w:tcPr>
            <w:tcW w:w="170" w:type="dxa"/>
            <w:tcBorders/>
            <w:shd w:fill="CCEEFF" w:val="clear"/>
            <w:vAlign w:val="center"/>
          </w:tcPr>
          <w:p>
            <w:pPr>
              <w:pStyle w:val="TableContents"/>
              <w:bidi w:val="0"/>
              <w:spacing w:before="0" w:after="0"/>
              <w:jc w:val="left"/>
              <w:rPr>
                <w:spacing w:val="0"/>
              </w:rPr>
            </w:pPr>
            <w:r>
              <w:rPr>
                <w:spacing w:val="0"/>
              </w:rPr>
              <w:t> </w:t>
            </w:r>
          </w:p>
        </w:tc>
      </w:tr>
      <w:tr>
        <w:trPr/>
        <w:tc>
          <w:tcPr>
            <w:tcW w:w="47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 and other long-term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(2,430,773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(2,167,178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(2,723,247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(373,083</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land use rights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(671,816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(3,063,559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xml:space="preserve">(839,339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(114,989</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Government subsidies received for land use rights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489,894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347,070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412,926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56,571</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 from disposal of property and equipment and land use rights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42,819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199,013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20,505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2,809</w:t>
            </w:r>
          </w:p>
        </w:tc>
        <w:tc>
          <w:tcPr>
            <w:tcW w:w="170" w:type="dxa"/>
            <w:tcBorders/>
            <w:vAlign w:val="center"/>
          </w:tcPr>
          <w:p>
            <w:pPr>
              <w:pStyle w:val="TableContents"/>
              <w:bidi w:val="0"/>
              <w:spacing w:before="0" w:after="283"/>
              <w:jc w:val="left"/>
              <w:rPr/>
            </w:pPr>
            <w:r>
              <w:rPr/>
              <w:t> </w:t>
            </w:r>
          </w:p>
        </w:tc>
      </w:tr>
      <w:tr>
        <w:trPr/>
        <w:tc>
          <w:tcPr>
            <w:tcW w:w="47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Purchases of short-term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(11,195,077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(3,959,000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(4,484,636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(614,393</w:t>
            </w:r>
          </w:p>
        </w:tc>
        <w:tc>
          <w:tcPr>
            <w:tcW w:w="170" w:type="dxa"/>
            <w:tcBorders/>
            <w:shd w:fill="CCEEFF" w:val="clear"/>
            <w:vAlign w:val="center"/>
          </w:tcPr>
          <w:p>
            <w:pPr>
              <w:pStyle w:val="TableContents"/>
              <w:bidi w:val="0"/>
              <w:spacing w:before="0" w:after="283"/>
              <w:jc w:val="left"/>
              <w:rPr/>
            </w:pPr>
            <w:r>
              <w:rPr/>
              <w:t>) </w:t>
            </w:r>
          </w:p>
        </w:tc>
      </w:tr>
      <w:tr>
        <w:trPr/>
        <w:tc>
          <w:tcPr>
            <w:tcW w:w="4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Redemption of short-term investments upon maturities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right"/>
              <w:rPr/>
            </w:pPr>
            <w:r>
              <w:rPr/>
              <w:t>14,950,467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3,565,610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4,608,304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631,335</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CONSOLIDATED STATEMENTS OF CASH FLOWS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50"/>
        <w:gridCol w:w="120"/>
        <w:gridCol w:w="60"/>
        <w:gridCol w:w="1100"/>
        <w:gridCol w:w="155"/>
        <w:gridCol w:w="60"/>
        <w:gridCol w:w="60"/>
        <w:gridCol w:w="1100"/>
        <w:gridCol w:w="155"/>
        <w:gridCol w:w="60"/>
        <w:gridCol w:w="60"/>
        <w:gridCol w:w="1100"/>
        <w:gridCol w:w="155"/>
        <w:gridCol w:w="60"/>
        <w:gridCol w:w="60"/>
        <w:gridCol w:w="980"/>
        <w:gridCol w:w="170"/>
      </w:tblGrid>
      <w:tr>
        <w:trPr/>
        <w:tc>
          <w:tcPr>
            <w:tcW w:w="4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6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Note 2(z)</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Investments in equity method investees and other investments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(283,700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(282,542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(374,921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(51,364</w:t>
            </w:r>
          </w:p>
        </w:tc>
        <w:tc>
          <w:tcPr>
            <w:tcW w:w="170" w:type="dxa"/>
            <w:tcBorders/>
            <w:shd w:fill="CCEEFF" w:val="clear"/>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 from disposal of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180,530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14,590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1,999</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for acquisition, net of cash acquired of RMB166,193, RMB nil and RMB nil in 2022, 2023 and 2024,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(387,507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 paid for an equity method investee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(250,500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(34,318</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loan originations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(269,335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(19,785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(59,752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(8,186</w:t>
            </w:r>
          </w:p>
        </w:tc>
        <w:tc>
          <w:tcPr>
            <w:tcW w:w="170" w:type="dxa"/>
            <w:tcBorders/>
            <w:shd w:fill="CCEEFF" w:val="clear"/>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received for disposal of subsidiaries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received from loan repayments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621,257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62,193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106,336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14,568</w:t>
            </w:r>
          </w:p>
        </w:tc>
        <w:tc>
          <w:tcPr>
            <w:tcW w:w="170" w:type="dxa"/>
            <w:tcBorders/>
            <w:shd w:fill="CCEEFF" w:val="clear"/>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investing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156,425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4,184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573</w:t>
            </w:r>
          </w:p>
        </w:tc>
        <w:tc>
          <w:tcPr>
            <w:tcW w:w="170" w:type="dxa"/>
            <w:tcBorders/>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 (used in) investing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1,049,153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(5,160,337</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100" w:type="dxa"/>
            <w:tcBorders/>
            <w:shd w:fill="CCEEFF" w:val="clear"/>
            <w:vAlign w:val="center"/>
          </w:tcPr>
          <w:p>
            <w:pPr>
              <w:pStyle w:val="TableContents"/>
              <w:bidi w:val="0"/>
              <w:spacing w:before="0" w:after="0"/>
              <w:jc w:val="right"/>
              <w:rPr>
                <w:b/>
                <w:spacing w:val="0"/>
              </w:rPr>
            </w:pPr>
            <w:r>
              <w:rPr>
                <w:b/>
                <w:spacing w:val="0"/>
              </w:rPr>
              <w:t>(3,565,550</w:t>
            </w:r>
          </w:p>
        </w:tc>
        <w:tc>
          <w:tcPr>
            <w:tcW w:w="155" w:type="dxa"/>
            <w:tcBorders/>
            <w:shd w:fill="CCEEFF" w:val="clear"/>
            <w:vAlign w:val="center"/>
          </w:tcPr>
          <w:p>
            <w:pPr>
              <w:pStyle w:val="TableContents"/>
              <w:bidi w:val="0"/>
              <w:spacing w:before="0" w:after="0"/>
              <w:jc w:val="left"/>
              <w:rPr>
                <w:b/>
                <w:spacing w:val="0"/>
              </w:rPr>
            </w:pPr>
            <w:r>
              <w:rPr>
                <w:b/>
                <w:spacing w:val="0"/>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b/>
                <w:spacing w:val="0"/>
              </w:rPr>
            </w:pPr>
            <w:r>
              <w:rPr>
                <w:b/>
                <w:spacing w:val="0"/>
              </w:rPr>
              <w:t>(488,478</w:t>
            </w:r>
          </w:p>
        </w:tc>
        <w:tc>
          <w:tcPr>
            <w:tcW w:w="170" w:type="dxa"/>
            <w:tcBorders/>
            <w:shd w:fill="CCEEFF" w:val="clear"/>
            <w:vAlign w:val="center"/>
          </w:tcPr>
          <w:p>
            <w:pPr>
              <w:pStyle w:val="TableContents"/>
              <w:bidi w:val="0"/>
              <w:spacing w:before="0" w:after="0"/>
              <w:jc w:val="left"/>
              <w:rPr>
                <w:b/>
                <w:spacing w:val="0"/>
              </w:rPr>
            </w:pPr>
            <w:r>
              <w:rPr>
                <w:b/>
                <w:spacing w:val="0"/>
              </w:rPr>
              <w:t>) </w:t>
            </w:r>
          </w:p>
        </w:tc>
      </w:tr>
      <w:tr>
        <w:trPr/>
        <w:tc>
          <w:tcPr>
            <w:tcW w:w="4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bank and other borrowings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4,592,327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2,093,483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6,399,917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876,785</w:t>
            </w:r>
          </w:p>
        </w:tc>
        <w:tc>
          <w:tcPr>
            <w:tcW w:w="170" w:type="dxa"/>
            <w:tcBorders/>
            <w:shd w:fill="CCEEFF" w:val="clear"/>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 to bank and other borrowings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(4,047,898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(3,355,887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(5,444,814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(745,936</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Borrowing from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8,905</w:t>
            </w:r>
          </w:p>
        </w:tc>
        <w:tc>
          <w:tcPr>
            <w:tcW w:w="170" w:type="dxa"/>
            <w:tcBorders/>
            <w:shd w:fill="CCEEFF" w:val="clear"/>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Repayment of loans from equity method investees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(71,400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(14,800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(108,700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(14,892</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Repayment of loans from </w:t>
            </w:r>
          </w:p>
          <w:p>
            <w:pPr>
              <w:pStyle w:val="TableContents"/>
              <w:bidi w:val="0"/>
              <w:spacing w:before="0" w:after="0"/>
              <w:jc w:val="left"/>
              <w:rPr>
                <w:rFonts w:ascii="Times New Roman" w:hAnsi="Times New Roman"/>
                <w:sz w:val="20"/>
              </w:rPr>
            </w:pPr>
            <w:r>
              <w:rPr>
                <w:rFonts w:ascii="Times New Roman" w:hAnsi="Times New Roman"/>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(47,250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(36,100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(4,946</w:t>
            </w:r>
          </w:p>
        </w:tc>
        <w:tc>
          <w:tcPr>
            <w:tcW w:w="170" w:type="dxa"/>
            <w:tcBorders/>
            <w:shd w:fill="CCEEFF" w:val="clear"/>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Borrowing from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shareholders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87,000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58,550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97,800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13,399</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Capital contributions from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185,195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285,450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160,500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21,988</w:t>
            </w:r>
          </w:p>
        </w:tc>
        <w:tc>
          <w:tcPr>
            <w:tcW w:w="170" w:type="dxa"/>
            <w:tcBorders/>
            <w:shd w:fill="CCEEFF" w:val="clear"/>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ordinary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(6,257,703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(5,106,944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(3,865,781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(529,610</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Cash paid to </w:t>
            </w:r>
          </w:p>
          <w:p>
            <w:pPr>
              <w:pStyle w:val="TableContents"/>
              <w:bidi w:val="0"/>
              <w:spacing w:before="0" w:after="0"/>
              <w:jc w:val="left"/>
              <w:rPr>
                <w:rFonts w:ascii="Times New Roman" w:hAnsi="Times New Roman"/>
                <w:sz w:val="20"/>
              </w:rPr>
            </w:pPr>
            <w:r>
              <w:rPr>
                <w:rFonts w:ascii="Times New Roman" w:hAnsi="Times New Roman"/>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shareholders for deregistration of subsidiaries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(175</w:t>
            </w:r>
          </w:p>
        </w:tc>
        <w:tc>
          <w:tcPr>
            <w:tcW w:w="170" w:type="dxa"/>
            <w:tcBorders/>
            <w:shd w:fill="CCEEFF" w:val="clear"/>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Acquisition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(7,105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(73,000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(512,237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(70,176</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Dividend distribution to </w:t>
            </w:r>
          </w:p>
          <w:p>
            <w:pPr>
              <w:pStyle w:val="TableContents"/>
              <w:bidi w:val="0"/>
              <w:spacing w:before="0" w:after="0"/>
              <w:jc w:val="left"/>
              <w:rPr>
                <w:rFonts w:ascii="Times New Roman" w:hAnsi="Times New Roman"/>
                <w:sz w:val="20"/>
              </w:rPr>
            </w:pPr>
            <w:r>
              <w:rPr>
                <w:rFonts w:ascii="Times New Roman" w:hAnsi="Times New Roman"/>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(34,807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(39,107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(39,417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(5,400</w:t>
            </w:r>
          </w:p>
        </w:tc>
        <w:tc>
          <w:tcPr>
            <w:tcW w:w="170" w:type="dxa"/>
            <w:tcBorders/>
            <w:shd w:fill="CCEEFF" w:val="clear"/>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distribution to shareholders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(1,684,721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(230,806</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Proceeds from issuance of ordinary shares upon exercise of share options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w:t>
            </w:r>
          </w:p>
        </w:tc>
        <w:tc>
          <w:tcPr>
            <w:tcW w:w="170" w:type="dxa"/>
            <w:tcBorders/>
            <w:shd w:fill="CCEEFF" w:val="clear"/>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 financing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(5,573,391</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(6,146,005</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(4,969,579</w:t>
            </w:r>
          </w:p>
        </w:tc>
        <w:tc>
          <w:tcPr>
            <w:tcW w:w="155" w:type="dxa"/>
            <w:tcBorders/>
            <w:vAlign w:val="center"/>
          </w:tcPr>
          <w:p>
            <w:pPr>
              <w:pStyle w:val="TableContents"/>
              <w:bidi w:val="0"/>
              <w:spacing w:before="0" w:after="0"/>
              <w:jc w:val="left"/>
              <w:rPr>
                <w:b/>
                <w:spacing w:val="0"/>
              </w:rPr>
            </w:pPr>
            <w:r>
              <w:rPr>
                <w:b/>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(680,830</w:t>
            </w:r>
          </w:p>
        </w:tc>
        <w:tc>
          <w:tcPr>
            <w:tcW w:w="170" w:type="dxa"/>
            <w:tcBorders/>
            <w:vAlign w:val="center"/>
          </w:tcPr>
          <w:p>
            <w:pPr>
              <w:pStyle w:val="TableContents"/>
              <w:bidi w:val="0"/>
              <w:spacing w:before="0" w:after="0"/>
              <w:jc w:val="left"/>
              <w:rPr>
                <w:b/>
                <w:spacing w:val="0"/>
              </w:rPr>
            </w:pPr>
            <w:r>
              <w:rPr>
                <w:b/>
                <w:spacing w:val="0"/>
              </w:rPr>
              <w:t>) </w:t>
            </w:r>
          </w:p>
        </w:tc>
      </w:tr>
      <w:tr>
        <w:trPr/>
        <w:tc>
          <w:tcPr>
            <w:tcW w:w="4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 cash equivalents and restricted cash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(63,322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85,794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63,283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8,670</w:t>
            </w:r>
          </w:p>
        </w:tc>
        <w:tc>
          <w:tcPr>
            <w:tcW w:w="170" w:type="dxa"/>
            <w:tcBorders/>
            <w:shd w:fill="CCEEFF" w:val="clear"/>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increase in cash, cash equivalents and restricted cash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5,932,132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3,193,965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657,137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90,028</w:t>
            </w:r>
          </w:p>
        </w:tc>
        <w:tc>
          <w:tcPr>
            <w:tcW w:w="170" w:type="dxa"/>
            <w:tcBorders/>
            <w:vAlign w:val="center"/>
          </w:tcPr>
          <w:p>
            <w:pPr>
              <w:pStyle w:val="TableContents"/>
              <w:bidi w:val="0"/>
              <w:spacing w:before="0" w:after="0"/>
              <w:jc w:val="left"/>
              <w:rPr>
                <w:spacing w:val="0"/>
              </w:rPr>
            </w:pPr>
            <w:r>
              <w:rPr>
                <w:spacing w:val="0"/>
              </w:rPr>
              <w:t> </w:t>
            </w:r>
          </w:p>
        </w:tc>
      </w:tr>
      <w:tr>
        <w:trPr/>
        <w:tc>
          <w:tcPr>
            <w:tcW w:w="4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at beginning of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17,171,269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23,103,401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26,297,366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3,602,724</w:t>
            </w:r>
          </w:p>
        </w:tc>
        <w:tc>
          <w:tcPr>
            <w:tcW w:w="170" w:type="dxa"/>
            <w:tcBorders/>
            <w:shd w:fill="CCEEFF" w:val="clear"/>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at end of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23,103,401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26,297,366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26,954,503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3,692,752</w:t>
            </w:r>
          </w:p>
        </w:tc>
        <w:tc>
          <w:tcPr>
            <w:tcW w:w="170" w:type="dxa"/>
            <w:tcBorders/>
            <w:vAlign w:val="center"/>
          </w:tcPr>
          <w:p>
            <w:pPr>
              <w:pStyle w:val="TableContents"/>
              <w:bidi w:val="0"/>
              <w:spacing w:before="0" w:after="0"/>
              <w:jc w:val="left"/>
              <w:rPr>
                <w:spacing w:val="0"/>
              </w:rPr>
            </w:pPr>
            <w:r>
              <w:rPr>
                <w:spacing w:val="0"/>
              </w:rPr>
              <w:t> </w:t>
            </w:r>
          </w:p>
        </w:tc>
      </w:tr>
      <w:tr>
        <w:trPr/>
        <w:tc>
          <w:tcPr>
            <w:tcW w:w="4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Reconciliation in amounts on the consolidated balance sheets: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21,938,653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25,414,729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26,352,161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3,610,231</w:t>
            </w:r>
          </w:p>
        </w:tc>
        <w:tc>
          <w:tcPr>
            <w:tcW w:w="170" w:type="dxa"/>
            <w:tcBorders/>
            <w:vAlign w:val="center"/>
          </w:tcPr>
          <w:p>
            <w:pPr>
              <w:pStyle w:val="TableContents"/>
              <w:bidi w:val="0"/>
              <w:spacing w:before="0" w:after="283"/>
              <w:jc w:val="left"/>
              <w:rPr/>
            </w:pPr>
            <w:r>
              <w:rPr/>
              <w:t> </w:t>
            </w:r>
          </w:p>
        </w:tc>
      </w:tr>
      <w:tr>
        <w:trPr/>
        <w:tc>
          <w:tcPr>
            <w:tcW w:w="4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1,164,748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882,637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602,342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82,521</w:t>
            </w:r>
          </w:p>
        </w:tc>
        <w:tc>
          <w:tcPr>
            <w:tcW w:w="170" w:type="dxa"/>
            <w:tcBorders/>
            <w:shd w:fill="CCEEFF" w:val="clear"/>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7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cash, cash equivalents and restricted cash at end of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23,103,401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26,297,366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1100" w:type="dxa"/>
            <w:tcBorders/>
            <w:vAlign w:val="center"/>
          </w:tcPr>
          <w:p>
            <w:pPr>
              <w:pStyle w:val="TableContents"/>
              <w:bidi w:val="0"/>
              <w:spacing w:before="0" w:after="0"/>
              <w:jc w:val="right"/>
              <w:rPr>
                <w:b/>
                <w:spacing w:val="0"/>
              </w:rPr>
            </w:pPr>
            <w:r>
              <w:rPr>
                <w:b/>
                <w:spacing w:val="0"/>
              </w:rPr>
              <w:t>26,954,503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b/>
                <w:spacing w:val="0"/>
              </w:rPr>
            </w:pPr>
            <w:r>
              <w:rPr>
                <w:b/>
                <w:spacing w:val="0"/>
              </w:rPr>
              <w:t>3,692,752</w:t>
            </w:r>
          </w:p>
        </w:tc>
        <w:tc>
          <w:tcPr>
            <w:tcW w:w="170" w:type="dxa"/>
            <w:tcBorders/>
            <w:vAlign w:val="center"/>
          </w:tcPr>
          <w:p>
            <w:pPr>
              <w:pStyle w:val="TableContents"/>
              <w:bidi w:val="0"/>
              <w:spacing w:before="0" w:after="0"/>
              <w:jc w:val="left"/>
              <w:rPr>
                <w:spacing w:val="0"/>
              </w:rPr>
            </w:pPr>
            <w:r>
              <w:rPr>
                <w:spacing w:val="0"/>
              </w:rPr>
              <w:t> </w:t>
            </w:r>
          </w:p>
        </w:tc>
      </w:tr>
      <w:tr>
        <w:trPr/>
        <w:tc>
          <w:tcPr>
            <w:tcW w:w="4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The accompanying notes are an integral part of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VIPSHOP HOLDINGS LIMITED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CONSOLIDATED STATEMENTS OF CASH FLOWS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(All amounts in thousands) </w:t>
      </w:r>
    </w:p>
    <w:p>
      <w:pPr>
        <w:pStyle w:val="TextBody"/>
        <w:bidi w:val="0"/>
        <w:spacing w:before="0" w:after="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5457"/>
        <w:gridCol w:w="120"/>
        <w:gridCol w:w="60"/>
        <w:gridCol w:w="980"/>
        <w:gridCol w:w="60"/>
        <w:gridCol w:w="120"/>
        <w:gridCol w:w="60"/>
        <w:gridCol w:w="980"/>
        <w:gridCol w:w="60"/>
        <w:gridCol w:w="120"/>
        <w:gridCol w:w="60"/>
        <w:gridCol w:w="980"/>
        <w:gridCol w:w="60"/>
        <w:gridCol w:w="120"/>
        <w:gridCol w:w="62"/>
        <w:gridCol w:w="830"/>
        <w:gridCol w:w="76"/>
      </w:tblGrid>
      <w:tr>
        <w:trPr/>
        <w:tc>
          <w:tcPr>
            <w:tcW w:w="54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45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552" w:type="dxa"/>
            <w:gridSpan w:val="14"/>
            <w:tcBorders/>
            <w:vAlign w:val="center"/>
          </w:tcPr>
          <w:p>
            <w:pPr>
              <w:pStyle w:val="TableContents"/>
              <w:bidi w:val="0"/>
              <w:spacing w:before="0" w:after="0"/>
              <w:jc w:val="center"/>
              <w:rPr>
                <w:b/>
                <w:spacing w:val="0"/>
              </w:rPr>
            </w:pPr>
            <w:r>
              <w:rPr>
                <w:b/>
                <w:spacing w:val="0"/>
              </w:rPr>
              <w:t>Year Ended December 31,</w:t>
            </w:r>
          </w:p>
        </w:tc>
        <w:tc>
          <w:tcPr>
            <w:tcW w:w="76" w:type="dxa"/>
            <w:tcBorders/>
            <w:vAlign w:val="center"/>
          </w:tcPr>
          <w:p>
            <w:pPr>
              <w:pStyle w:val="TableContents"/>
              <w:bidi w:val="0"/>
              <w:spacing w:before="0" w:after="283"/>
              <w:jc w:val="left"/>
              <w:rPr/>
            </w:pPr>
            <w:r>
              <w:rPr/>
              <w:t> </w:t>
            </w:r>
          </w:p>
        </w:tc>
      </w:tr>
      <w:tr>
        <w:trPr/>
        <w:tc>
          <w:tcPr>
            <w:tcW w:w="545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2024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2" w:type="dxa"/>
            <w:gridSpan w:val="2"/>
            <w:tcBorders/>
            <w:vAlign w:val="center"/>
          </w:tcPr>
          <w:p>
            <w:pPr>
              <w:pStyle w:val="TableContents"/>
              <w:bidi w:val="0"/>
              <w:spacing w:before="0" w:after="0"/>
              <w:jc w:val="center"/>
              <w:rPr>
                <w:b/>
                <w:spacing w:val="0"/>
              </w:rPr>
            </w:pPr>
            <w:r>
              <w:rPr>
                <w:b/>
                <w:spacing w:val="0"/>
              </w:rPr>
              <w:t>2024</w:t>
            </w:r>
          </w:p>
        </w:tc>
        <w:tc>
          <w:tcPr>
            <w:tcW w:w="76" w:type="dxa"/>
            <w:tcBorders/>
            <w:vAlign w:val="center"/>
          </w:tcPr>
          <w:p>
            <w:pPr>
              <w:pStyle w:val="TableContents"/>
              <w:bidi w:val="0"/>
              <w:spacing w:before="0" w:after="283"/>
              <w:jc w:val="left"/>
              <w:rPr/>
            </w:pPr>
            <w:r>
              <w:rPr/>
              <w:t> </w:t>
            </w:r>
          </w:p>
        </w:tc>
      </w:tr>
      <w:tr>
        <w:trPr/>
        <w:tc>
          <w:tcPr>
            <w:tcW w:w="545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2" w:type="dxa"/>
            <w:gridSpan w:val="2"/>
            <w:tcBorders/>
            <w:vAlign w:val="center"/>
          </w:tcPr>
          <w:p>
            <w:pPr>
              <w:pStyle w:val="TableContents"/>
              <w:bidi w:val="0"/>
              <w:spacing w:before="0" w:after="0"/>
              <w:jc w:val="center"/>
              <w:rPr>
                <w:b/>
                <w:spacing w:val="0"/>
              </w:rPr>
            </w:pPr>
            <w:r>
              <w:rPr>
                <w:b/>
                <w:spacing w:val="0"/>
              </w:rPr>
              <w:t>US$</w:t>
            </w:r>
          </w:p>
        </w:tc>
        <w:tc>
          <w:tcPr>
            <w:tcW w:w="76" w:type="dxa"/>
            <w:tcBorders/>
            <w:vAlign w:val="center"/>
          </w:tcPr>
          <w:p>
            <w:pPr>
              <w:pStyle w:val="TableContents"/>
              <w:bidi w:val="0"/>
              <w:spacing w:before="0" w:after="283"/>
              <w:jc w:val="left"/>
              <w:rPr/>
            </w:pPr>
            <w:r>
              <w:rPr/>
              <w:t> </w:t>
            </w:r>
          </w:p>
        </w:tc>
      </w:tr>
      <w:tr>
        <w:trPr/>
        <w:tc>
          <w:tcPr>
            <w:tcW w:w="5457"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2" w:type="dxa"/>
            <w:gridSpan w:val="2"/>
            <w:tcBorders/>
            <w:vAlign w:val="center"/>
          </w:tcPr>
          <w:p>
            <w:pPr>
              <w:pStyle w:val="TableContents"/>
              <w:bidi w:val="0"/>
              <w:spacing w:before="0" w:after="283"/>
              <w:jc w:val="center"/>
              <w:rPr/>
            </w:pPr>
            <w:r>
              <w:rPr/>
              <w:t>Note 2(z)</w:t>
            </w:r>
          </w:p>
        </w:tc>
        <w:tc>
          <w:tcPr>
            <w:tcW w:w="76" w:type="dxa"/>
            <w:tcBorders/>
            <w:vAlign w:val="center"/>
          </w:tcPr>
          <w:p>
            <w:pPr>
              <w:pStyle w:val="TableContents"/>
              <w:bidi w:val="0"/>
              <w:spacing w:before="0" w:after="283"/>
              <w:jc w:val="left"/>
              <w:rPr/>
            </w:pPr>
            <w:r>
              <w:rPr/>
              <w:t> </w:t>
            </w:r>
          </w:p>
        </w:tc>
      </w:tr>
      <w:tr>
        <w:trPr/>
        <w:tc>
          <w:tcPr>
            <w:tcW w:w="5457" w:type="dxa"/>
            <w:tcBorders/>
            <w:shd w:fill="CCEEFF" w:val="clear"/>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Supplemental disclosures of cash flow information: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sz w:val="4"/>
                <w:szCs w:val="4"/>
              </w:rPr>
            </w:pPr>
            <w:r>
              <w:rPr>
                <w:sz w:val="4"/>
                <w:szCs w:val="4"/>
              </w:rPr>
            </w:r>
          </w:p>
        </w:tc>
        <w:tc>
          <w:tcPr>
            <w:tcW w:w="830" w:type="dxa"/>
            <w:tcBorders/>
            <w:shd w:fill="CCEEFF" w:val="clear"/>
            <w:vAlign w:val="center"/>
          </w:tcPr>
          <w:p>
            <w:pPr>
              <w:pStyle w:val="TableContents"/>
              <w:bidi w:val="0"/>
              <w:spacing w:before="0" w:after="283"/>
              <w:jc w:val="left"/>
              <w:rPr>
                <w:sz w:val="4"/>
                <w:szCs w:val="4"/>
              </w:rPr>
            </w:pPr>
            <w:r>
              <w:rPr>
                <w:sz w:val="4"/>
                <w:szCs w:val="4"/>
              </w:rPr>
            </w:r>
          </w:p>
        </w:tc>
        <w:tc>
          <w:tcPr>
            <w:tcW w:w="76" w:type="dxa"/>
            <w:tcBorders/>
            <w:shd w:fill="CCEEFF" w:val="clear"/>
            <w:vAlign w:val="center"/>
          </w:tcPr>
          <w:p>
            <w:pPr>
              <w:pStyle w:val="TableContents"/>
              <w:bidi w:val="0"/>
              <w:spacing w:before="0" w:after="283"/>
              <w:jc w:val="left"/>
              <w:rPr>
                <w:sz w:val="4"/>
                <w:szCs w:val="4"/>
              </w:rPr>
            </w:pPr>
            <w:r>
              <w:rPr>
                <w:sz w:val="4"/>
                <w:szCs w:val="4"/>
              </w:rPr>
            </w:r>
          </w:p>
        </w:tc>
      </w:tr>
      <w:tr>
        <w:trPr/>
        <w:tc>
          <w:tcPr>
            <w:tcW w:w="545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Interest paid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21,822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26,480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57,681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7,902</w:t>
            </w:r>
          </w:p>
        </w:tc>
        <w:tc>
          <w:tcPr>
            <w:tcW w:w="76" w:type="dxa"/>
            <w:tcBorders/>
            <w:vAlign w:val="center"/>
          </w:tcPr>
          <w:p>
            <w:pPr>
              <w:pStyle w:val="TableContents"/>
              <w:bidi w:val="0"/>
              <w:spacing w:before="0" w:after="283"/>
              <w:jc w:val="left"/>
              <w:rPr/>
            </w:pPr>
            <w:r>
              <w:rPr/>
              <w:t> </w:t>
            </w:r>
          </w:p>
        </w:tc>
      </w:tr>
      <w:tr>
        <w:trPr/>
        <w:tc>
          <w:tcPr>
            <w:tcW w:w="545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tax paid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1,640,885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1,778,785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2,169,488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297,219</w:t>
            </w:r>
          </w:p>
        </w:tc>
        <w:tc>
          <w:tcPr>
            <w:tcW w:w="76" w:type="dxa"/>
            <w:tcBorders/>
            <w:shd w:fill="CCEEFF" w:val="clear"/>
            <w:vAlign w:val="center"/>
          </w:tcPr>
          <w:p>
            <w:pPr>
              <w:pStyle w:val="TableContents"/>
              <w:bidi w:val="0"/>
              <w:spacing w:before="0" w:after="283"/>
              <w:jc w:val="left"/>
              <w:rPr/>
            </w:pPr>
            <w:r>
              <w:rPr/>
              <w:t> </w:t>
            </w:r>
          </w:p>
        </w:tc>
      </w:tr>
      <w:tr>
        <w:trPr/>
        <w:tc>
          <w:tcPr>
            <w:tcW w:w="5457"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Supplemental disclosure of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non-cash</w:t>
            </w:r>
          </w:p>
          <w:p>
            <w:pPr>
              <w:pStyle w:val="TableContents"/>
              <w:bidi w:val="0"/>
              <w:spacing w:before="0" w:after="0"/>
              <w:jc w:val="left"/>
              <w:rPr>
                <w:rFonts w:ascii="Times New Roman" w:hAnsi="Times New Roman"/>
                <w:b/>
                <w:sz w:val="20"/>
              </w:rPr>
            </w:pPr>
            <w:r>
              <w:rPr>
                <w:rFonts w:ascii="Times New Roman" w:hAnsi="Times New Roman"/>
                <w:b/>
                <w:sz w:val="20"/>
              </w:rPr>
              <w:t>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5457"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Disposal of an equity method investment at inventories received.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177,543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545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Settlement of loan received through acquisition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5457"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Capital contribution from </w:t>
            </w:r>
          </w:p>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shareholders</w:t>
            </w:r>
          </w:p>
          <w:p>
            <w:pPr>
              <w:pStyle w:val="TableContents"/>
              <w:bidi w:val="0"/>
              <w:spacing w:before="0" w:after="0"/>
              <w:jc w:val="left"/>
              <w:rPr>
                <w:rFonts w:ascii="Times New Roman" w:hAnsi="Times New Roman"/>
                <w:sz w:val="20"/>
              </w:rPr>
            </w:pPr>
            <w:r>
              <w:rPr>
                <w:rFonts w:ascii="Times New Roman" w:hAnsi="Times New Roman"/>
                <w:sz w:val="20"/>
              </w:rPr>
              <w:t>settled by dividend payable, net of tax of RMB1,500, nil and RMB840 in 2022, 2023 and 2024,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0"/>
              <w:jc w:val="right"/>
              <w:rPr/>
            </w:pPr>
            <w:r>
              <w:rPr/>
              <w:t>3,360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460</w:t>
            </w:r>
          </w:p>
        </w:tc>
        <w:tc>
          <w:tcPr>
            <w:tcW w:w="76" w:type="dxa"/>
            <w:tcBorders/>
            <w:shd w:fill="CCEEFF" w:val="clear"/>
            <w:vAlign w:val="center"/>
          </w:tcPr>
          <w:p>
            <w:pPr>
              <w:pStyle w:val="TableContents"/>
              <w:bidi w:val="0"/>
              <w:spacing w:before="0" w:after="283"/>
              <w:jc w:val="left"/>
              <w:rPr/>
            </w:pPr>
            <w:r>
              <w:rPr/>
              <w:t> </w:t>
            </w:r>
          </w:p>
        </w:tc>
      </w:tr>
      <w:tr>
        <w:trPr/>
        <w:tc>
          <w:tcPr>
            <w:tcW w:w="5457"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Right-of-use</w:t>
            </w:r>
          </w:p>
          <w:p>
            <w:pPr>
              <w:pStyle w:val="TableContents"/>
              <w:bidi w:val="0"/>
              <w:spacing w:before="0" w:after="0"/>
              <w:jc w:val="left"/>
              <w:rPr>
                <w:rFonts w:ascii="Times New Roman" w:hAnsi="Times New Roman"/>
                <w:sz w:val="20"/>
              </w:rPr>
            </w:pPr>
            <w:r>
              <w:rPr>
                <w:rFonts w:ascii="Times New Roman" w:hAnsi="Times New Roman"/>
                <w:sz w:val="20"/>
              </w:rPr>
              <w:t>assets obtained under operating lease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301,796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32,594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31,231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4,279</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The accompanying notes are an integral part of the consolidated financial statements. </w:t>
      </w:r>
    </w:p>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430" w:type="dxa"/>
        <w:jc w:val="left"/>
        <w:tblInd w:w="0" w:type="dxa"/>
        <w:tblLayout w:type="fixed"/>
        <w:tblCellMar>
          <w:top w:w="0" w:type="dxa"/>
          <w:left w:w="0" w:type="dxa"/>
          <w:bottom w:w="0" w:type="dxa"/>
          <w:right w:w="0" w:type="dxa"/>
        </w:tblCellMar>
      </w:tblPr>
      <w:tblGrid>
        <w:gridCol w:w="215"/>
        <w:gridCol w:w="3215"/>
      </w:tblGrid>
      <w:tr>
        <w:trPr/>
        <w:tc>
          <w:tcPr>
            <w:tcW w:w="215" w:type="dxa"/>
            <w:tcBorders/>
            <w:vAlign w:val="center"/>
          </w:tcPr>
          <w:p>
            <w:pPr>
              <w:pStyle w:val="TableContents"/>
              <w:bidi w:val="0"/>
              <w:spacing w:before="0" w:after="0"/>
              <w:jc w:val="left"/>
              <w:rPr>
                <w:b/>
                <w:spacing w:val="0"/>
              </w:rPr>
            </w:pPr>
            <w:r>
              <w:rPr>
                <w:b/>
                <w:spacing w:val="0"/>
              </w:rPr>
              <w:t>1.</w:t>
            </w:r>
          </w:p>
        </w:tc>
        <w:tc>
          <w:tcPr>
            <w:tcW w:w="32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Organization and principal activities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Vipshop Holdings Limited (the “Company”) was incorporated in the Cayman Islands on August 27, 2010. The Company, through its subsidiaries, the consolidated variable interest entities (“VIEs”) and VIEs’ subsidiaries (collectively, the “Group”), operates online platforms that offer high-quality branded products to consumers in the People’s Republic of China (the “PRC”) through flash sales on its vipshop.com, vip.com online platforms. Flash sale represents an online retail format combining the advantages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and discount sales through selling a finite quantity of discounted products or services online for a limited period of time. </w:t>
      </w:r>
    </w:p>
    <w:p>
      <w:pPr>
        <w:pStyle w:val="TextBody"/>
        <w:bidi w:val="0"/>
        <w:spacing w:before="120" w:after="0"/>
        <w:jc w:val="left"/>
        <w:rPr>
          <w:rFonts w:ascii="Times New Roman" w:hAnsi="Times New Roman"/>
          <w:sz w:val="20"/>
        </w:rPr>
      </w:pPr>
      <w:r>
        <w:rPr>
          <w:rFonts w:ascii="Times New Roman" w:hAnsi="Times New Roman"/>
          <w:sz w:val="20"/>
        </w:rPr>
        <w:t xml:space="preserve">The Group also operates retail stores in China to supplement its online growth strategy. The Group acquired Shan Shan Outlets in July 2019, a leading player in the outlets industry in China,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to</w:t>
      </w:r>
    </w:p>
    <w:p>
      <w:pPr>
        <w:pStyle w:val="TextBody"/>
        <w:bidi w:val="0"/>
        <w:spacing w:before="120" w:after="0"/>
        <w:jc w:val="left"/>
        <w:rPr>
          <w:rFonts w:ascii="Times New Roman" w:hAnsi="Times New Roman"/>
          <w:sz w:val="20"/>
        </w:rPr>
      </w:pPr>
      <w:r>
        <w:rPr>
          <w:rFonts w:ascii="Times New Roman" w:hAnsi="Times New Roman"/>
          <w:sz w:val="20"/>
        </w:rPr>
        <w:t xml:space="preserve">establish presence in the offline outlet business in China.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Summary of significant accounting policies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75"/>
        <w:gridCol w:w="290"/>
        <w:gridCol w:w="18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1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presentation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have been prepared in accordance with accounting principles generally accepted in the United States of America (“U.S. GAAP”). </w:t>
      </w:r>
    </w:p>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305"/>
        <w:gridCol w:w="233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2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Principles of consolidation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include the financial statements of the Company, its subsidiaries, the consolidated VIEs and VIEs’ subsidiaries for which the Company is the primary beneficiary. All intercompany transactions, balances and unrealized profit and losses have been eliminated upon consolidation. </w:t>
      </w:r>
    </w:p>
    <w:p>
      <w:pPr>
        <w:pStyle w:val="TextBody"/>
        <w:bidi w:val="0"/>
        <w:spacing w:before="120" w:after="0"/>
        <w:jc w:val="left"/>
        <w:rPr>
          <w:rFonts w:ascii="Times New Roman" w:hAnsi="Times New Roman"/>
          <w:sz w:val="20"/>
        </w:rPr>
      </w:pPr>
      <w:r>
        <w:rPr>
          <w:rFonts w:ascii="Times New Roman" w:hAnsi="Times New Roman"/>
          <w:sz w:val="20"/>
        </w:rPr>
        <w:t xml:space="preserve">The Group evaluates the need to consolidate the VIEs and VIEs’ subsidiaries in which equity holders do not have the characteristics of a controlling financial interest or do not have sufficient equity at risk for the entity to finance its activities without additional subordinated financial support. </w:t>
      </w:r>
    </w:p>
    <w:p>
      <w:pPr>
        <w:pStyle w:val="TextBody"/>
        <w:bidi w:val="0"/>
        <w:spacing w:before="120" w:after="0"/>
        <w:jc w:val="left"/>
        <w:rPr>
          <w:rFonts w:ascii="Times New Roman" w:hAnsi="Times New Roman"/>
          <w:sz w:val="20"/>
        </w:rPr>
      </w:pPr>
      <w:r>
        <w:rPr>
          <w:rFonts w:ascii="Times New Roman" w:hAnsi="Times New Roman"/>
          <w:sz w:val="20"/>
        </w:rPr>
        <w:t xml:space="preserve">As foreign-invested companies engaged in internet-based businesses is subject to significant restrictions under current PRC laws and regulations, the Group and its PRC subsidiary, Vipshop (China) Co., Ltd. (“Vipshop China”), as a wholly foreign owned enterprise (“WFOE”), are restricted from holding the licenses that are necessary for the online operation in China. To comply with these restrictions, the Group conducts the Internet-related operations in the PRC through certain PRC domestic companies, whose equity interests are held by certain management members of the Group (“Nominee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Group, through Vipshop China, entered into a series of contractual arrangements with certain PRC domestic companies and the Nominee Shareholders, pursuant to which the Group is entitled to have the power to direct the activities that most significantly impact the VIEs, and receive effectively all economic benefits generated from the Nominee Shareholders’ equity interests in these VIEs. By entering into a series of contractual arrangements, the Group established three sets of VIEs: (i) Guangzhou Vipshop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Co., Ltd. (“Vipshop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(ii) Vipshop Information Technology Co., Ltd. (“Vipshop Information”); and (iii) Pin Jun Tong Enterprise Management &amp; Consulting Co., Ltd. (“Pin Jun Tong”). </w:t>
      </w:r>
    </w:p>
    <w:p>
      <w:pPr>
        <w:pStyle w:val="TextBody"/>
        <w:bidi w:val="0"/>
        <w:spacing w:before="120" w:after="0"/>
        <w:jc w:val="left"/>
        <w:rPr>
          <w:rFonts w:ascii="Times New Roman" w:hAnsi="Times New Roman"/>
          <w:sz w:val="20"/>
        </w:rPr>
      </w:pPr>
      <w:r>
        <w:rPr>
          <w:rFonts w:ascii="Times New Roman" w:hAnsi="Times New Roman"/>
          <w:sz w:val="20"/>
        </w:rPr>
        <w:t xml:space="preserve">The Group has concluded that it is the ultimate primary beneficiary of these PRC domestic companies and accordingly, consolidates these VIEs.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305"/>
        <w:gridCol w:w="233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23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Principles of consolidation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is a summary of the contractual agreements (collectively, “Contractual Agreements”) that the Group, through the WFOE, entered into with the consolidated VIEs and their Nominee Shareholders: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Equity Interest Pledge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Nominee Shareholders of these PRC domestic companies pledged all of their equity interests in these PRC domestic companies as collateral to ensure that these PRC domestic companies fully perform its obligations under the Exclusive Business Cooperation Agreement, Exclusive Option Agreement and Loan Agreement, and pay the consulting and service fees and repay the loan and the accrued interests to the WFOE when the same becomes due. The agreement will remain in effect until all of the obligations of these PRC domestic companies under the Exclusive Business Cooperation Agreement, Exclusive Option Agreement and Loan Agreement have been duly performed or terminated.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Exclusive Option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Nominee Shareholders of these PRC domestic companies granted the WFOE an irrevocable and exclusive right to purchase, or designate one or more persons to purchase, their equity interest in these PRC domestic companies at the WFOE’s sole and absolute discretion to the extent permitted by the PRC laws. The purchase price is equal to the higher of: (i) the amount of registered capital actually contributed by the equity holder; or (ii) a minimum price permitted by applicable PRC laws.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Power of Attorney Agreements </w:t>
      </w:r>
    </w:p>
    <w:p>
      <w:pPr>
        <w:pStyle w:val="TextBody"/>
        <w:bidi w:val="0"/>
        <w:spacing w:before="120" w:after="0"/>
        <w:jc w:val="left"/>
        <w:rPr>
          <w:rFonts w:ascii="Times New Roman" w:hAnsi="Times New Roman"/>
          <w:sz w:val="20"/>
        </w:rPr>
      </w:pPr>
      <w:r>
        <w:rPr>
          <w:rFonts w:ascii="Times New Roman" w:hAnsi="Times New Roman"/>
          <w:sz w:val="20"/>
        </w:rPr>
        <w:t xml:space="preserve">The Nominee Shareholders of these PRC domestic companies irrevocably authorized the WFOE to exercise the rights related to their shareholdings, including attending shareholders’ meetings and voting on their behalf on all matters, including but not limited to matters related to the transfer, pledge or disposition of their respective equity interests in these PRC domestic companies, and appointment of the executive directors and senior management of these PRC domestic companies. The WFOE has the right to appoint any individual or entity to exercise the power of attorney on its behalf. Each power of attorney will remain in effect until the shareholder ceases to hold any equity interest in these PRC domestic companies.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Exclusive Business Cooperation Agreement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WFOE entered into an agreement with these PRC domestic companies to provide these PRC domestic companies with technical, consulting and other services. In consideration of these services, these PRC domestic companies shall pay the WFOE fees equal to 100% of its net income of these PRC domestic companies, provided that the WFOE, at its sole discretion, shall have the right to adjust the rate of the service through written notice. The WFOE will exclusively own any intellectual property arising from the performance of this agreement. These PRC domestic companies have no right to terminate this agreement unless the WFOE commits gross negligence or fraud.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Loan Agreement </w:t>
      </w:r>
    </w:p>
    <w:p>
      <w:pPr>
        <w:pStyle w:val="TextBody"/>
        <w:bidi w:val="0"/>
        <w:spacing w:before="120" w:after="0"/>
        <w:jc w:val="left"/>
        <w:rPr>
          <w:rFonts w:ascii="Times New Roman" w:hAnsi="Times New Roman"/>
          <w:sz w:val="20"/>
        </w:rPr>
      </w:pPr>
      <w:r>
        <w:rPr>
          <w:rFonts w:ascii="Times New Roman" w:hAnsi="Times New Roman"/>
          <w:sz w:val="20"/>
        </w:rPr>
        <w:t xml:space="preserve">The WFOE entered into a loan agreement with the Nominee Shareholders, to provide them loans solely for the purpose of contribution or increase of registered capital or working capital of these PRC domestic companies. The WFOE has the sole discretion to determine the method of repayment, including requiring the Nominee Shareholders to transfer their equity interests in these PRC domestic companies to the WFOE or its designated person. </w:t>
      </w:r>
    </w:p>
    <w:p>
      <w:pPr>
        <w:pStyle w:val="TextBody"/>
        <w:bidi w:val="0"/>
        <w:spacing w:before="120" w:after="0"/>
        <w:jc w:val="left"/>
        <w:rPr>
          <w:rFonts w:ascii="Times New Roman" w:hAnsi="Times New Roman"/>
          <w:sz w:val="20"/>
        </w:rPr>
      </w:pPr>
      <w:r>
        <w:rPr>
          <w:rFonts w:ascii="Times New Roman" w:hAnsi="Times New Roman"/>
          <w:sz w:val="20"/>
        </w:rPr>
        <w:t xml:space="preserve">Vipshop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was established by Mr. Eric Ya Shen and Mr. Arthur Xiaobo Hong on June 22, 2017. As of December 31, 2024, shareholders of Vipshop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include Eric Ya Shen, chairman of the board of directors and chief executive officer, as well as Chan Huang, employee of the Group, holding </w:t>
      </w:r>
    </w:p>
    <w:p>
      <w:pPr>
        <w:pStyle w:val="TextBody"/>
        <w:bidi w:val="0"/>
        <w:spacing w:before="120" w:after="0"/>
        <w:jc w:val="left"/>
        <w:rPr>
          <w:rFonts w:ascii="Times New Roman" w:hAnsi="Times New Roman"/>
          <w:sz w:val="20"/>
        </w:rPr>
      </w:pPr>
      <w:r>
        <w:rPr>
          <w:rFonts w:ascii="Times New Roman" w:hAnsi="Times New Roman"/>
          <w:sz w:val="20"/>
        </w:rPr>
        <w:t>66.7</w:t>
      </w:r>
    </w:p>
    <w:p>
      <w:pPr>
        <w:pStyle w:val="TextBody"/>
        <w:bidi w:val="0"/>
        <w:spacing w:before="120" w:after="0"/>
        <w:jc w:val="left"/>
        <w:rPr>
          <w:rFonts w:ascii="Times New Roman" w:hAnsi="Times New Roman"/>
          <w:sz w:val="20"/>
        </w:rPr>
      </w:pP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33.3</w:t>
      </w:r>
    </w:p>
    <w:p>
      <w:pPr>
        <w:pStyle w:val="TextBody"/>
        <w:bidi w:val="0"/>
        <w:spacing w:before="120" w:after="0"/>
        <w:jc w:val="left"/>
        <w:rPr>
          <w:rFonts w:ascii="Times New Roman" w:hAnsi="Times New Roman"/>
          <w:sz w:val="20"/>
        </w:rPr>
      </w:pPr>
      <w:r>
        <w:rPr>
          <w:rFonts w:ascii="Times New Roman" w:hAnsi="Times New Roman"/>
          <w:sz w:val="20"/>
        </w:rPr>
        <w:t xml:space="preserve">% of the total equity interests in Vipshop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 xml:space="preserve">respectively. Vipshop </w:t>
      </w:r>
    </w:p>
    <w:p>
      <w:pPr>
        <w:pStyle w:val="TextBody"/>
        <w:bidi w:val="0"/>
        <w:spacing w:before="120" w:after="0"/>
        <w:jc w:val="left"/>
        <w:rPr>
          <w:rFonts w:ascii="Times New Roman" w:hAnsi="Times New Roman"/>
          <w:spacing w:val="0"/>
          <w:sz w:val="20"/>
        </w:rPr>
      </w:pPr>
      <w:r>
        <w:rPr>
          <w:rFonts w:ascii="Times New Roman" w:hAnsi="Times New Roman"/>
          <w:spacing w:val="0"/>
          <w:sz w:val="20"/>
        </w:rPr>
        <w:t>E-Commerce</w:t>
      </w:r>
    </w:p>
    <w:p>
      <w:pPr>
        <w:pStyle w:val="TextBody"/>
        <w:bidi w:val="0"/>
        <w:spacing w:before="120" w:after="0"/>
        <w:jc w:val="left"/>
        <w:rPr>
          <w:rFonts w:ascii="Times New Roman" w:hAnsi="Times New Roman"/>
          <w:sz w:val="20"/>
        </w:rPr>
      </w:pPr>
      <w:r>
        <w:rPr>
          <w:rFonts w:ascii="Times New Roman" w:hAnsi="Times New Roman"/>
          <w:sz w:val="20"/>
        </w:rPr>
        <w:t>holds the licenses necessary to conduct the Internet-related operations of vipshop.com and vip.com in China.</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305"/>
        <w:gridCol w:w="233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23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Principles of consolidation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Risks in relation to the VIE structure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believes that the VIE arrangements are in compliance with PRC law and are legally enforceable. The equity holders of the VIEs are also shareholders of the Company and therefore have no current interest in seeking to act contrary to the contractual arrangements. However, there are certain risks related to the Contractual Agreements, which include but are not limited to the following: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Substantial uncertainties and restrictions exist with respect to the interpretation and application of PRC laws and regulations relating to online commerce and provision of internet content in China. If the PRC government finds that the structure the Group have adopted for their business operations does not comply with PRC laws and regulations, the Group could be subject to severe penalties, including shut-down of their Vipshop Online Platform;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Group relies on contractual arrangements with the consolidated VIEs and their respective shareholders for the operation of their business, which may not be as effective as direct ownership. If the consolidated VIEs and their respective shareholders fail to perform their obligations under these contractual arrangements, the Group may have to resort to arbitration or litigation to enforce their rights, which may be time-consuming, unpredictable, expensive, and damaging to their operations and reputation;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shareholders of the significant consolidated VIEs have potential conflict of interest with the Group, which may adversely affect their business;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96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Group may lose the ability to use and enjoy assets held by the consolidated VIEs that are important to the operation of their business if either such entity goes bankrupt or becomes subject to a dissolution or liquidation proceeding; </w:t>
            </w:r>
          </w:p>
        </w:tc>
      </w:tr>
    </w:tbl>
    <w:p>
      <w:pPr>
        <w:pStyle w:val="TextBody"/>
        <w:bidi w:val="0"/>
        <w:spacing w:before="0" w:after="0"/>
        <w:ind w:left="0" w:right="0" w:hanging="0"/>
        <w:jc w:val="left"/>
        <w:rPr>
          <w:spacing w:val="0"/>
        </w:rPr>
      </w:pPr>
      <w:r>
        <w:rPr>
          <w:spacing w:val="0"/>
        </w:rPr>
        <w:t> </w:t>
      </w:r>
    </w:p>
    <w:tbl>
      <w:tblPr>
        <w:tblW w:w="7510" w:type="dxa"/>
        <w:jc w:val="left"/>
        <w:tblInd w:w="0" w:type="dxa"/>
        <w:tblLayout w:type="fixed"/>
        <w:tblCellMar>
          <w:top w:w="0" w:type="dxa"/>
          <w:left w:w="0" w:type="dxa"/>
          <w:bottom w:w="0" w:type="dxa"/>
          <w:right w:w="0" w:type="dxa"/>
        </w:tblCellMar>
      </w:tblPr>
      <w:tblGrid>
        <w:gridCol w:w="75"/>
        <w:gridCol w:w="110"/>
        <w:gridCol w:w="60"/>
        <w:gridCol w:w="7265"/>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726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Group’s business may be significantly affected by the PRC Foreign Investment Law; </w:t>
            </w:r>
          </w:p>
        </w:tc>
      </w:tr>
    </w:tbl>
    <w:p>
      <w:pPr>
        <w:pStyle w:val="TextBody"/>
        <w:bidi w:val="0"/>
        <w:spacing w:before="0" w:after="0"/>
        <w:ind w:left="0" w:right="0" w:hanging="0"/>
        <w:jc w:val="left"/>
        <w:rPr>
          <w:spacing w:val="0"/>
        </w:rPr>
      </w:pPr>
      <w:r>
        <w:rPr>
          <w:spacing w:val="0"/>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0"/>
              <w:jc w:val="left"/>
              <w:rPr/>
            </w:pPr>
            <w:r>
              <w:rPr/>
              <w:t> </w:t>
            </w:r>
          </w:p>
        </w:tc>
        <w:tc>
          <w:tcPr>
            <w:tcW w:w="110"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0"/>
              <w:jc w:val="left"/>
              <w:rPr/>
            </w:pPr>
            <w:r>
              <w:rPr/>
              <w:t> </w:t>
            </w:r>
          </w:p>
        </w:tc>
        <w:tc>
          <w:tcPr>
            <w:tcW w:w="90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contractual arrangements with the consolidated VIEs may result in adverse tax consequences to the Group.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financial information of the Group’s VIEs and VIEs’ subsidiaries, including total assets, total current liabilities, total liabilities, net revenues, total operating expenses, net income and cash flows after intercompany eliminations are as follows: </w:t>
      </w:r>
    </w:p>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1910"/>
        <w:gridCol w:w="120"/>
        <w:gridCol w:w="60"/>
        <w:gridCol w:w="1055"/>
        <w:gridCol w:w="155"/>
        <w:gridCol w:w="120"/>
        <w:gridCol w:w="60"/>
        <w:gridCol w:w="980"/>
        <w:gridCol w:w="170"/>
      </w:tblGrid>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3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7,442,585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6,504,813</w:t>
            </w:r>
          </w:p>
        </w:tc>
        <w:tc>
          <w:tcPr>
            <w:tcW w:w="170"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(1,027,549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(899,497</w:t>
            </w:r>
          </w:p>
        </w:tc>
        <w:tc>
          <w:tcPr>
            <w:tcW w:w="170"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19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(1,062,156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(901,256</w:t>
            </w:r>
          </w:p>
        </w:tc>
        <w:tc>
          <w:tcPr>
            <w:tcW w:w="170" w:type="dxa"/>
            <w:tcBorders/>
            <w:shd w:fill="CCEEFF" w:val="clear"/>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675" w:type="dxa"/>
        <w:jc w:val="left"/>
        <w:tblInd w:w="0" w:type="dxa"/>
        <w:tblLayout w:type="fixed"/>
        <w:tblCellMar>
          <w:top w:w="0" w:type="dxa"/>
          <w:left w:w="0" w:type="dxa"/>
          <w:bottom w:w="0" w:type="dxa"/>
          <w:right w:w="0" w:type="dxa"/>
        </w:tblCellMar>
      </w:tblPr>
      <w:tblGrid>
        <w:gridCol w:w="2075"/>
        <w:gridCol w:w="120"/>
        <w:gridCol w:w="60"/>
        <w:gridCol w:w="980"/>
        <w:gridCol w:w="155"/>
        <w:gridCol w:w="120"/>
        <w:gridCol w:w="60"/>
        <w:gridCol w:w="800"/>
        <w:gridCol w:w="155"/>
        <w:gridCol w:w="120"/>
        <w:gridCol w:w="60"/>
        <w:gridCol w:w="800"/>
        <w:gridCol w:w="170"/>
      </w:tblGrid>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31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1,101,098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372,530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306,576</w:t>
            </w:r>
          </w:p>
        </w:tc>
        <w:tc>
          <w:tcPr>
            <w:tcW w:w="17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operating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(86,115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(62,931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(56,759</w:t>
            </w:r>
          </w:p>
        </w:tc>
        <w:tc>
          <w:tcPr>
            <w:tcW w:w="170"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541,290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235,406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308,464</w:t>
            </w:r>
          </w:p>
        </w:tc>
        <w:tc>
          <w:tcPr>
            <w:tcW w:w="170"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75"/>
        <w:gridCol w:w="305"/>
        <w:gridCol w:w="233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23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Principles of consolidation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tbl>
      <w:tblPr>
        <w:tblW w:w="7940" w:type="dxa"/>
        <w:jc w:val="left"/>
        <w:tblInd w:w="0" w:type="dxa"/>
        <w:tblLayout w:type="fixed"/>
        <w:tblCellMar>
          <w:top w:w="0" w:type="dxa"/>
          <w:left w:w="0" w:type="dxa"/>
          <w:bottom w:w="0" w:type="dxa"/>
          <w:right w:w="0" w:type="dxa"/>
        </w:tblCellMar>
      </w:tblPr>
      <w:tblGrid>
        <w:gridCol w:w="4115"/>
        <w:gridCol w:w="120"/>
        <w:gridCol w:w="60"/>
        <w:gridCol w:w="1055"/>
        <w:gridCol w:w="155"/>
        <w:gridCol w:w="120"/>
        <w:gridCol w:w="60"/>
        <w:gridCol w:w="875"/>
        <w:gridCol w:w="155"/>
        <w:gridCol w:w="120"/>
        <w:gridCol w:w="60"/>
        <w:gridCol w:w="875"/>
        <w:gridCol w:w="170"/>
      </w:tblGrid>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3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(1,892,620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(721,336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(749,147</w:t>
            </w:r>
          </w:p>
        </w:tc>
        <w:tc>
          <w:tcPr>
            <w:tcW w:w="17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cash provided by (used in) investing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569,610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(123,591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(155,901</w:t>
            </w:r>
          </w:p>
        </w:tc>
        <w:tc>
          <w:tcPr>
            <w:tcW w:w="170" w:type="dxa"/>
            <w:tcBorders/>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(1,854</w:t>
            </w:r>
          </w:p>
        </w:tc>
        <w:tc>
          <w:tcPr>
            <w:tcW w:w="170" w:type="dxa"/>
            <w:tcBorders/>
            <w:shd w:fill="CCEEFF" w:val="cle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There are no consolidated VIEs’ assets that are collateral for the VIEs’ obligations or are restricted solely to settle the VIEs’ obligations. The Company has not provided any financial support that it was not previously contractually required to provide to the VIEs. </w:t>
      </w:r>
    </w:p>
    <w:p>
      <w:pPr>
        <w:pStyle w:val="TextBody"/>
        <w:bidi w:val="0"/>
        <w:spacing w:before="0" w:after="0"/>
        <w:jc w:val="left"/>
        <w:rPr/>
      </w:pPr>
      <w:r>
        <w:rPr/>
        <w:t> </w:t>
      </w:r>
    </w:p>
    <w:tbl>
      <w:tblPr>
        <w:tblW w:w="1765" w:type="dxa"/>
        <w:jc w:val="left"/>
        <w:tblInd w:w="0" w:type="dxa"/>
        <w:tblLayout w:type="fixed"/>
        <w:tblCellMar>
          <w:top w:w="0" w:type="dxa"/>
          <w:left w:w="0" w:type="dxa"/>
          <w:bottom w:w="0" w:type="dxa"/>
          <w:right w:w="0" w:type="dxa"/>
        </w:tblCellMar>
      </w:tblPr>
      <w:tblGrid>
        <w:gridCol w:w="75"/>
        <w:gridCol w:w="275"/>
        <w:gridCol w:w="141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(c)</w:t>
            </w:r>
          </w:p>
        </w:tc>
        <w:tc>
          <w:tcPr>
            <w:tcW w:w="14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Use of estimates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preparation of financial statements in conformity with U.S. GAAP requires management of the Group to make estimates and assumptions that affect the reported amounts of assets and liabilities and the disclosure of contingent assets and liabilities at the date of the financial statements, and reported amounts of revenues and expenses during the reporting periods. Actual results may differ from these estimates. The Group’s management made their estimates based on historical experience and various other factors believed to be reasonable under the circumstances, the results of which form the basis for making judgments about the carrying value of assets and liabilities that are not readily apparent from other sources. Significant accounting estimates reflected in the Group’s financial statements include inventory write-downs, delivery day estimate, fair value of assets acquired and liabilities assumed in business acquisition, impairment of goodwill and long-lived assets and valuation of other investments. Changes in facts and circumstances may result in revised estimates.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75"/>
        <w:gridCol w:w="305"/>
        <w:gridCol w:w="228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(d)</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Cash and cash equivalents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consist of cash on hand, time deposit that are not restricted as to withdrawal or use and highly liquid investments with maturity of less than three months. </w:t>
      </w:r>
    </w:p>
    <w:p>
      <w:pPr>
        <w:pStyle w:val="TextBody"/>
        <w:bidi w:val="0"/>
        <w:spacing w:before="0" w:after="0"/>
        <w:jc w:val="left"/>
        <w:rPr/>
      </w:pPr>
      <w:r>
        <w:rPr/>
        <w:t> </w:t>
      </w:r>
    </w:p>
    <w:tbl>
      <w:tblPr>
        <w:tblW w:w="1705" w:type="dxa"/>
        <w:jc w:val="left"/>
        <w:tblInd w:w="0" w:type="dxa"/>
        <w:tblLayout w:type="fixed"/>
        <w:tblCellMar>
          <w:top w:w="0" w:type="dxa"/>
          <w:left w:w="0" w:type="dxa"/>
          <w:bottom w:w="0" w:type="dxa"/>
          <w:right w:w="0" w:type="dxa"/>
        </w:tblCellMar>
      </w:tblPr>
      <w:tblGrid>
        <w:gridCol w:w="75"/>
        <w:gridCol w:w="275"/>
        <w:gridCol w:w="135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(e)</w:t>
            </w:r>
          </w:p>
        </w:tc>
        <w:tc>
          <w:tcPr>
            <w:tcW w:w="13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Restricted cash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restricted cash represents mainly deposits held in a designated bank account related to online payments service and other restricted cash items. </w:t>
      </w:r>
    </w:p>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245"/>
        <w:gridCol w:w="204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spacing w:val="0"/>
              </w:rPr>
            </w:pPr>
            <w:r>
              <w:rPr>
                <w:b/>
                <w:spacing w:val="0"/>
              </w:rPr>
              <w:t>(f)</w:t>
            </w:r>
          </w:p>
        </w:tc>
        <w:tc>
          <w:tcPr>
            <w:tcW w:w="20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Short-term 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Short-term investments consist primarily of financial products offered by commercial banks in mainland China and Hong Kong with fixed maturity dates ranging from three months to one year. </w:t>
      </w:r>
    </w:p>
    <w:p>
      <w:pPr>
        <w:pStyle w:val="TextBody"/>
        <w:bidi w:val="0"/>
        <w:spacing w:before="0" w:after="0"/>
        <w:jc w:val="left"/>
        <w:rPr/>
      </w:pPr>
      <w:r>
        <w:rPr/>
        <w:t> </w:t>
      </w:r>
    </w:p>
    <w:tbl>
      <w:tblPr>
        <w:tblW w:w="1405" w:type="dxa"/>
        <w:jc w:val="left"/>
        <w:tblInd w:w="0" w:type="dxa"/>
        <w:tblLayout w:type="fixed"/>
        <w:tblCellMar>
          <w:top w:w="0" w:type="dxa"/>
          <w:left w:w="0" w:type="dxa"/>
          <w:bottom w:w="0" w:type="dxa"/>
          <w:right w:w="0" w:type="dxa"/>
        </w:tblCellMar>
      </w:tblPr>
      <w:tblGrid>
        <w:gridCol w:w="75"/>
        <w:gridCol w:w="290"/>
        <w:gridCol w:w="10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(g)</w:t>
            </w:r>
          </w:p>
        </w:tc>
        <w:tc>
          <w:tcPr>
            <w:tcW w:w="10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Inventories consisting of products available for sales are valued at the lower of cost or net realizable value with cost determined using the weighted average cost method. Net realizable value is based on estimated selling prices in the ordinary course of business, less reasonably predictable transportation cost. Write-down is recorded when future estimated net realizable value is less than cost, which is recorded in cost of revenues in the consolidated statements of income and comprehensive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75"/>
        <w:gridCol w:w="290"/>
        <w:gridCol w:w="10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(g)</w:t>
            </w:r>
          </w:p>
        </w:tc>
        <w:tc>
          <w:tcPr>
            <w:tcW w:w="10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Inventories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Inventory write-down is estimated based on significant management estimates and assumptions used to determine the write-down percentages that are applied to different aging groups and assess the condition of the merchandizes within each category. In determining the write-down percentages on inventories, the Company takes into considerations of factors, such as the inventories’ aging, historical trends, </w:t>
      </w:r>
    </w:p>
    <w:p>
      <w:pPr>
        <w:pStyle w:val="TextBody"/>
        <w:bidi w:val="0"/>
        <w:spacing w:before="0" w:after="0"/>
        <w:jc w:val="left"/>
        <w:rPr>
          <w:rFonts w:ascii="Times New Roman" w:hAnsi="Times New Roman"/>
          <w:spacing w:val="0"/>
          <w:sz w:val="20"/>
        </w:rPr>
      </w:pPr>
      <w:r>
        <w:rPr>
          <w:rFonts w:ascii="Times New Roman" w:hAnsi="Times New Roman"/>
          <w:spacing w:val="0"/>
          <w:sz w:val="20"/>
        </w:rPr>
        <w:t xml:space="preserve">forecasted </w:t>
      </w:r>
    </w:p>
    <w:p>
      <w:pPr>
        <w:pStyle w:val="TextBody"/>
        <w:bidi w:val="0"/>
        <w:spacing w:before="0" w:after="0"/>
        <w:jc w:val="left"/>
        <w:rPr>
          <w:rFonts w:ascii="Times New Roman" w:hAnsi="Times New Roman"/>
          <w:sz w:val="20"/>
        </w:rPr>
      </w:pPr>
      <w:r>
        <w:rPr>
          <w:rFonts w:ascii="Times New Roman" w:hAnsi="Times New Roman"/>
          <w:sz w:val="20"/>
        </w:rPr>
        <w:t xml:space="preserve">demands, expected selling prices and future promotional events.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305"/>
        <w:gridCol w:w="219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(h)</w:t>
            </w:r>
          </w:p>
        </w:tc>
        <w:tc>
          <w:tcPr>
            <w:tcW w:w="2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Accounts receivables,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Accounts receivables are mainly receivables from logistics and warehousing services rendered to the Group’s vendors, receivables from consumer financing business and related service fees, receivables from provision of rental, online promotion and advertising services and receivables from payment platform, which are stated at the historical carrying amount net of allowance for uncollectible accounts. The Group makes estimates of expected credit losses for the allowance for credit losses based on assessment of various factors, including historical experience, the age of the accounts receivable balances, probabilities of default and loss given default rates of different types of accounts receivables in each business, credit quality of certain accounts receivables, current economic conditions, reasonable and supportable forecasts of future economic conditions and other factors that may affect its ability to collect from the counterparties. Uncollectible accounts receivables are written off when a settlement is reached for an amount that is less than the outstanding historical balance or when the Group has determined that is not probable for the balance to be collected. </w:t>
      </w:r>
    </w:p>
    <w:p>
      <w:pPr>
        <w:pStyle w:val="TextBody"/>
        <w:bidi w:val="0"/>
        <w:spacing w:before="120" w:after="0"/>
        <w:jc w:val="left"/>
        <w:rPr>
          <w:rFonts w:ascii="Times New Roman" w:hAnsi="Times New Roman"/>
          <w:sz w:val="20"/>
        </w:rPr>
      </w:pPr>
      <w:r>
        <w:rPr>
          <w:rFonts w:ascii="Times New Roman" w:hAnsi="Times New Roman"/>
          <w:sz w:val="20"/>
        </w:rPr>
        <w:t xml:space="preserve">Accounts receivables expected to be settled in more than one year as of the balance sheet date are classified into other long-term assets on the consolidated balance sheets.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75"/>
        <w:gridCol w:w="230"/>
        <w:gridCol w:w="34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
                <w:spacing w:val="0"/>
              </w:rPr>
            </w:pPr>
            <w:r>
              <w:rPr>
                <w:b/>
                <w:spacing w:val="0"/>
              </w:rPr>
              <w:t>(i)</w:t>
            </w:r>
          </w:p>
        </w:tc>
        <w:tc>
          <w:tcPr>
            <w:tcW w:w="3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receivables and prepayments, net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Other receivables and prepayments mainly consisted of interest receivable, prepayment to suppliers related to procurement activities for goods and services, loans to third parties, value added tax (“VAT”) and enterprise income tax (“EIT”) recoverable, advances to supplier related to financing activities and others. The Group makes estimates of expected credit loss for the allowance of other receivables based on assessment of various factors, including probability of default and loss given default rate of different types of other receivables in each business, current economic conditions, reasonable and supportable forecasts of future economic conditions and other factors that may affect its ability to collect from the counterparties. Uncollectible other receivables are written off when a settlement is reached for an amount that is less than the outstanding balance or when the Group has determined that it is probable the balance will not be collected. </w:t>
      </w:r>
    </w:p>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245"/>
        <w:gridCol w:w="24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spacing w:val="0"/>
              </w:rPr>
            </w:pPr>
            <w:r>
              <w:rPr>
                <w:b/>
                <w:spacing w:val="0"/>
              </w:rPr>
              <w:t>(j)</w:t>
            </w:r>
          </w:p>
        </w:tc>
        <w:tc>
          <w:tcPr>
            <w:tcW w:w="24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Property and equipment are stated at cost less accumulated depreciation and impairment losses. Gains or losses on dispositions of property and equipment are included in other operating income. Major additions, renewals and betterments are capitalized, while maintenance and repairs are expensed as incurred. </w:t>
      </w:r>
    </w:p>
    <w:p>
      <w:pPr>
        <w:pStyle w:val="TextBody"/>
        <w:bidi w:val="0"/>
        <w:spacing w:before="120" w:after="0"/>
        <w:jc w:val="left"/>
        <w:rPr>
          <w:rFonts w:ascii="Times New Roman" w:hAnsi="Times New Roman"/>
          <w:sz w:val="20"/>
        </w:rPr>
      </w:pPr>
      <w:r>
        <w:rPr>
          <w:rFonts w:ascii="Times New Roman" w:hAnsi="Times New Roman"/>
          <w:sz w:val="20"/>
        </w:rPr>
        <w:t xml:space="preserve">Depreciation and amortization are provided over the estimated useful lives of the assets using the straight-line method from the time the assets are placed in service. Estimated useful lives are as follows: </w:t>
      </w:r>
    </w:p>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2750"/>
        <w:gridCol w:w="120"/>
        <w:gridCol w:w="2645"/>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645"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Estimated useful life</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12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283"/>
              <w:jc w:val="center"/>
              <w:rPr/>
            </w:pPr>
            <w:r>
              <w:rPr/>
              <w:t>20 to 30 years</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Furniture, fixtures and equipment</w:t>
            </w:r>
          </w:p>
        </w:tc>
        <w:tc>
          <w:tcPr>
            <w:tcW w:w="12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center"/>
              <w:rPr/>
            </w:pPr>
            <w:r>
              <w:rPr/>
              <w:t>2 to 10 years</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0"/>
              <w:jc w:val="center"/>
              <w:rPr/>
            </w:pPr>
            <w:r>
              <w:rPr/>
              <w:t xml:space="preserve">Shorter of lease term or the </w:t>
            </w:r>
          </w:p>
          <w:p>
            <w:pPr>
              <w:pStyle w:val="TableContents"/>
              <w:bidi w:val="0"/>
              <w:spacing w:before="0" w:after="0"/>
              <w:jc w:val="center"/>
              <w:rPr>
                <w:rFonts w:ascii="Times New Roman" w:hAnsi="Times New Roman"/>
                <w:sz w:val="20"/>
              </w:rPr>
            </w:pPr>
            <w:r>
              <w:rPr>
                <w:rFonts w:ascii="Times New Roman" w:hAnsi="Times New Roman"/>
                <w:sz w:val="20"/>
              </w:rPr>
              <w:t>estimated useful life of</w:t>
            </w:r>
          </w:p>
          <w:p>
            <w:pPr>
              <w:pStyle w:val="TableContents"/>
              <w:bidi w:val="0"/>
              <w:spacing w:before="0" w:after="20"/>
              <w:jc w:val="center"/>
              <w:rPr>
                <w:rFonts w:ascii="Times New Roman" w:hAnsi="Times New Roman"/>
                <w:sz w:val="20"/>
              </w:rPr>
            </w:pPr>
            <w:r>
              <w:rPr>
                <w:rFonts w:ascii="Times New Roman" w:hAnsi="Times New Roman"/>
                <w:sz w:val="20"/>
              </w:rPr>
              <w:t>lease improvements</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Motor vehicles</w:t>
            </w:r>
          </w:p>
        </w:tc>
        <w:tc>
          <w:tcPr>
            <w:tcW w:w="120"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center"/>
              <w:rPr/>
            </w:pPr>
            <w:r>
              <w:rPr/>
              <w:t>4 to 5 years</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120" w:type="dxa"/>
            <w:tcBorders/>
            <w:shd w:fill="CCEEFF" w:val="clear"/>
            <w:vAlign w:val="center"/>
          </w:tcPr>
          <w:p>
            <w:pPr>
              <w:pStyle w:val="TableContents"/>
              <w:bidi w:val="0"/>
              <w:spacing w:before="0" w:after="283"/>
              <w:jc w:val="left"/>
              <w:rPr/>
            </w:pPr>
            <w:r>
              <w:rPr/>
              <w:t>  </w:t>
            </w:r>
          </w:p>
        </w:tc>
        <w:tc>
          <w:tcPr>
            <w:tcW w:w="2645" w:type="dxa"/>
            <w:tcBorders/>
            <w:shd w:fill="CCEEFF" w:val="clear"/>
            <w:vAlign w:val="center"/>
          </w:tcPr>
          <w:p>
            <w:pPr>
              <w:pStyle w:val="TableContents"/>
              <w:bidi w:val="0"/>
              <w:spacing w:before="0" w:after="283"/>
              <w:jc w:val="center"/>
              <w:rPr/>
            </w:pPr>
            <w:r>
              <w:rPr/>
              <w:t>1 to 10 years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245"/>
        <w:gridCol w:w="24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spacing w:val="0"/>
              </w:rPr>
            </w:pPr>
            <w:r>
              <w:rPr>
                <w:b/>
                <w:spacing w:val="0"/>
              </w:rPr>
              <w:t>(j)</w:t>
            </w:r>
          </w:p>
        </w:tc>
        <w:tc>
          <w:tcPr>
            <w:tcW w:w="24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Property and equipment, net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Direct and incremental costs related to the construction of assets, including costs under the construction contracts, duties and tariffs, equipment installation and shipping costs, are capitalized. Management estimates the residual value of its furniture, fixtures and equipment and motor vehicles ranging from 0% to 5%. </w:t>
      </w:r>
    </w:p>
    <w:p>
      <w:pPr>
        <w:pStyle w:val="TextBody"/>
        <w:bidi w:val="0"/>
        <w:spacing w:before="0" w:after="0"/>
        <w:jc w:val="left"/>
        <w:rPr/>
      </w:pPr>
      <w:r>
        <w:rPr/>
        <w:t> </w:t>
      </w:r>
    </w:p>
    <w:tbl>
      <w:tblPr>
        <w:tblW w:w="2110" w:type="dxa"/>
        <w:jc w:val="left"/>
        <w:tblInd w:w="0" w:type="dxa"/>
        <w:tblLayout w:type="fixed"/>
        <w:tblCellMar>
          <w:top w:w="0" w:type="dxa"/>
          <w:left w:w="0" w:type="dxa"/>
          <w:bottom w:w="0" w:type="dxa"/>
          <w:right w:w="0" w:type="dxa"/>
        </w:tblCellMar>
      </w:tblPr>
      <w:tblGrid>
        <w:gridCol w:w="75"/>
        <w:gridCol w:w="305"/>
        <w:gridCol w:w="173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(k)</w:t>
            </w:r>
          </w:p>
        </w:tc>
        <w:tc>
          <w:tcPr>
            <w:tcW w:w="1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Land use rights,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Land use rights represent the amounts paid and relevant costs incurred for the Group’s leases for the right of use for lands located in PRC and are recorded at purchase cost less accumulated amortization. Amortization is provided on a straight-line basis over the terms of the respective land use right agreements. </w:t>
      </w:r>
    </w:p>
    <w:p>
      <w:pPr>
        <w:pStyle w:val="TextBody"/>
        <w:bidi w:val="0"/>
        <w:spacing w:before="0" w:after="0"/>
        <w:jc w:val="left"/>
        <w:rPr/>
      </w:pPr>
      <w:r>
        <w:rPr/>
        <w:t> </w:t>
      </w:r>
    </w:p>
    <w:tbl>
      <w:tblPr>
        <w:tblW w:w="2125" w:type="dxa"/>
        <w:jc w:val="left"/>
        <w:tblInd w:w="0" w:type="dxa"/>
        <w:tblLayout w:type="fixed"/>
        <w:tblCellMar>
          <w:top w:w="0" w:type="dxa"/>
          <w:left w:w="0" w:type="dxa"/>
          <w:bottom w:w="0" w:type="dxa"/>
          <w:right w:w="0" w:type="dxa"/>
        </w:tblCellMar>
      </w:tblPr>
      <w:tblGrid>
        <w:gridCol w:w="75"/>
        <w:gridCol w:w="230"/>
        <w:gridCol w:w="18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jc w:val="left"/>
              <w:rPr>
                <w:b/>
                <w:spacing w:val="0"/>
              </w:rPr>
            </w:pPr>
            <w:r>
              <w:rPr>
                <w:b/>
                <w:spacing w:val="0"/>
              </w:rPr>
              <w:t>(l)</w:t>
            </w:r>
          </w:p>
        </w:tc>
        <w:tc>
          <w:tcPr>
            <w:tcW w:w="18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Acquired intangible assets mainly consist of trademarks and payment license acquired from third parties and from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Trademarks purchased from third parties are initially recorded at cost and amortized on a straight-line basis over the estimated economic lives. </w:t>
      </w:r>
    </w:p>
    <w:p>
      <w:pPr>
        <w:pStyle w:val="TextBody"/>
        <w:bidi w:val="0"/>
        <w:spacing w:before="120" w:after="0"/>
        <w:jc w:val="left"/>
        <w:rPr>
          <w:rFonts w:ascii="Times New Roman" w:hAnsi="Times New Roman"/>
          <w:sz w:val="20"/>
        </w:rPr>
      </w:pPr>
      <w:r>
        <w:rPr>
          <w:rFonts w:ascii="Times New Roman" w:hAnsi="Times New Roman"/>
          <w:sz w:val="20"/>
        </w:rPr>
        <w:t xml:space="preserve">Identifiable intangibles assets acquired in business combination are determined separately from goodwill based on their fair value if they satisfy either the “contractual-legal” or “separability” criterion.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with a definite economic life are carried at cost less accumulated amortization. Identifiable intangibles assets are amortized using the straight-line method over their respective economic lives. </w:t>
      </w:r>
    </w:p>
    <w:p>
      <w:pPr>
        <w:pStyle w:val="TextBody"/>
        <w:bidi w:val="0"/>
        <w:spacing w:before="120" w:after="0"/>
        <w:jc w:val="left"/>
        <w:rPr>
          <w:rFonts w:ascii="Times New Roman" w:hAnsi="Times New Roman"/>
          <w:sz w:val="20"/>
        </w:rPr>
      </w:pPr>
      <w:r>
        <w:rPr>
          <w:rFonts w:ascii="Times New Roman" w:hAnsi="Times New Roman"/>
          <w:sz w:val="20"/>
        </w:rPr>
        <w:t xml:space="preserve">Intangible assets acquired with indefinite lives are carried at cost less subsequent accumulated impairment loss. Cost to renew or extend the term of a recognized intangible asset is charged to profit or loss as incurred in the consolidated statements of income and comprehensive income. </w:t>
      </w:r>
    </w:p>
    <w:p>
      <w:pPr>
        <w:pStyle w:val="TextBody"/>
        <w:bidi w:val="0"/>
        <w:spacing w:before="120" w:after="0"/>
        <w:jc w:val="left"/>
        <w:rPr>
          <w:rFonts w:ascii="Times New Roman" w:hAnsi="Times New Roman"/>
          <w:sz w:val="20"/>
        </w:rPr>
      </w:pPr>
      <w:r>
        <w:rPr>
          <w:rFonts w:ascii="Times New Roman" w:hAnsi="Times New Roman"/>
          <w:sz w:val="20"/>
        </w:rPr>
        <w:t xml:space="preserve">Estimated economic lives of the intangible assets are as follows: </w:t>
      </w:r>
    </w:p>
    <w:p>
      <w:pPr>
        <w:pStyle w:val="TextBody"/>
        <w:bidi w:val="0"/>
        <w:spacing w:before="0" w:after="0"/>
        <w:jc w:val="left"/>
        <w:rPr/>
      </w:pPr>
      <w:r>
        <w:rPr/>
        <w:t> </w:t>
      </w:r>
    </w:p>
    <w:tbl>
      <w:tblPr>
        <w:tblW w:w="3895" w:type="dxa"/>
        <w:jc w:val="left"/>
        <w:tblInd w:w="0" w:type="dxa"/>
        <w:tblLayout w:type="fixed"/>
        <w:tblCellMar>
          <w:top w:w="0" w:type="dxa"/>
          <w:left w:w="0" w:type="dxa"/>
          <w:bottom w:w="0" w:type="dxa"/>
          <w:right w:w="0" w:type="dxa"/>
        </w:tblCellMar>
      </w:tblPr>
      <w:tblGrid>
        <w:gridCol w:w="1355"/>
        <w:gridCol w:w="120"/>
        <w:gridCol w:w="2420"/>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420" w:type="dxa"/>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Estimated economic life</w:t>
            </w:r>
          </w:p>
        </w:tc>
      </w:tr>
      <w:tr>
        <w:trPr/>
        <w:tc>
          <w:tcPr>
            <w:tcW w:w="135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Trademarks</w:t>
            </w:r>
          </w:p>
        </w:tc>
        <w:tc>
          <w:tcPr>
            <w:tcW w:w="120" w:type="dxa"/>
            <w:tcBorders/>
            <w:shd w:fill="CCEEFF" w:val="clear"/>
            <w:vAlign w:val="center"/>
          </w:tcPr>
          <w:p>
            <w:pPr>
              <w:pStyle w:val="TableContents"/>
              <w:bidi w:val="0"/>
              <w:spacing w:before="0" w:after="283"/>
              <w:jc w:val="left"/>
              <w:rPr/>
            </w:pPr>
            <w:r>
              <w:rPr/>
              <w:t>  </w:t>
            </w:r>
          </w:p>
        </w:tc>
        <w:tc>
          <w:tcPr>
            <w:tcW w:w="2420" w:type="dxa"/>
            <w:tcBorders/>
            <w:shd w:fill="CCEEFF" w:val="clear"/>
            <w:vAlign w:val="center"/>
          </w:tcPr>
          <w:p>
            <w:pPr>
              <w:pStyle w:val="TableContents"/>
              <w:bidi w:val="0"/>
              <w:spacing w:before="0" w:after="0"/>
              <w:jc w:val="center"/>
              <w:rPr>
                <w:spacing w:val="0"/>
              </w:rPr>
            </w:pPr>
            <w:r>
              <w:rPr>
                <w:spacing w:val="0"/>
              </w:rPr>
              <w:t>2-</w:t>
            </w:r>
          </w:p>
          <w:p>
            <w:pPr>
              <w:pStyle w:val="TableContents"/>
              <w:bidi w:val="0"/>
              <w:spacing w:before="0" w:after="0"/>
              <w:jc w:val="center"/>
              <w:rPr>
                <w:spacing w:val="0"/>
              </w:rPr>
            </w:pPr>
            <w:r>
              <w:rPr>
                <w:spacing w:val="0"/>
              </w:rPr>
              <w:t>5</w:t>
            </w:r>
          </w:p>
          <w:p>
            <w:pPr>
              <w:pStyle w:val="TableContents"/>
              <w:bidi w:val="0"/>
              <w:spacing w:before="0" w:after="0"/>
              <w:jc w:val="center"/>
              <w:rPr/>
            </w:pPr>
            <w:r>
              <w:rPr/>
              <w:t>years</w:t>
            </w:r>
          </w:p>
        </w:tc>
      </w:tr>
      <w:tr>
        <w:trPr/>
        <w:tc>
          <w:tcPr>
            <w:tcW w:w="13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Payment license</w:t>
            </w:r>
          </w:p>
        </w:tc>
        <w:tc>
          <w:tcPr>
            <w:tcW w:w="120" w:type="dxa"/>
            <w:tcBorders/>
            <w:vAlign w:val="center"/>
          </w:tcPr>
          <w:p>
            <w:pPr>
              <w:pStyle w:val="TableContents"/>
              <w:bidi w:val="0"/>
              <w:spacing w:before="0" w:after="283"/>
              <w:jc w:val="left"/>
              <w:rPr/>
            </w:pPr>
            <w:r>
              <w:rPr/>
              <w:t>  </w:t>
            </w:r>
          </w:p>
        </w:tc>
        <w:tc>
          <w:tcPr>
            <w:tcW w:w="2420" w:type="dxa"/>
            <w:tcBorders/>
            <w:vAlign w:val="center"/>
          </w:tcPr>
          <w:p>
            <w:pPr>
              <w:pStyle w:val="TableContents"/>
              <w:bidi w:val="0"/>
              <w:spacing w:before="0" w:after="283"/>
              <w:jc w:val="center"/>
              <w:rPr/>
            </w:pPr>
            <w:r>
              <w:rPr/>
              <w:t>Indefinite life</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365"/>
        <w:gridCol w:w="515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b/>
                <w:spacing w:val="0"/>
              </w:rPr>
            </w:pPr>
            <w:r>
              <w:rPr>
                <w:b/>
                <w:spacing w:val="0"/>
              </w:rPr>
              <w:t>(m)</w:t>
            </w:r>
          </w:p>
        </w:tc>
        <w:tc>
          <w:tcPr>
            <w:tcW w:w="51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Investments in equity method investee and other investments </w:t>
            </w:r>
          </w:p>
        </w:tc>
      </w:tr>
    </w:tbl>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Investments accounted under the equity method</w:t>
      </w:r>
    </w:p>
    <w:p>
      <w:pPr>
        <w:pStyle w:val="TextBody"/>
        <w:bidi w:val="0"/>
        <w:spacing w:before="120" w:after="0"/>
        <w:jc w:val="left"/>
        <w:rPr>
          <w:rFonts w:ascii="Times New Roman" w:hAnsi="Times New Roman"/>
          <w:sz w:val="20"/>
        </w:rPr>
      </w:pPr>
      <w:r>
        <w:rPr>
          <w:rFonts w:ascii="Times New Roman" w:hAnsi="Times New Roman"/>
          <w:sz w:val="20"/>
        </w:rPr>
        <w:t xml:space="preserve">Equity investments for which the Group has significant influence but does not own a majority equity interest or otherwise control are accounted for using the equity method. The Group adjusts the carrying amount of the investments and recognizes investment income or loss for its share of the earnings or loss of the investee after the date of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Group assesses its equity method investments for impairment by considering factors including, but not limited to, current economic and market conditions, operating performance of the entities, including current earnings trends and future cash flows, and other entity-specific information. The fair value determination, particularly for investments in privately-held entities, requires judgment to determine appropriate estimates and assumptions. Changes in these estimates and assumptions could affect the fair value assessment of the investments and determination of whether any identified impairment is other-than-temporary. If the decline in the fair value is deemed to be other-than-temporary, the carrying value of the equity method investment is written down to fair value.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365"/>
        <w:gridCol w:w="515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b/>
                <w:spacing w:val="0"/>
              </w:rPr>
            </w:pPr>
            <w:r>
              <w:rPr>
                <w:b/>
                <w:spacing w:val="0"/>
              </w:rPr>
              <w:t>(m)</w:t>
            </w:r>
          </w:p>
        </w:tc>
        <w:tc>
          <w:tcPr>
            <w:tcW w:w="515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Investments in equity method investee and other investments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Equity investment with readily determinable fair value</w:t>
      </w:r>
    </w:p>
    <w:p>
      <w:pPr>
        <w:pStyle w:val="TextBody"/>
        <w:bidi w:val="0"/>
        <w:spacing w:before="120" w:after="0"/>
        <w:jc w:val="left"/>
        <w:rPr>
          <w:rFonts w:ascii="Times New Roman" w:hAnsi="Times New Roman"/>
          <w:sz w:val="20"/>
        </w:rPr>
      </w:pPr>
      <w:r>
        <w:rPr>
          <w:rFonts w:ascii="Times New Roman" w:hAnsi="Times New Roman"/>
          <w:sz w:val="20"/>
        </w:rPr>
        <w:t xml:space="preserve">Investments in equity securities that have readily determinable fair value and for which the Group does not have the ability to exercise significant influence are reported at fair value with unrealized gains and losses included in investment gain and revaluation of investments on the consolidated statements of income and comprehensive income.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Equity investment without readily determinable fair value</w:t>
      </w:r>
    </w:p>
    <w:p>
      <w:pPr>
        <w:pStyle w:val="TextBody"/>
        <w:bidi w:val="0"/>
        <w:spacing w:before="120" w:after="0"/>
        <w:jc w:val="left"/>
        <w:rPr>
          <w:rFonts w:ascii="Times New Roman" w:hAnsi="Times New Roman"/>
          <w:sz w:val="20"/>
        </w:rPr>
      </w:pPr>
      <w:r>
        <w:rPr>
          <w:rFonts w:ascii="Times New Roman" w:hAnsi="Times New Roman"/>
          <w:sz w:val="20"/>
        </w:rPr>
        <w:t xml:space="preserve">The Group’s other investments comprise of investments in privately-held companies that do not have readily determinable fair value and investments in private equity funds accounted for under the practical expedient in ASC Topic 820, Fair Value Measurements and Disclosures (“ASC 820”) to estimate fair value using the net asset value per share (or its equivalent) of the investment (“NAV practical expedient”). For investments in privately-held companies that do not have readily determinable fair value, the Group applied the measurement alternatives to measure these investments at cost minus impairment, if any, adjusted up or down for observable price changes in orderly transactions for the identical or similar investment of the same issuer. The Group also makes qualitative assessment at each reporting period and if the assessment indicates that the fair value of the investment is less than the carrying value, the investment in equity securities will be written down to its fair value, with the difference between the fair value and carrying amount of the investment as an impairment loss recorded in the consolidated statements of income and comprehensive income.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Available-for-sale</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debt securities</w:t>
      </w:r>
    </w:p>
    <w:p>
      <w:pPr>
        <w:pStyle w:val="TextBody"/>
        <w:bidi w:val="0"/>
        <w:spacing w:before="120" w:after="0"/>
        <w:jc w:val="left"/>
        <w:rPr>
          <w:rFonts w:ascii="Times New Roman" w:hAnsi="Times New Roman"/>
          <w:sz w:val="20"/>
        </w:rPr>
      </w:pPr>
      <w:r>
        <w:rPr>
          <w:rFonts w:ascii="Times New Roman" w:hAnsi="Times New Roman"/>
          <w:sz w:val="20"/>
        </w:rPr>
        <w:t xml:space="preserve">For investments in investee’s shares which are determined to be debt securities, the Group accounts for as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120" w:after="0"/>
        <w:jc w:val="left"/>
        <w:rPr>
          <w:rFonts w:ascii="Times New Roman" w:hAnsi="Times New Roman"/>
          <w:sz w:val="20"/>
        </w:rPr>
      </w:pPr>
      <w:r>
        <w:rPr>
          <w:rFonts w:ascii="Times New Roman" w:hAnsi="Times New Roman"/>
          <w:sz w:val="20"/>
        </w:rPr>
        <w:t xml:space="preserve">investments when they are not classified as either trading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held-to-maturity</w:t>
      </w:r>
    </w:p>
    <w:p>
      <w:pPr>
        <w:pStyle w:val="TextBody"/>
        <w:bidi w:val="0"/>
        <w:spacing w:before="120" w:after="0"/>
        <w:jc w:val="left"/>
        <w:rPr>
          <w:rFonts w:ascii="Times New Roman" w:hAnsi="Times New Roman"/>
          <w:sz w:val="20"/>
        </w:rPr>
      </w:pPr>
      <w:r>
        <w:rPr>
          <w:rFonts w:ascii="Times New Roman" w:hAnsi="Times New Roman"/>
          <w:sz w:val="20"/>
        </w:rPr>
        <w:t xml:space="preserve">investments.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120" w:after="0"/>
        <w:jc w:val="left"/>
        <w:rPr>
          <w:rFonts w:ascii="Times New Roman" w:hAnsi="Times New Roman"/>
          <w:sz w:val="20"/>
        </w:rPr>
      </w:pPr>
      <w:r>
        <w:rPr>
          <w:rFonts w:ascii="Times New Roman" w:hAnsi="Times New Roman"/>
          <w:sz w:val="20"/>
        </w:rPr>
        <w:t xml:space="preserve">investments are reported at fair value, with unrealized gains and losses, net of taxes recorded in accumulated other comprehensive income or loss. Realized gains or losses on the sales of these securities are recognized in the consolidated statements of operations. The Group evaluates each individual investment periodically for impairment. </w:t>
      </w:r>
    </w:p>
    <w:p>
      <w:pPr>
        <w:pStyle w:val="TextBody"/>
        <w:bidi w:val="0"/>
        <w:spacing w:before="0" w:after="0"/>
        <w:jc w:val="left"/>
        <w:rPr/>
      </w:pPr>
      <w:r>
        <w:rPr/>
        <w:t> </w:t>
      </w:r>
    </w:p>
    <w:tbl>
      <w:tblPr>
        <w:tblW w:w="3115" w:type="dxa"/>
        <w:jc w:val="left"/>
        <w:tblInd w:w="0" w:type="dxa"/>
        <w:tblLayout w:type="fixed"/>
        <w:tblCellMar>
          <w:top w:w="0" w:type="dxa"/>
          <w:left w:w="0" w:type="dxa"/>
          <w:bottom w:w="0" w:type="dxa"/>
          <w:right w:w="0" w:type="dxa"/>
        </w:tblCellMar>
      </w:tblPr>
      <w:tblGrid>
        <w:gridCol w:w="75"/>
        <w:gridCol w:w="305"/>
        <w:gridCol w:w="273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(n)</w:t>
            </w:r>
          </w:p>
        </w:tc>
        <w:tc>
          <w:tcPr>
            <w:tcW w:w="2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Impairment of long-lived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evaluates its long-lived assets for impairment whenever events or changes in circumstances indicate that the carrying amount of the assets may not be recoverable. When these events occur, the Group assesses the recoverability of these long-lived assets by comparing the carrying amount of the assets to the future undiscounted cash flows expected to result from the use of the assets and their eventual disposition. If the future undiscounted cash flow is less than the carrying amount of the assets, the Group recognizes an impairment writing down the carrying amount to the fair value of these assets. </w:t>
      </w:r>
    </w:p>
    <w:p>
      <w:pPr>
        <w:pStyle w:val="TextBody"/>
        <w:bidi w:val="0"/>
        <w:spacing w:before="120" w:after="0"/>
        <w:jc w:val="left"/>
        <w:rPr>
          <w:rFonts w:ascii="Times New Roman" w:hAnsi="Times New Roman"/>
          <w:sz w:val="20"/>
        </w:rPr>
      </w:pPr>
      <w:r>
        <w:rPr>
          <w:rFonts w:ascii="Times New Roman" w:hAnsi="Times New Roman"/>
          <w:sz w:val="20"/>
        </w:rPr>
        <w:t xml:space="preserve">The Group evaluates intangible asset that is not subject to amortization for impairment annually and more frequently if events or changes in circumstances indicate that the carrying amount of an asset may not be recoverable. The Group conducts quantitative impairment test for indefinite-lived intangible asset and compares of the fair value of the asset with its carrying amount. The Group recognizes impairment loss on the amount by which the carrying value exceeds the fair value of the asset. After an impairment loss is recognized, the Group uses adjusted carrying amount of the long-lived assets and intangible asset as its new accounting basis. </w:t>
      </w:r>
    </w:p>
    <w:p>
      <w:pPr>
        <w:pStyle w:val="TextBody"/>
        <w:bidi w:val="0"/>
        <w:spacing w:before="120" w:after="0"/>
        <w:jc w:val="left"/>
        <w:rPr>
          <w:rFonts w:ascii="Times New Roman" w:hAnsi="Times New Roman"/>
          <w:sz w:val="20"/>
        </w:rPr>
      </w:pPr>
      <w:r>
        <w:rPr>
          <w:rFonts w:ascii="Times New Roman" w:hAnsi="Times New Roman"/>
          <w:sz w:val="20"/>
        </w:rPr>
        <w:t xml:space="preserve">The Group recorded long-lived assets impairment of RMB239,302, RMB156,241 and nil during the years ended December 31,2022, 2023 and 2024, respectively, in general and administrative expenses on the consolidated statements of income and comprehensive income.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tbl>
      <w:tblPr>
        <w:tblW w:w="1225" w:type="dxa"/>
        <w:jc w:val="left"/>
        <w:tblInd w:w="0" w:type="dxa"/>
        <w:tblLayout w:type="fixed"/>
        <w:tblCellMar>
          <w:top w:w="0" w:type="dxa"/>
          <w:left w:w="0" w:type="dxa"/>
          <w:bottom w:w="0" w:type="dxa"/>
          <w:right w:w="0" w:type="dxa"/>
        </w:tblCellMar>
      </w:tblPr>
      <w:tblGrid>
        <w:gridCol w:w="75"/>
        <w:gridCol w:w="290"/>
        <w:gridCol w:w="8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(o)</w:t>
            </w:r>
          </w:p>
        </w:tc>
        <w:tc>
          <w:tcPr>
            <w:tcW w:w="8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Goodwill represents the excess of the purchase price over the fair value of the identifiable assets and liabilities acquired in a business combination. Goodwill is not amortized but is tested for impairment on an annual basis as of December 31, and in between annual tests when an event occurs or circumstances change that could indicate that the asset might be impaired. </w:t>
      </w:r>
    </w:p>
    <w:p>
      <w:pPr>
        <w:pStyle w:val="TextBody"/>
        <w:bidi w:val="0"/>
        <w:spacing w:before="120" w:after="0"/>
        <w:jc w:val="left"/>
        <w:rPr>
          <w:rFonts w:ascii="Times New Roman" w:hAnsi="Times New Roman"/>
          <w:sz w:val="20"/>
        </w:rPr>
      </w:pPr>
      <w:r>
        <w:rPr>
          <w:rFonts w:ascii="Times New Roman" w:hAnsi="Times New Roman"/>
          <w:sz w:val="20"/>
        </w:rPr>
        <w:t xml:space="preserve">If the carrying amount of a reporting unit exceeds its fair value, an impairment loss shall be recognized in an amount equal to that excess, versus determining an implied fair value to measure the impairment loss. If the fair value of the reporting unit exceeds its carrying amount, goodwill is not impaired. If the fair value of the reporting unit is less than the carrying value, an impairment charge is recognized for the amount by which the carrying amount exceeds the reporting unit’s fair value; however, the loss recognized should not exceed the total amount of goodwill allocated to that reporting unit. </w:t>
      </w:r>
    </w:p>
    <w:p>
      <w:pPr>
        <w:pStyle w:val="TextBody"/>
        <w:bidi w:val="0"/>
        <w:spacing w:before="120" w:after="0"/>
        <w:jc w:val="left"/>
        <w:rPr>
          <w:rFonts w:ascii="Times New Roman" w:hAnsi="Times New Roman"/>
          <w:sz w:val="20"/>
        </w:rPr>
      </w:pPr>
      <w:r>
        <w:rPr>
          <w:rFonts w:ascii="Times New Roman" w:hAnsi="Times New Roman"/>
          <w:sz w:val="20"/>
        </w:rPr>
        <w:t xml:space="preserve">The impairment review is highly judgmental and involves the use of significant estimates and assumptions. These estimates and assumptions have a significant impact on the amount of any impairment charge recorded. Estimates of fair value are primarily determined by using discounted cash flows, which is dependent upon assumptions of future sales trends, market conditions and cash flows of each reporting unit over several years. Actual cash flows in the future may differ significantly from those previously forecasted. Other significant assumptions include growth rates and the discount rate applicable to future cash flows. </w:t>
      </w:r>
    </w:p>
    <w:p>
      <w:pPr>
        <w:pStyle w:val="TextBody"/>
        <w:bidi w:val="0"/>
        <w:spacing w:before="120" w:after="0"/>
        <w:jc w:val="left"/>
        <w:rPr>
          <w:rFonts w:ascii="Times New Roman" w:hAnsi="Times New Roman"/>
          <w:sz w:val="20"/>
        </w:rPr>
      </w:pPr>
      <w:r>
        <w:rPr>
          <w:rFonts w:ascii="Times New Roman" w:hAnsi="Times New Roman"/>
          <w:sz w:val="20"/>
        </w:rPr>
        <w:t xml:space="preserve">Management compared the carrying value of each reporting unit, inclusive of assigned goodwill, to its respective fair value. The fair value of all reporting units was estimated by using the income approach. Based on this quantitative test, it was determined that the fair value of each reporting unit exceeded its carrying amount and, therefore, the management concluded that goodwill was not impaired as of December 31, 2022, 2023, and 2024, respectively. </w:t>
      </w:r>
    </w:p>
    <w:p>
      <w:pPr>
        <w:pStyle w:val="TextBody"/>
        <w:bidi w:val="0"/>
        <w:spacing w:before="0" w:after="0"/>
        <w:jc w:val="left"/>
        <w:rPr/>
      </w:pPr>
      <w:r>
        <w:rPr/>
        <w:t> </w:t>
      </w:r>
    </w:p>
    <w:tbl>
      <w:tblPr>
        <w:tblW w:w="2725" w:type="dxa"/>
        <w:jc w:val="left"/>
        <w:tblInd w:w="0" w:type="dxa"/>
        <w:tblLayout w:type="fixed"/>
        <w:tblCellMar>
          <w:top w:w="0" w:type="dxa"/>
          <w:left w:w="0" w:type="dxa"/>
          <w:bottom w:w="0" w:type="dxa"/>
          <w:right w:w="0" w:type="dxa"/>
        </w:tblCellMar>
      </w:tblPr>
      <w:tblGrid>
        <w:gridCol w:w="75"/>
        <w:gridCol w:w="305"/>
        <w:gridCol w:w="234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(p)</w:t>
            </w:r>
          </w:p>
        </w:tc>
        <w:tc>
          <w:tcPr>
            <w:tcW w:w="23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Business combinations and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non-controlling</w:t>
            </w:r>
          </w:p>
          <w:p>
            <w:pPr>
              <w:pStyle w:val="TableContents"/>
              <w:bidi w:val="0"/>
              <w:spacing w:before="0" w:after="0"/>
              <w:jc w:val="left"/>
              <w:rPr>
                <w:rFonts w:ascii="Times New Roman" w:hAnsi="Times New Roman"/>
                <w:b/>
                <w:sz w:val="20"/>
              </w:rPr>
            </w:pPr>
            <w:r>
              <w:rPr>
                <w:rFonts w:ascii="Times New Roman" w:hAnsi="Times New Roman"/>
                <w:b/>
                <w:sz w:val="20"/>
              </w:rPr>
              <w:t xml:space="preserve">interests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In determining whether a particular set of activities and assets is a business, the Group assesses whether the set of assets and activities acquired includes, at a minimum, an input and substantive process and whether the acquired set has the ability to produce outputs. The Group applies a ‘screen test’ that permits a simplified assessment of whether an acquired set of activities and assets is not a business. The test is met if substantially all of the fair value of the gross assets acquired is concentrated in a single identifiable asset or group of similar identifiable assets.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Transactions in which the acquired is considered a business are accounted for as a business combination as described below. Conversely, transactions not considered as business acquisition are accounted for as acquisition of assets and liabilities. In such transactions, the cost of acquisition is allocated proportionately to the acquired identifiable assets and liabilities, based on their proportionate fair value on the acquisition date. In an assets acquisition, no goodwill is recognized on the acquisition date. </w:t>
      </w:r>
    </w:p>
    <w:p>
      <w:pPr>
        <w:pStyle w:val="TextBody"/>
        <w:bidi w:val="0"/>
        <w:spacing w:before="120" w:after="0"/>
        <w:jc w:val="left"/>
        <w:rPr>
          <w:rFonts w:ascii="Times New Roman" w:hAnsi="Times New Roman"/>
          <w:sz w:val="20"/>
        </w:rPr>
      </w:pPr>
      <w:r>
        <w:rPr>
          <w:rFonts w:ascii="Times New Roman" w:hAnsi="Times New Roman"/>
          <w:sz w:val="20"/>
        </w:rPr>
        <w:t xml:space="preserve">The Group accounts for its business combinations using the acquisition method of accounting in accordance with ASC 805 “Business Combinations”. The cost of an acquisition is measured as the aggregate of the acquisition date fair value of the assets transferred, liabilities incurred and equity instruments issued by the Group to the sellers and equity instruments issued. Transaction costs directly attributable to the acquisition are expensed as incurred. Identifiable assets acquired and liabilities assumed are measured separately at their fair value as of the acquisition date, irrespective of the extent of any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 xml:space="preserve">interests. The excess of (i) the total costs of acquisition, fair value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 xml:space="preserve">interests and acquisition date fair value of any previously held equity interest in the acquiree over (ii) the fair value of the identifiable net assets of the acquiree, is recorded as goodwill. </w:t>
      </w:r>
    </w:p>
    <w:p>
      <w:pPr>
        <w:pStyle w:val="TextBody"/>
        <w:bidi w:val="0"/>
        <w:spacing w:before="120" w:after="0"/>
        <w:jc w:val="left"/>
        <w:rPr>
          <w:rFonts w:ascii="Times New Roman" w:hAnsi="Times New Roman"/>
          <w:sz w:val="20"/>
        </w:rPr>
      </w:pPr>
      <w:r>
        <w:rPr>
          <w:rFonts w:ascii="Times New Roman" w:hAnsi="Times New Roman"/>
          <w:sz w:val="20"/>
        </w:rPr>
        <w:t xml:space="preserve">In a business combination achieved in stages, the Group remeasures its previously held equity interest in the acquiree at the acquisition-date fair value and recognize the resulting gain or loss, if any, in earnings.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tbl>
      <w:tblPr>
        <w:tblW w:w="2725" w:type="dxa"/>
        <w:jc w:val="left"/>
        <w:tblInd w:w="0" w:type="dxa"/>
        <w:tblLayout w:type="fixed"/>
        <w:tblCellMar>
          <w:top w:w="0" w:type="dxa"/>
          <w:left w:w="0" w:type="dxa"/>
          <w:bottom w:w="0" w:type="dxa"/>
          <w:right w:w="0" w:type="dxa"/>
        </w:tblCellMar>
      </w:tblPr>
      <w:tblGrid>
        <w:gridCol w:w="75"/>
        <w:gridCol w:w="305"/>
        <w:gridCol w:w="234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(p)</w:t>
            </w:r>
          </w:p>
        </w:tc>
        <w:tc>
          <w:tcPr>
            <w:tcW w:w="234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Business combinations and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non-controlling</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interests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Group’s majority-owned subsidiaries and subsidiaries of VIEs, a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0" w:after="0"/>
        <w:jc w:val="left"/>
        <w:rPr>
          <w:rFonts w:ascii="Times New Roman" w:hAnsi="Times New Roman"/>
          <w:sz w:val="20"/>
        </w:rPr>
      </w:pPr>
      <w:r>
        <w:rPr>
          <w:rFonts w:ascii="Times New Roman" w:hAnsi="Times New Roman"/>
          <w:sz w:val="20"/>
        </w:rPr>
        <w:t xml:space="preserve">interest is recognized to reflect the portion of their equity which is not attributable, directly or indirectly, to the Group. Consolidated net income on the consolidated statements of income and comprehensive income includes the net income attributable to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0" w:after="0"/>
        <w:jc w:val="left"/>
        <w:rPr>
          <w:rFonts w:ascii="Times New Roman" w:hAnsi="Times New Roman"/>
          <w:sz w:val="20"/>
        </w:rPr>
      </w:pPr>
      <w:r>
        <w:rPr>
          <w:rFonts w:ascii="Times New Roman" w:hAnsi="Times New Roman"/>
          <w:sz w:val="20"/>
        </w:rPr>
        <w:t xml:space="preserve">interests. The cumulative results of operations attributable to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0" w:after="0"/>
        <w:jc w:val="left"/>
        <w:rPr>
          <w:rFonts w:ascii="Times New Roman" w:hAnsi="Times New Roman"/>
          <w:sz w:val="20"/>
        </w:rPr>
      </w:pPr>
      <w:r>
        <w:rPr>
          <w:rFonts w:ascii="Times New Roman" w:hAnsi="Times New Roman"/>
          <w:sz w:val="20"/>
        </w:rPr>
        <w:t xml:space="preserve">interests, are recorded as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0" w:after="0"/>
        <w:jc w:val="left"/>
        <w:rPr>
          <w:rFonts w:ascii="Times New Roman" w:hAnsi="Times New Roman"/>
          <w:sz w:val="20"/>
        </w:rPr>
      </w:pPr>
      <w:r>
        <w:rPr>
          <w:rFonts w:ascii="Times New Roman" w:hAnsi="Times New Roman"/>
          <w:sz w:val="20"/>
        </w:rPr>
        <w:t xml:space="preserve">interests on the Group’s consolidated balance sheets. </w:t>
      </w:r>
    </w:p>
    <w:p>
      <w:pPr>
        <w:pStyle w:val="TextBody"/>
        <w:bidi w:val="0"/>
        <w:spacing w:before="0" w:after="0"/>
        <w:jc w:val="left"/>
        <w:rPr/>
      </w:pPr>
      <w:r>
        <w:rPr/>
        <w:t> </w:t>
      </w:r>
    </w:p>
    <w:tbl>
      <w:tblPr>
        <w:tblW w:w="1030" w:type="dxa"/>
        <w:jc w:val="left"/>
        <w:tblInd w:w="0" w:type="dxa"/>
        <w:tblLayout w:type="fixed"/>
        <w:tblCellMar>
          <w:top w:w="0" w:type="dxa"/>
          <w:left w:w="0" w:type="dxa"/>
          <w:bottom w:w="0" w:type="dxa"/>
          <w:right w:w="0" w:type="dxa"/>
        </w:tblCellMar>
      </w:tblPr>
      <w:tblGrid>
        <w:gridCol w:w="75"/>
        <w:gridCol w:w="305"/>
        <w:gridCol w:w="65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(q)</w:t>
            </w:r>
          </w:p>
        </w:tc>
        <w:tc>
          <w:tcPr>
            <w:tcW w:w="6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From the Perspective of Lessee </w:t>
      </w:r>
    </w:p>
    <w:p>
      <w:pPr>
        <w:pStyle w:val="TextBody"/>
        <w:bidi w:val="0"/>
        <w:spacing w:before="120" w:after="0"/>
        <w:jc w:val="left"/>
        <w:rPr>
          <w:rFonts w:ascii="Times New Roman" w:hAnsi="Times New Roman"/>
          <w:sz w:val="20"/>
        </w:rPr>
      </w:pPr>
      <w:r>
        <w:rPr>
          <w:rFonts w:ascii="Times New Roman" w:hAnsi="Times New Roman"/>
          <w:sz w:val="20"/>
        </w:rPr>
        <w:t xml:space="preserve">The Group leases office space, offline stores, apartments and certain equipment under operating leases for terms ranging from short term (under 12 months) to 16 years. </w:t>
      </w:r>
    </w:p>
    <w:p>
      <w:pPr>
        <w:pStyle w:val="TextBody"/>
        <w:bidi w:val="0"/>
        <w:spacing w:before="120" w:after="0"/>
        <w:jc w:val="left"/>
        <w:rPr>
          <w:rFonts w:ascii="Times New Roman" w:hAnsi="Times New Roman"/>
          <w:sz w:val="20"/>
        </w:rPr>
      </w:pPr>
      <w:r>
        <w:rPr>
          <w:rFonts w:ascii="Times New Roman" w:hAnsi="Times New Roman"/>
          <w:sz w:val="20"/>
        </w:rPr>
        <w:t xml:space="preserve">The scope of ASC 842 also includes land use rights and the accounting policy is included in Note 2(k). </w:t>
      </w:r>
    </w:p>
    <w:p>
      <w:pPr>
        <w:pStyle w:val="TextBody"/>
        <w:bidi w:val="0"/>
        <w:spacing w:before="120" w:after="0"/>
        <w:jc w:val="left"/>
        <w:rPr>
          <w:rFonts w:ascii="Times New Roman" w:hAnsi="Times New Roman"/>
          <w:sz w:val="20"/>
        </w:rPr>
      </w:pPr>
      <w:r>
        <w:rPr>
          <w:rFonts w:ascii="Times New Roman" w:hAnsi="Times New Roman"/>
          <w:sz w:val="20"/>
        </w:rPr>
        <w:t xml:space="preserve">The Group determines whether a contract contains a lease at contract inception. A contract contains a lease if there is an identified asset and the Group has the right to control the use of the identified asset. </w:t>
      </w:r>
    </w:p>
    <w:p>
      <w:pPr>
        <w:pStyle w:val="TextBody"/>
        <w:bidi w:val="0"/>
        <w:spacing w:before="120" w:after="0"/>
        <w:jc w:val="left"/>
        <w:rPr>
          <w:rFonts w:ascii="Times New Roman" w:hAnsi="Times New Roman"/>
          <w:sz w:val="20"/>
        </w:rPr>
      </w:pPr>
      <w:r>
        <w:rPr>
          <w:rFonts w:ascii="Times New Roman" w:hAnsi="Times New Roman"/>
          <w:sz w:val="20"/>
        </w:rPr>
        <w:t xml:space="preserve">At the commencement of each lease, management determines its classification as an operating or finance lease. For leases that qualify as operating leases, the Group recognizes the associated lease expense on a straight-line basis over the term of the lease beginning on the date of initial possession, which is generally when the Group enters the leased premises and begins to make improvements in preparation for its intended use. </w:t>
      </w:r>
    </w:p>
    <w:p>
      <w:pPr>
        <w:pStyle w:val="TextBody"/>
        <w:bidi w:val="0"/>
        <w:spacing w:before="120" w:after="0"/>
        <w:jc w:val="left"/>
        <w:rPr>
          <w:rFonts w:ascii="Times New Roman" w:hAnsi="Times New Roman"/>
          <w:sz w:val="20"/>
        </w:rPr>
      </w:pPr>
      <w:r>
        <w:rPr>
          <w:rFonts w:ascii="Times New Roman" w:hAnsi="Times New Roman"/>
          <w:sz w:val="20"/>
        </w:rPr>
        <w:t xml:space="preserve">A lease liability is recognized for future fixed lease payments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Right-of-use</w:t>
      </w:r>
    </w:p>
    <w:p>
      <w:pPr>
        <w:pStyle w:val="TextBody"/>
        <w:bidi w:val="0"/>
        <w:spacing w:before="120" w:after="0"/>
        <w:jc w:val="left"/>
        <w:rPr>
          <w:rFonts w:ascii="Times New Roman" w:hAnsi="Times New Roman"/>
          <w:sz w:val="20"/>
        </w:rPr>
      </w:pPr>
      <w:r>
        <w:rPr>
          <w:rFonts w:ascii="Times New Roman" w:hAnsi="Times New Roman"/>
          <w:sz w:val="20"/>
        </w:rPr>
        <w:t xml:space="preserve">(“ROU”) assets representing the right to use the underlying asset during the lease term. </w:t>
      </w:r>
    </w:p>
    <w:p>
      <w:pPr>
        <w:pStyle w:val="TextBody"/>
        <w:bidi w:val="0"/>
        <w:spacing w:before="120" w:after="0"/>
        <w:jc w:val="left"/>
        <w:rPr>
          <w:rFonts w:ascii="Times New Roman" w:hAnsi="Times New Roman"/>
          <w:sz w:val="20"/>
        </w:rPr>
      </w:pPr>
      <w:r>
        <w:rPr>
          <w:rFonts w:ascii="Times New Roman" w:hAnsi="Times New Roman"/>
          <w:sz w:val="20"/>
        </w:rPr>
        <w:t xml:space="preserve">The Group uses the incremental borrowing rate in determining the present value of lease payments, unless the implicit rate is readily determinable. The incremental borrowing rate is estimated on a portfolio basis and incorporating lease term, currency risk, credit risk and an adjustment for collateral. If lease terms include options to extend or terminate the lease, the ROU asset and lease liability are measured considering such options when it’s reasonably certain they could be exercised. </w:t>
      </w:r>
    </w:p>
    <w:p>
      <w:pPr>
        <w:pStyle w:val="TextBody"/>
        <w:bidi w:val="0"/>
        <w:spacing w:before="120" w:after="0"/>
        <w:jc w:val="left"/>
        <w:rPr>
          <w:rFonts w:ascii="Times New Roman" w:hAnsi="Times New Roman"/>
          <w:sz w:val="20"/>
        </w:rPr>
      </w:pPr>
      <w:r>
        <w:rPr>
          <w:rFonts w:ascii="Times New Roman" w:hAnsi="Times New Roman"/>
          <w:sz w:val="20"/>
        </w:rPr>
        <w:t xml:space="preserve">The Group uses the discount rate as of the commencement date of the lease, incorporating the entire lease term. Current maturities and long-term portions of operating lease liabilities are classified as operating lease liabilities, current and operating lease liabilities,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non-current,</w:t>
      </w:r>
    </w:p>
    <w:p>
      <w:pPr>
        <w:pStyle w:val="TextBody"/>
        <w:bidi w:val="0"/>
        <w:spacing w:before="120" w:after="0"/>
        <w:jc w:val="left"/>
        <w:rPr>
          <w:rFonts w:ascii="Times New Roman" w:hAnsi="Times New Roman"/>
          <w:sz w:val="20"/>
        </w:rPr>
      </w:pPr>
      <w:r>
        <w:rPr>
          <w:rFonts w:ascii="Times New Roman" w:hAnsi="Times New Roman"/>
          <w:sz w:val="20"/>
        </w:rPr>
        <w:t xml:space="preserve">respectively, in the consolidated balance sheets.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ROU asset is measured at the amount of the lease liabilities with adjustments, if applicable, for lease prepayments made prior to or at lease commencement, initial direct costs incurred and lease incentives. Variable lease expenses include rent contingent payments based on percentages of revenue as defined in the lease. It is not included in lease expenses before it incurs or becomes probable. </w:t>
      </w:r>
    </w:p>
    <w:p>
      <w:pPr>
        <w:pStyle w:val="TextBody"/>
        <w:bidi w:val="0"/>
        <w:spacing w:before="120" w:after="0"/>
        <w:jc w:val="left"/>
        <w:rPr>
          <w:rFonts w:ascii="Times New Roman" w:hAnsi="Times New Roman"/>
          <w:sz w:val="20"/>
        </w:rPr>
      </w:pPr>
      <w:r>
        <w:rPr>
          <w:rFonts w:ascii="Times New Roman" w:hAnsi="Times New Roman"/>
          <w:sz w:val="20"/>
        </w:rPr>
        <w:t xml:space="preserve">Repayments of operating liabilities, variable lease payments and short-term lease payments are classified in operating activities. </w:t>
      </w:r>
    </w:p>
    <w:p>
      <w:pPr>
        <w:pStyle w:val="TextBody"/>
        <w:bidi w:val="0"/>
        <w:spacing w:before="120" w:after="0"/>
        <w:jc w:val="left"/>
        <w:rPr>
          <w:rFonts w:ascii="Times New Roman" w:hAnsi="Times New Roman"/>
          <w:sz w:val="20"/>
        </w:rPr>
      </w:pPr>
      <w:r>
        <w:rPr>
          <w:rFonts w:ascii="Times New Roman" w:hAnsi="Times New Roman"/>
          <w:sz w:val="20"/>
        </w:rPr>
        <w:t xml:space="preserve">The Group has made an accounting policy election to exempt leases with an initial term of 12 months or less from being recognized on the balance sheet. Short-term leases are not significant in comparison to the Group’s overall lease portfolio. Payments related to those leases are recognized in the consolidated statements of income and comprehensive income on a straight-line basis over the lease term.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tbl>
      <w:tblPr>
        <w:tblW w:w="1450" w:type="dxa"/>
        <w:jc w:val="left"/>
        <w:tblInd w:w="0" w:type="dxa"/>
        <w:tblLayout w:type="fixed"/>
        <w:tblCellMar>
          <w:top w:w="0" w:type="dxa"/>
          <w:left w:w="0" w:type="dxa"/>
          <w:bottom w:w="0" w:type="dxa"/>
          <w:right w:w="0" w:type="dxa"/>
        </w:tblCellMar>
      </w:tblPr>
      <w:tblGrid>
        <w:gridCol w:w="75"/>
        <w:gridCol w:w="305"/>
        <w:gridCol w:w="107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(q)</w:t>
            </w:r>
          </w:p>
        </w:tc>
        <w:tc>
          <w:tcPr>
            <w:tcW w:w="10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Leases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From the Perspective of Lessor </w:t>
      </w:r>
    </w:p>
    <w:p>
      <w:pPr>
        <w:pStyle w:val="TextBody"/>
        <w:bidi w:val="0"/>
        <w:spacing w:before="120" w:after="0"/>
        <w:jc w:val="left"/>
        <w:rPr>
          <w:rFonts w:ascii="Times New Roman" w:hAnsi="Times New Roman"/>
          <w:sz w:val="20"/>
        </w:rPr>
      </w:pPr>
      <w:r>
        <w:rPr>
          <w:rFonts w:ascii="Times New Roman" w:hAnsi="Times New Roman"/>
          <w:sz w:val="20"/>
        </w:rPr>
        <w:t xml:space="preserve">The Group leases shop spaces in outlet malls to brand shops and warehouse to suppliers under operating leases ranging from short term (under 12 months) to 25 years. </w:t>
      </w:r>
    </w:p>
    <w:p>
      <w:pPr>
        <w:pStyle w:val="TextBody"/>
        <w:bidi w:val="0"/>
        <w:spacing w:before="120" w:after="0"/>
        <w:jc w:val="left"/>
        <w:rPr>
          <w:rFonts w:ascii="Times New Roman" w:hAnsi="Times New Roman"/>
          <w:sz w:val="20"/>
        </w:rPr>
      </w:pPr>
      <w:r>
        <w:rPr>
          <w:rFonts w:ascii="Times New Roman" w:hAnsi="Times New Roman"/>
          <w:sz w:val="20"/>
        </w:rPr>
        <w:t xml:space="preserve">Under ASC 842, which permits a practical expedient that provides lessors an option not to separate lease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120" w:after="0"/>
        <w:jc w:val="left"/>
        <w:rPr>
          <w:rFonts w:ascii="Times New Roman" w:hAnsi="Times New Roman"/>
          <w:sz w:val="20"/>
        </w:rPr>
      </w:pPr>
      <w:r>
        <w:rPr>
          <w:rFonts w:ascii="Times New Roman" w:hAnsi="Times New Roman"/>
          <w:sz w:val="20"/>
        </w:rPr>
        <w:t xml:space="preserve">components if both of the following criteria are met: (1) the timing and pattern of transfer of the lease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120" w:after="0"/>
        <w:jc w:val="left"/>
        <w:rPr>
          <w:rFonts w:ascii="Times New Roman" w:hAnsi="Times New Roman"/>
          <w:sz w:val="20"/>
        </w:rPr>
      </w:pPr>
      <w:r>
        <w:rPr>
          <w:rFonts w:ascii="Times New Roman" w:hAnsi="Times New Roman"/>
          <w:sz w:val="20"/>
        </w:rPr>
        <w:t xml:space="preserve">component(s) are the same and (2) the lease component would be classified as an operating lease if it were accounted for separately. If both criteria are met, the combined component is accounted for in accordance with ASC 842 if the lease component is the predominant component of the combined component; otherwise, the combined component is accounted for in accordance with the revenue recognition standard. The Group determined that the lease arrangements meet the criteria applying the practical expedient and to account for the lease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120" w:after="0"/>
        <w:jc w:val="left"/>
        <w:rPr>
          <w:rFonts w:ascii="Times New Roman" w:hAnsi="Times New Roman"/>
          <w:sz w:val="20"/>
        </w:rPr>
      </w:pPr>
      <w:r>
        <w:rPr>
          <w:rFonts w:ascii="Times New Roman" w:hAnsi="Times New Roman"/>
          <w:sz w:val="20"/>
        </w:rPr>
        <w:t xml:space="preserve">components as a single lease component under ASC 842. The Group recognized consideration received from the leases, together with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non-lease</w:t>
      </w:r>
    </w:p>
    <w:p>
      <w:pPr>
        <w:pStyle w:val="TextBody"/>
        <w:bidi w:val="0"/>
        <w:spacing w:before="120" w:after="0"/>
        <w:jc w:val="left"/>
        <w:rPr>
          <w:rFonts w:ascii="Times New Roman" w:hAnsi="Times New Roman"/>
          <w:sz w:val="20"/>
        </w:rPr>
      </w:pPr>
      <w:r>
        <w:rPr>
          <w:rFonts w:ascii="Times New Roman" w:hAnsi="Times New Roman"/>
          <w:sz w:val="20"/>
        </w:rPr>
        <w:t xml:space="preserve">components including common area maintenance arrangements on a straight-line basis as the lease component is the predominant component of the combined component.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as a lessor, retain substantially all of the risks and benefits of ownership of the properties and continue to account for its leases as operating leases. There is no terms and conditions exist to grant the option for the tenant to purchase the properties upon termination of the lease. Renewal of the leases are negotiated before termination and penalty is imposed if the lessees early terminate the leases. The majority of the Group’s lease contracts are based on the higher of 1) fixed lease payment and 2) variable lease payment based on percentage of gross revenue generated by each tenant. The Group recognizes fixed lease income on a straight-line basis over the terms of the leases and variable lease income are recognized when incurred, both included in other revenues on the consolidated statements of income and comprehensive income. The lessees are generally required to provide the Group with a deposit, which is recorded in accrued expenses and other current liabilities on the consolidated balance sheets. </w:t>
      </w:r>
    </w:p>
    <w:p>
      <w:pPr>
        <w:pStyle w:val="TextBody"/>
        <w:bidi w:val="0"/>
        <w:spacing w:before="120" w:after="0"/>
        <w:jc w:val="left"/>
        <w:rPr>
          <w:rFonts w:ascii="Times New Roman" w:hAnsi="Times New Roman"/>
          <w:sz w:val="20"/>
        </w:rPr>
      </w:pPr>
      <w:r>
        <w:rPr>
          <w:rFonts w:ascii="Times New Roman" w:hAnsi="Times New Roman"/>
          <w:sz w:val="20"/>
        </w:rPr>
        <w:t xml:space="preserve">The residual value of the Group’s lease assets represents the fair value of the leased assets at the end of the lease terms. The Group applies on industry data, historical experience, independent appraisals and the experience of the management team to value lease residuals. </w:t>
      </w:r>
    </w:p>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275"/>
        <w:gridCol w:w="18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(r)</w:t>
            </w:r>
          </w:p>
        </w:tc>
        <w:tc>
          <w:tcPr>
            <w:tcW w:w="18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Revenue recognition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recognizes revenue when its customer obtains control of promised goods or services in an amount that reflects the consideration which the Group expects to receive in exchange for those goods or services. For revenue recognition, the Group evaluates the arrangements within the scope of Topic 606 and performs the following five steps: (1) identify the contract(s) with a customer,(2) identify the performance obligations in the contract, (3) determine the transaction price, (4) allocate the transaction price to the performance obligations in the contract and (5) recognize revenue when (or as) the entity satisfies a performance obligation.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Product revenue recognition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majority of the Group’s revenue is derived from online product revenue. The Group generates revenue from the sale of apparel, fashion goods, cosmetics, home goods and lifestyle products and other merchandizes through its online platforms, including its internet website and cellular phone application. The Group recognizes revenue at the point of time when the goods have been received by the customers based on the delivery day estimate. The customers have the options to pay for the goods in advance or to pay over an agreed upon instalment period. </w:t>
      </w:r>
    </w:p>
    <w:p>
      <w:pPr>
        <w:pStyle w:val="TextBody"/>
        <w:bidi w:val="0"/>
        <w:spacing w:before="120" w:after="0"/>
        <w:jc w:val="left"/>
        <w:rPr>
          <w:rFonts w:ascii="Times New Roman" w:hAnsi="Times New Roman"/>
          <w:sz w:val="20"/>
        </w:rPr>
      </w:pPr>
      <w:r>
        <w:rPr>
          <w:rFonts w:ascii="Times New Roman" w:hAnsi="Times New Roman"/>
          <w:sz w:val="20"/>
        </w:rPr>
        <w:t xml:space="preserve">For offline product revenue and merchandizes sold through Shan Shan Outlets, the Group recognizes product revenue at the point of time when customers obtain control of the merchandises.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75"/>
        <w:gridCol w:w="200"/>
        <w:gridCol w:w="18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w:t>
            </w:r>
          </w:p>
          <w:p>
            <w:pPr>
              <w:pStyle w:val="TableContents"/>
              <w:bidi w:val="0"/>
              <w:spacing w:before="0" w:after="0"/>
              <w:jc w:val="left"/>
              <w:rPr>
                <w:b/>
                <w:spacing w:val="0"/>
              </w:rPr>
            </w:pPr>
            <w:r>
              <w:rPr>
                <w:b/>
                <w:spacing w:val="0"/>
              </w:rPr>
              <w:t>r)</w:t>
            </w:r>
          </w:p>
        </w:tc>
        <w:tc>
          <w:tcPr>
            <w:tcW w:w="182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Revenue recognition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Product revenue recognition</w:t>
      </w:r>
    </w:p>
    <w:p>
      <w:pPr>
        <w:pStyle w:val="TextBody"/>
        <w:bidi w:val="0"/>
        <w:spacing w:before="0" w:after="0"/>
        <w:jc w:val="left"/>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Revenue was recorded net of surcharges, VAT and sales tax on cross border revenue of gross sales. Surcharges are sales related taxes representing the City Maintenance and Construction Tax and Education Surtax. Revenues also include fees charged to customers for shipping and handling expenses for online product revenue.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To determine whether the Group is an agent or principal in the sale of products, the Group considers the following indicators: the Group is primarily responsible for fulfilling the promise to provide the specified goods or services, is subject to inventory risks before the specified goods or services have been transferred to a customer or handling the return of the goods after transfer of control to the customers, and has discretion in establishing the price of the specified goods or services. The Group records all product revenue on a gross basis except for the products sold where the Group only provides platform access for certain third-party merchants.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Return rights </w:t>
      </w:r>
    </w:p>
    <w:p>
      <w:pPr>
        <w:pStyle w:val="TextBody"/>
        <w:bidi w:val="0"/>
        <w:spacing w:before="120" w:after="0"/>
        <w:jc w:val="left"/>
        <w:rPr>
          <w:rFonts w:ascii="Times New Roman" w:hAnsi="Times New Roman"/>
          <w:sz w:val="20"/>
        </w:rPr>
      </w:pPr>
      <w:r>
        <w:rPr>
          <w:rFonts w:ascii="Times New Roman" w:hAnsi="Times New Roman"/>
          <w:sz w:val="20"/>
        </w:rPr>
        <w:t xml:space="preserve">The Group offers online sales customers with an unconditional right of return for a period of 7 days upon receipt of the products. Accordingly, the Group estimates the expected customer merchandize returns, based on historical return patterns, to record the revenue reversal and a corresponding refund liability which is included in accrued expenses and other current liabilities (Note 12). </w:t>
      </w:r>
    </w:p>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Other revenues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Other revenues primarily consist of product promotion and online advertising revenues, lease income mainly earned from the Shan Shan Outlets and warehouses, fees charged to third-party merchants where the Group provides platform access for sales of their products, logistic services revenue to third-parties, loan facilitation service income and membership fee income.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provides promotion and advertising services to the merchants on its platform as well as third-party marketing affiliate’s website or mobile apps. The Group recognizes revenue from pay for performance marketing services for which the customers are charged based on effective clicks or sales, or display the advertising services over the agreed period or based on the rate at per thousand of impressions.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Shan Shan Outlets leases shop space to various brand shops and the Group leases the warehouses to the suppliers, the related revenue is accounted under ASC Topic 842—Leases. The detail information was disclosed in Note 2(q).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charges commission fees to third-party merchants for access to the Group’s platform for sales of their products. The Group is not generally responsible for fulfilling the promised contracts, as it does not bear the inventory risk, nor has the discretion in establishing prices. Upon successful sales on the Group’s online platforms, the Group charges the third-party merchants commission fees.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Revenue from logistic services is recognized at the point of time upon completion of the performance of services.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In connection with the Group’s product revenues, certain approved customers have the option to pay for the goods over an installment period up to 24 months. Significant financing component exists in sales paid by installments. The Group elected the practical expedient not to adjust the promised amount of consideration for the effects of a significant financing component for all instances in which the period between payment and transfer of the goods will be one year or less. For the contracts with installment period over 12 months, the transaction price is adjusted for the effects of the time value of money which is equivalent to the amounts charged in separate financing transaction between the Group and its customers at contract inception. The revenues earned from the financing service is recognized over the installment period and included in other revenues.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275"/>
        <w:gridCol w:w="18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(r)</w:t>
            </w:r>
          </w:p>
        </w:tc>
        <w:tc>
          <w:tcPr>
            <w:tcW w:w="182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Revenue recognition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Other revenues</w:t>
      </w:r>
    </w:p>
    <w:p>
      <w:pPr>
        <w:pStyle w:val="TextBody"/>
        <w:bidi w:val="0"/>
        <w:spacing w:before="0" w:after="0"/>
        <w:jc w:val="left"/>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The Group cooperates with banks and third-party consumer financing companies to provide consumer loans to qualified customers, and is entitled to service channel fees calculated as a percentage of the loan amounts. Revenue is recognized when the banks or third-party consumer financing companies grant customers the loans. The Group is not responsible for any activity post loan originations nor does it provide any guarantee for the loans. The Group considers its performance obligation is completed upon the loan origination and the service fee is recognized as revenue at that point in time. </w:t>
      </w:r>
    </w:p>
    <w:p>
      <w:pPr>
        <w:pStyle w:val="TextBody"/>
        <w:bidi w:val="0"/>
        <w:spacing w:before="80" w:after="0"/>
        <w:ind w:left="0" w:right="0" w:hanging="0"/>
        <w:jc w:val="left"/>
        <w:rPr>
          <w:rFonts w:ascii="Times New Roman" w:hAnsi="Times New Roman"/>
          <w:spacing w:val="0"/>
          <w:sz w:val="20"/>
        </w:rPr>
      </w:pPr>
      <w:r>
        <w:rPr>
          <w:rFonts w:ascii="Times New Roman" w:hAnsi="Times New Roman"/>
          <w:spacing w:val="0"/>
          <w:sz w:val="20"/>
        </w:rPr>
        <w:t xml:space="preserve">The Group has a paid online membership program called Super VIP, which allows its members to enjoy certain privileges. The revenue related to the membership fee is recognized on a straight-line basis over the period of the membership. </w:t>
      </w:r>
    </w:p>
    <w:p>
      <w:pPr>
        <w:pStyle w:val="TextBody"/>
        <w:bidi w:val="0"/>
        <w:spacing w:before="8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Membership reward program </w:t>
      </w:r>
    </w:p>
    <w:p>
      <w:pPr>
        <w:pStyle w:val="TextBody"/>
        <w:bidi w:val="0"/>
        <w:spacing w:before="80" w:after="0"/>
        <w:ind w:left="0" w:right="0" w:hanging="0"/>
        <w:jc w:val="left"/>
        <w:rPr>
          <w:rFonts w:ascii="Times New Roman" w:hAnsi="Times New Roman"/>
          <w:spacing w:val="0"/>
          <w:sz w:val="20"/>
        </w:rPr>
      </w:pPr>
      <w:r>
        <w:rPr>
          <w:rFonts w:ascii="Times New Roman" w:hAnsi="Times New Roman"/>
          <w:spacing w:val="0"/>
          <w:sz w:val="20"/>
        </w:rPr>
        <w:t xml:space="preserve">Shan Shan Outlets grant reward points to customers when they purchased goods from shops in outlets operated by the Group. These reward points can be used as credits against payment on future purchases. </w:t>
      </w:r>
    </w:p>
    <w:p>
      <w:pPr>
        <w:pStyle w:val="TextBody"/>
        <w:bidi w:val="0"/>
        <w:spacing w:before="80" w:after="0"/>
        <w:ind w:left="0" w:right="0" w:hanging="0"/>
        <w:jc w:val="left"/>
        <w:rPr>
          <w:rFonts w:ascii="Times New Roman" w:hAnsi="Times New Roman"/>
          <w:spacing w:val="0"/>
          <w:sz w:val="20"/>
        </w:rPr>
      </w:pPr>
      <w:r>
        <w:rPr>
          <w:rFonts w:ascii="Times New Roman" w:hAnsi="Times New Roman"/>
          <w:spacing w:val="0"/>
          <w:sz w:val="20"/>
        </w:rPr>
        <w:t xml:space="preserve">Shan Shan Outlets considers reward points derived from its own shops in the outlets as a separate performance obligation and allocates the transaction price proportionally between the product sold and reward points granted on a relative standalone selling price basis taking into consideration of the likelihood of future redemption based on historical experience and the equivalent value per reward points when redeemed. The related reward points from its own shops are considered as a contract liability which is not material to the Group’s consolidated financial statements as a whole. </w:t>
      </w:r>
    </w:p>
    <w:p>
      <w:pPr>
        <w:pStyle w:val="TextBody"/>
        <w:bidi w:val="0"/>
        <w:spacing w:before="8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Remaining performance obligations</w:t>
      </w:r>
    </w:p>
    <w:p>
      <w:pPr>
        <w:pStyle w:val="TextBody"/>
        <w:bidi w:val="0"/>
        <w:spacing w:before="80" w:after="0"/>
        <w:ind w:left="0" w:right="0" w:hanging="0"/>
        <w:jc w:val="left"/>
        <w:rPr>
          <w:rFonts w:ascii="Times New Roman" w:hAnsi="Times New Roman"/>
          <w:spacing w:val="0"/>
          <w:sz w:val="20"/>
        </w:rPr>
      </w:pPr>
      <w:r>
        <w:rPr>
          <w:rFonts w:ascii="Times New Roman" w:hAnsi="Times New Roman"/>
          <w:spacing w:val="0"/>
          <w:sz w:val="20"/>
        </w:rPr>
        <w:t>Remaining performance obligation represent the transaction price allocated to unsatisfied or partially unsatisfied performance obligations. For the years ended December 31, 2023 and 2024, the Group had unfulfilled performance obligations for products to be transferred to customers of RMB</w:t>
      </w:r>
    </w:p>
    <w:p>
      <w:pPr>
        <w:pStyle w:val="TextBody"/>
        <w:bidi w:val="0"/>
        <w:spacing w:before="80" w:after="0"/>
        <w:jc w:val="left"/>
        <w:rPr>
          <w:rFonts w:ascii="Times New Roman" w:hAnsi="Times New Roman"/>
          <w:sz w:val="20"/>
        </w:rPr>
      </w:pPr>
      <w:r>
        <w:rPr>
          <w:rFonts w:ascii="Times New Roman" w:hAnsi="Times New Roman"/>
          <w:sz w:val="20"/>
        </w:rPr>
        <w:t>1,495.2</w:t>
      </w:r>
    </w:p>
    <w:p>
      <w:pPr>
        <w:pStyle w:val="TextBody"/>
        <w:bidi w:val="0"/>
        <w:spacing w:before="80" w:after="0"/>
        <w:jc w:val="left"/>
        <w:rPr>
          <w:spacing w:val="0"/>
        </w:rPr>
      </w:pPr>
      <w:r>
        <w:rPr>
          <w:spacing w:val="0"/>
        </w:rPr>
        <w:t> </w:t>
      </w:r>
      <w:r>
        <w:rPr>
          <w:rFonts w:ascii="Times New Roman" w:hAnsi="Times New Roman"/>
          <w:spacing w:val="0"/>
          <w:sz w:val="20"/>
        </w:rPr>
        <w:t>million and RMB</w:t>
      </w:r>
    </w:p>
    <w:p>
      <w:pPr>
        <w:pStyle w:val="TextBody"/>
        <w:bidi w:val="0"/>
        <w:spacing w:before="80" w:after="0"/>
        <w:jc w:val="left"/>
        <w:rPr>
          <w:rFonts w:ascii="Times New Roman" w:hAnsi="Times New Roman"/>
          <w:sz w:val="20"/>
        </w:rPr>
      </w:pPr>
      <w:r>
        <w:rPr>
          <w:rFonts w:ascii="Times New Roman" w:hAnsi="Times New Roman"/>
          <w:sz w:val="20"/>
        </w:rPr>
        <w:t>1,801.2</w:t>
      </w:r>
    </w:p>
    <w:p>
      <w:pPr>
        <w:pStyle w:val="TextBody"/>
        <w:bidi w:val="0"/>
        <w:spacing w:before="80" w:after="0"/>
        <w:jc w:val="left"/>
        <w:rPr>
          <w:spacing w:val="0"/>
        </w:rPr>
      </w:pPr>
      <w:r>
        <w:rPr>
          <w:spacing w:val="0"/>
        </w:rPr>
        <w:t> </w:t>
      </w:r>
      <w:r>
        <w:rPr>
          <w:rFonts w:ascii="Times New Roman" w:hAnsi="Times New Roman"/>
          <w:spacing w:val="0"/>
          <w:sz w:val="20"/>
        </w:rPr>
        <w:t>million, and performance obligations mainly related to Super VIP membership fee and reward points of RMB</w:t>
      </w:r>
    </w:p>
    <w:p>
      <w:pPr>
        <w:pStyle w:val="TextBody"/>
        <w:bidi w:val="0"/>
        <w:spacing w:before="80" w:after="0"/>
        <w:jc w:val="left"/>
        <w:rPr>
          <w:rFonts w:ascii="Times New Roman" w:hAnsi="Times New Roman"/>
          <w:sz w:val="20"/>
        </w:rPr>
      </w:pPr>
      <w:r>
        <w:rPr>
          <w:rFonts w:ascii="Times New Roman" w:hAnsi="Times New Roman"/>
          <w:sz w:val="20"/>
        </w:rPr>
        <w:t>388.8</w:t>
      </w:r>
    </w:p>
    <w:p>
      <w:pPr>
        <w:pStyle w:val="TextBody"/>
        <w:bidi w:val="0"/>
        <w:spacing w:before="80" w:after="0"/>
        <w:jc w:val="left"/>
        <w:rPr>
          <w:spacing w:val="0"/>
        </w:rPr>
      </w:pPr>
      <w:r>
        <w:rPr>
          <w:spacing w:val="0"/>
        </w:rPr>
        <w:t> </w:t>
      </w:r>
      <w:r>
        <w:rPr>
          <w:rFonts w:ascii="Times New Roman" w:hAnsi="Times New Roman"/>
          <w:spacing w:val="0"/>
          <w:sz w:val="20"/>
        </w:rPr>
        <w:t>million and RMB</w:t>
      </w:r>
    </w:p>
    <w:p>
      <w:pPr>
        <w:pStyle w:val="TextBody"/>
        <w:bidi w:val="0"/>
        <w:spacing w:before="80" w:after="0"/>
        <w:jc w:val="left"/>
        <w:rPr>
          <w:rFonts w:ascii="Times New Roman" w:hAnsi="Times New Roman"/>
          <w:sz w:val="20"/>
        </w:rPr>
      </w:pPr>
      <w:r>
        <w:rPr>
          <w:rFonts w:ascii="Times New Roman" w:hAnsi="Times New Roman"/>
          <w:sz w:val="20"/>
        </w:rPr>
        <w:t>394.1</w:t>
      </w:r>
    </w:p>
    <w:p>
      <w:pPr>
        <w:pStyle w:val="TextBody"/>
        <w:bidi w:val="0"/>
        <w:spacing w:before="80" w:after="0"/>
        <w:jc w:val="left"/>
        <w:rPr>
          <w:spacing w:val="0"/>
        </w:rPr>
      </w:pPr>
      <w:r>
        <w:rPr>
          <w:spacing w:val="0"/>
        </w:rPr>
        <w:t> </w:t>
      </w:r>
      <w:r>
        <w:rPr>
          <w:rFonts w:ascii="Times New Roman" w:hAnsi="Times New Roman"/>
          <w:spacing w:val="0"/>
          <w:sz w:val="20"/>
        </w:rPr>
        <w:t>million, respectively. The Group expects revenue to be recognized for the remaining performance obligations within the next year. The remaining performance obligations are accounted under advance from customers and deferred income.</w:t>
      </w:r>
    </w:p>
    <w:p>
      <w:pPr>
        <w:pStyle w:val="TextBody"/>
        <w:bidi w:val="0"/>
        <w:spacing w:before="8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Disaggregation of revenue </w:t>
      </w:r>
    </w:p>
    <w:p>
      <w:pPr>
        <w:pStyle w:val="TextBody"/>
        <w:bidi w:val="0"/>
        <w:spacing w:before="80" w:after="0"/>
        <w:ind w:left="0" w:right="0" w:hanging="0"/>
        <w:jc w:val="left"/>
        <w:rPr>
          <w:rFonts w:ascii="Times New Roman" w:hAnsi="Times New Roman"/>
          <w:spacing w:val="0"/>
          <w:sz w:val="20"/>
        </w:rPr>
      </w:pPr>
      <w:r>
        <w:rPr>
          <w:rFonts w:ascii="Times New Roman" w:hAnsi="Times New Roman"/>
          <w:spacing w:val="0"/>
          <w:sz w:val="20"/>
        </w:rPr>
        <w:t>The Group disaggregates its product revenue from different types of contracts with customers by nature, as the Group believes it best depicts the nature, amount, timing and uncertainty of its revenue and cash flows. The Group disaggregates its other revenue from different types of contracts with customers by service income and lease income, as the Group believes it best depicts the nature, amount, timing and uncertainty of its revenue and cash flows. Service income mainly relate to revenues from product promotion and online advertising revenues, fees charged to third-party merchants which the Group provides platform access for sales of their products, revenue from third-party logistics services, loan facilitation service income and membership fee income. Lease incomes are mainly earned from the Shan Shan Outlets. The amounts of service income and lease income were RMB</w:t>
      </w:r>
    </w:p>
    <w:p>
      <w:pPr>
        <w:pStyle w:val="TextBody"/>
        <w:bidi w:val="0"/>
        <w:spacing w:before="80" w:after="0"/>
        <w:jc w:val="left"/>
        <w:rPr>
          <w:rFonts w:ascii="Times New Roman" w:hAnsi="Times New Roman"/>
          <w:sz w:val="20"/>
        </w:rPr>
      </w:pPr>
      <w:r>
        <w:rPr>
          <w:rFonts w:ascii="Times New Roman" w:hAnsi="Times New Roman"/>
          <w:sz w:val="20"/>
        </w:rPr>
        <w:t>4.43</w:t>
      </w:r>
    </w:p>
    <w:p>
      <w:pPr>
        <w:pStyle w:val="TextBody"/>
        <w:bidi w:val="0"/>
        <w:spacing w:before="80" w:after="0"/>
        <w:jc w:val="left"/>
        <w:rPr>
          <w:spacing w:val="0"/>
        </w:rPr>
      </w:pPr>
      <w:r>
        <w:rPr>
          <w:spacing w:val="0"/>
        </w:rPr>
        <w:t> </w:t>
      </w:r>
      <w:r>
        <w:rPr>
          <w:rFonts w:ascii="Times New Roman" w:hAnsi="Times New Roman"/>
          <w:spacing w:val="0"/>
          <w:sz w:val="20"/>
        </w:rPr>
        <w:t>billion and RMB</w:t>
      </w:r>
    </w:p>
    <w:p>
      <w:pPr>
        <w:pStyle w:val="TextBody"/>
        <w:bidi w:val="0"/>
        <w:spacing w:before="80" w:after="0"/>
        <w:jc w:val="left"/>
        <w:rPr>
          <w:rFonts w:ascii="Times New Roman" w:hAnsi="Times New Roman"/>
          <w:sz w:val="20"/>
        </w:rPr>
      </w:pPr>
      <w:r>
        <w:rPr>
          <w:rFonts w:ascii="Times New Roman" w:hAnsi="Times New Roman"/>
          <w:sz w:val="20"/>
        </w:rPr>
        <w:t>1.47</w:t>
      </w:r>
    </w:p>
    <w:p>
      <w:pPr>
        <w:pStyle w:val="TextBody"/>
        <w:bidi w:val="0"/>
        <w:spacing w:before="80" w:after="0"/>
        <w:jc w:val="left"/>
        <w:rPr>
          <w:spacing w:val="0"/>
        </w:rPr>
      </w:pPr>
      <w:r>
        <w:rPr>
          <w:spacing w:val="0"/>
        </w:rPr>
        <w:t> </w:t>
      </w:r>
      <w:r>
        <w:rPr>
          <w:rFonts w:ascii="Times New Roman" w:hAnsi="Times New Roman"/>
          <w:spacing w:val="0"/>
          <w:sz w:val="20"/>
        </w:rPr>
        <w:t>billion, RMB</w:t>
      </w:r>
    </w:p>
    <w:p>
      <w:pPr>
        <w:pStyle w:val="TextBody"/>
        <w:bidi w:val="0"/>
        <w:spacing w:before="80" w:after="0"/>
        <w:jc w:val="left"/>
        <w:rPr>
          <w:rFonts w:ascii="Times New Roman" w:hAnsi="Times New Roman"/>
          <w:sz w:val="20"/>
        </w:rPr>
      </w:pPr>
      <w:r>
        <w:rPr>
          <w:rFonts w:ascii="Times New Roman" w:hAnsi="Times New Roman"/>
          <w:sz w:val="20"/>
        </w:rPr>
        <w:t>4.94</w:t>
      </w:r>
    </w:p>
    <w:p>
      <w:pPr>
        <w:pStyle w:val="TextBody"/>
        <w:bidi w:val="0"/>
        <w:spacing w:before="80" w:after="0"/>
        <w:jc w:val="left"/>
        <w:rPr>
          <w:spacing w:val="0"/>
        </w:rPr>
      </w:pPr>
      <w:r>
        <w:rPr>
          <w:spacing w:val="0"/>
        </w:rPr>
        <w:t> </w:t>
      </w:r>
      <w:r>
        <w:rPr>
          <w:rFonts w:ascii="Times New Roman" w:hAnsi="Times New Roman"/>
          <w:spacing w:val="0"/>
          <w:sz w:val="20"/>
        </w:rPr>
        <w:t>billion and RMB</w:t>
      </w:r>
    </w:p>
    <w:p>
      <w:pPr>
        <w:pStyle w:val="TextBody"/>
        <w:bidi w:val="0"/>
        <w:spacing w:before="80" w:after="0"/>
        <w:jc w:val="left"/>
        <w:rPr>
          <w:rFonts w:ascii="Times New Roman" w:hAnsi="Times New Roman"/>
          <w:sz w:val="20"/>
        </w:rPr>
      </w:pPr>
      <w:r>
        <w:rPr>
          <w:rFonts w:ascii="Times New Roman" w:hAnsi="Times New Roman"/>
          <w:sz w:val="20"/>
        </w:rPr>
        <w:t>2.30</w:t>
      </w:r>
    </w:p>
    <w:p>
      <w:pPr>
        <w:pStyle w:val="TextBody"/>
        <w:bidi w:val="0"/>
        <w:spacing w:before="80" w:after="0"/>
        <w:jc w:val="left"/>
        <w:rPr>
          <w:spacing w:val="0"/>
        </w:rPr>
      </w:pPr>
      <w:r>
        <w:rPr>
          <w:spacing w:val="0"/>
        </w:rPr>
        <w:t> </w:t>
      </w:r>
      <w:r>
        <w:rPr>
          <w:rFonts w:ascii="Times New Roman" w:hAnsi="Times New Roman"/>
          <w:spacing w:val="0"/>
          <w:sz w:val="20"/>
        </w:rPr>
        <w:t>billion, RMB</w:t>
      </w:r>
    </w:p>
    <w:p>
      <w:pPr>
        <w:pStyle w:val="TextBody"/>
        <w:bidi w:val="0"/>
        <w:spacing w:before="80" w:after="0"/>
        <w:jc w:val="left"/>
        <w:rPr>
          <w:rFonts w:ascii="Times New Roman" w:hAnsi="Times New Roman"/>
          <w:sz w:val="20"/>
        </w:rPr>
      </w:pPr>
      <w:r>
        <w:rPr>
          <w:rFonts w:ascii="Times New Roman" w:hAnsi="Times New Roman"/>
          <w:sz w:val="20"/>
        </w:rPr>
        <w:t>4.96</w:t>
      </w:r>
    </w:p>
    <w:p>
      <w:pPr>
        <w:pStyle w:val="TextBody"/>
        <w:bidi w:val="0"/>
        <w:spacing w:before="80" w:after="0"/>
        <w:jc w:val="left"/>
        <w:rPr>
          <w:spacing w:val="0"/>
        </w:rPr>
      </w:pPr>
      <w:r>
        <w:rPr>
          <w:spacing w:val="0"/>
        </w:rPr>
        <w:t> </w:t>
      </w:r>
      <w:r>
        <w:rPr>
          <w:rFonts w:ascii="Times New Roman" w:hAnsi="Times New Roman"/>
          <w:spacing w:val="0"/>
          <w:sz w:val="20"/>
        </w:rPr>
        <w:t>billion and RMB</w:t>
      </w:r>
    </w:p>
    <w:p>
      <w:pPr>
        <w:pStyle w:val="TextBody"/>
        <w:bidi w:val="0"/>
        <w:spacing w:before="80" w:after="0"/>
        <w:jc w:val="left"/>
        <w:rPr>
          <w:rFonts w:ascii="Times New Roman" w:hAnsi="Times New Roman"/>
          <w:sz w:val="20"/>
        </w:rPr>
      </w:pPr>
      <w:r>
        <w:rPr>
          <w:rFonts w:ascii="Times New Roman" w:hAnsi="Times New Roman"/>
          <w:sz w:val="20"/>
        </w:rPr>
        <w:t>2.73</w:t>
      </w:r>
    </w:p>
    <w:p>
      <w:pPr>
        <w:pStyle w:val="TextBody"/>
        <w:bidi w:val="0"/>
        <w:spacing w:before="80" w:after="0"/>
        <w:jc w:val="left"/>
        <w:rPr>
          <w:spacing w:val="0"/>
        </w:rPr>
      </w:pPr>
      <w:r>
        <w:rPr>
          <w:spacing w:val="0"/>
        </w:rPr>
        <w:t> </w:t>
      </w:r>
      <w:r>
        <w:rPr>
          <w:rFonts w:ascii="Times New Roman" w:hAnsi="Times New Roman"/>
          <w:spacing w:val="0"/>
          <w:sz w:val="20"/>
        </w:rPr>
        <w:t>billion for the years ended December 31, 2022, 2023 and 2024, respectively.</w:t>
      </w:r>
    </w:p>
    <w:p>
      <w:pPr>
        <w:pStyle w:val="TextBody"/>
        <w:bidi w:val="0"/>
        <w:spacing w:before="80" w:after="0"/>
        <w:ind w:left="0" w:right="0" w:hanging="0"/>
        <w:jc w:val="left"/>
        <w:rPr>
          <w:rFonts w:ascii="Times New Roman" w:hAnsi="Times New Roman"/>
          <w:spacing w:val="0"/>
          <w:sz w:val="20"/>
        </w:rPr>
      </w:pPr>
      <w:r>
        <w:rPr>
          <w:rFonts w:ascii="Times New Roman" w:hAnsi="Times New Roman"/>
          <w:spacing w:val="0"/>
          <w:sz w:val="20"/>
        </w:rPr>
        <w:t>The following table sets forth the disaggregation of revenue:</w:t>
      </w:r>
    </w:p>
    <w:p>
      <w:pPr>
        <w:pStyle w:val="TextBody"/>
        <w:bidi w:val="0"/>
        <w:spacing w:before="0" w:after="0"/>
        <w:ind w:left="0" w:right="0" w:hanging="0"/>
        <w:jc w:val="left"/>
        <w:rPr>
          <w:spacing w:val="0"/>
        </w:rPr>
      </w:pPr>
      <w:r>
        <w:rPr>
          <w:spacing w:val="0"/>
        </w:rPr>
        <w:t> </w:t>
      </w:r>
    </w:p>
    <w:tbl>
      <w:tblPr>
        <w:tblW w:w="7715" w:type="dxa"/>
        <w:jc w:val="left"/>
        <w:tblInd w:w="0" w:type="dxa"/>
        <w:tblLayout w:type="fixed"/>
        <w:tblCellMar>
          <w:top w:w="0" w:type="dxa"/>
          <w:left w:w="0" w:type="dxa"/>
          <w:bottom w:w="0" w:type="dxa"/>
          <w:right w:w="0" w:type="dxa"/>
        </w:tblCellMar>
      </w:tblPr>
      <w:tblGrid>
        <w:gridCol w:w="3320"/>
        <w:gridCol w:w="120"/>
        <w:gridCol w:w="60"/>
        <w:gridCol w:w="1220"/>
        <w:gridCol w:w="60"/>
        <w:gridCol w:w="120"/>
        <w:gridCol w:w="60"/>
        <w:gridCol w:w="1220"/>
        <w:gridCol w:w="60"/>
        <w:gridCol w:w="120"/>
        <w:gridCol w:w="60"/>
        <w:gridCol w:w="1220"/>
        <w:gridCol w:w="75"/>
      </w:tblGrid>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4200" w:type="dxa"/>
            <w:gridSpan w:val="10"/>
            <w:tcBorders/>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0"/>
              <w:jc w:val="left"/>
              <w:rPr/>
            </w:pPr>
            <w:r>
              <w:rPr/>
              <w:t> </w:t>
            </w:r>
          </w:p>
        </w:tc>
      </w:tr>
      <w:tr>
        <w:trPr/>
        <w:tc>
          <w:tcPr>
            <w:tcW w:w="332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0"/>
              <w:jc w:val="left"/>
              <w:rPr/>
            </w:pPr>
            <w:r>
              <w:rPr/>
              <w:t> </w:t>
            </w:r>
          </w:p>
        </w:tc>
      </w:tr>
      <w:tr>
        <w:trPr/>
        <w:tc>
          <w:tcPr>
            <w:tcW w:w="332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0"/>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Product revenues</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Womenswear and menswear</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33,332,934</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37,628,436</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34,825,405</w:t>
            </w:r>
          </w:p>
        </w:tc>
        <w:tc>
          <w:tcPr>
            <w:tcW w:w="75" w:type="dxa"/>
            <w:tcBorders/>
            <w:vAlign w:val="center"/>
          </w:tcPr>
          <w:p>
            <w:pPr>
              <w:pStyle w:val="TableContents"/>
              <w:bidi w:val="0"/>
              <w:spacing w:before="0" w:after="0"/>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Shoes and bags</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8,256,326</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9,384,021</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8,301,476</w:t>
            </w:r>
          </w:p>
        </w:tc>
        <w:tc>
          <w:tcPr>
            <w:tcW w:w="75" w:type="dxa"/>
            <w:tcBorders/>
            <w:shd w:fill="CCEEFF" w:val="clear"/>
            <w:vAlign w:val="center"/>
          </w:tcPr>
          <w:p>
            <w:pPr>
              <w:pStyle w:val="TableContents"/>
              <w:bidi w:val="0"/>
              <w:spacing w:before="0" w:after="0"/>
              <w:jc w:val="left"/>
              <w:rPr/>
            </w:pPr>
            <w:r>
              <w:rPr/>
              <w:t> </w:t>
            </w:r>
          </w:p>
        </w:tc>
      </w:tr>
      <w:tr>
        <w:trPr/>
        <w:tc>
          <w:tcPr>
            <w:tcW w:w="33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Skincare and cosmetics</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15,277,888</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15,669,280</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14,015,643</w:t>
            </w:r>
          </w:p>
        </w:tc>
        <w:tc>
          <w:tcPr>
            <w:tcW w:w="75" w:type="dxa"/>
            <w:tcBorders/>
            <w:vAlign w:val="center"/>
          </w:tcPr>
          <w:p>
            <w:pPr>
              <w:pStyle w:val="TableContents"/>
              <w:bidi w:val="0"/>
              <w:spacing w:before="0" w:after="0"/>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Sportswear and sporting goods</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12,801,388</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13,870,228</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13,748,205</w:t>
            </w:r>
          </w:p>
        </w:tc>
        <w:tc>
          <w:tcPr>
            <w:tcW w:w="75" w:type="dxa"/>
            <w:tcBorders/>
            <w:shd w:fill="CCEEFF" w:val="clear"/>
            <w:vAlign w:val="center"/>
          </w:tcPr>
          <w:p>
            <w:pPr>
              <w:pStyle w:val="TableContents"/>
              <w:bidi w:val="0"/>
              <w:spacing w:before="0" w:after="0"/>
              <w:jc w:val="left"/>
              <w:rPr/>
            </w:pPr>
            <w:r>
              <w:rPr/>
              <w:t> </w:t>
            </w:r>
          </w:p>
        </w:tc>
      </w:tr>
      <w:tr>
        <w:trPr/>
        <w:tc>
          <w:tcPr>
            <w:tcW w:w="33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Home goods and other lifestyle products</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8,359,052</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8,620,465</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8,553,989</w:t>
            </w:r>
          </w:p>
        </w:tc>
        <w:tc>
          <w:tcPr>
            <w:tcW w:w="75" w:type="dxa"/>
            <w:tcBorders/>
            <w:vAlign w:val="center"/>
          </w:tcPr>
          <w:p>
            <w:pPr>
              <w:pStyle w:val="TableContents"/>
              <w:bidi w:val="0"/>
              <w:spacing w:before="0" w:after="0"/>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Baby and children products</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8,735,859</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9,606,808</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9,032,306</w:t>
            </w:r>
          </w:p>
        </w:tc>
        <w:tc>
          <w:tcPr>
            <w:tcW w:w="75" w:type="dxa"/>
            <w:tcBorders/>
            <w:shd w:fill="CCEEFF" w:val="clear"/>
            <w:vAlign w:val="center"/>
          </w:tcPr>
          <w:p>
            <w:pPr>
              <w:pStyle w:val="TableContents"/>
              <w:bidi w:val="0"/>
              <w:spacing w:before="0" w:after="0"/>
              <w:jc w:val="left"/>
              <w:rPr/>
            </w:pPr>
            <w:r>
              <w:rPr/>
              <w:t> </w:t>
            </w:r>
          </w:p>
        </w:tc>
      </w:tr>
      <w:tr>
        <w:trPr/>
        <w:tc>
          <w:tcPr>
            <w:tcW w:w="33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Supermarkets and other products</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10,486,631</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10,834,247</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12,257,526</w:t>
            </w:r>
          </w:p>
        </w:tc>
        <w:tc>
          <w:tcPr>
            <w:tcW w:w="75" w:type="dxa"/>
            <w:tcBorders/>
            <w:vAlign w:val="center"/>
          </w:tcPr>
          <w:p>
            <w:pPr>
              <w:pStyle w:val="TableContents"/>
              <w:bidi w:val="0"/>
              <w:spacing w:before="0" w:after="0"/>
              <w:jc w:val="left"/>
              <w:rPr/>
            </w:pPr>
            <w:r>
              <w:rPr/>
              <w:t> </w:t>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pPr>
            <w:r>
              <w:rPr/>
              <w:t> </w:t>
            </w:r>
          </w:p>
        </w:tc>
      </w:tr>
      <w:tr>
        <w:trPr/>
        <w:tc>
          <w:tcPr>
            <w:tcW w:w="33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97,250,078</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105,613,485</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100,734,550</w:t>
            </w:r>
          </w:p>
        </w:tc>
        <w:tc>
          <w:tcPr>
            <w:tcW w:w="75" w:type="dxa"/>
            <w:tcBorders/>
            <w:shd w:fill="CCEEFF" w:val="clear"/>
            <w:vAlign w:val="center"/>
          </w:tcPr>
          <w:p>
            <w:pPr>
              <w:pStyle w:val="TableContents"/>
              <w:bidi w:val="0"/>
              <w:spacing w:before="0" w:after="0"/>
              <w:jc w:val="left"/>
              <w:rPr/>
            </w:pPr>
            <w:r>
              <w:rPr/>
              <w:t> </w:t>
            </w:r>
          </w:p>
        </w:tc>
      </w:tr>
      <w:tr>
        <w:trPr/>
        <w:tc>
          <w:tcPr>
            <w:tcW w:w="33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revenues</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5,902,411</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7,242,535</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right"/>
              <w:rPr/>
            </w:pPr>
            <w:r>
              <w:rPr/>
              <w:t>7,686,282</w:t>
            </w:r>
          </w:p>
        </w:tc>
        <w:tc>
          <w:tcPr>
            <w:tcW w:w="75" w:type="dxa"/>
            <w:tcBorders/>
            <w:vAlign w:val="center"/>
          </w:tcPr>
          <w:p>
            <w:pPr>
              <w:pStyle w:val="TableContents"/>
              <w:bidi w:val="0"/>
              <w:spacing w:before="0" w:after="0"/>
              <w:jc w:val="left"/>
              <w:rPr/>
            </w:pPr>
            <w:r>
              <w:rPr/>
              <w:t> </w:t>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75" w:type="dxa"/>
            <w:tcBorders/>
            <w:vAlign w:val="center"/>
          </w:tcPr>
          <w:p>
            <w:pPr>
              <w:pStyle w:val="TableContents"/>
              <w:bidi w:val="0"/>
              <w:spacing w:before="0" w:after="0"/>
              <w:jc w:val="left"/>
              <w:rPr/>
            </w:pPr>
            <w:r>
              <w:rPr/>
              <w:t> </w:t>
            </w:r>
          </w:p>
        </w:tc>
      </w:tr>
      <w:tr>
        <w:trPr/>
        <w:tc>
          <w:tcPr>
            <w:tcW w:w="3320"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net revenues</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103,152,489</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112,856,020</w:t>
            </w:r>
          </w:p>
        </w:tc>
        <w:tc>
          <w:tcPr>
            <w:tcW w:w="60" w:type="dxa"/>
            <w:tcBorders/>
            <w:shd w:fill="CCEEFF" w:val="clear"/>
            <w:vAlign w:val="center"/>
          </w:tcPr>
          <w:p>
            <w:pPr>
              <w:pStyle w:val="TableContents"/>
              <w:bidi w:val="0"/>
              <w:spacing w:before="0" w:after="0"/>
              <w:jc w:val="left"/>
              <w:rPr/>
            </w:pPr>
            <w:r>
              <w:rPr/>
              <w:t> </w:t>
            </w:r>
          </w:p>
        </w:tc>
        <w:tc>
          <w:tcPr>
            <w:tcW w:w="120" w:type="dxa"/>
            <w:tcBorders/>
            <w:shd w:fill="CCEEFF" w:val="clear"/>
            <w:vAlign w:val="center"/>
          </w:tcPr>
          <w:p>
            <w:pPr>
              <w:pStyle w:val="TableContents"/>
              <w:bidi w:val="0"/>
              <w:spacing w:before="0" w:after="0"/>
              <w:jc w:val="left"/>
              <w:rPr/>
            </w:pPr>
            <w:r>
              <w:rPr/>
              <w:t>  </w:t>
            </w:r>
          </w:p>
        </w:tc>
        <w:tc>
          <w:tcPr>
            <w:tcW w:w="60" w:type="dxa"/>
            <w:tcBorders/>
            <w:shd w:fill="CCEEFF" w:val="clear"/>
            <w:vAlign w:val="center"/>
          </w:tcPr>
          <w:p>
            <w:pPr>
              <w:pStyle w:val="TableContents"/>
              <w:bidi w:val="0"/>
              <w:spacing w:before="0" w:after="0"/>
              <w:jc w:val="left"/>
              <w:rPr/>
            </w:pPr>
            <w:r>
              <w:rPr/>
              <w:t> </w:t>
            </w:r>
          </w:p>
        </w:tc>
        <w:tc>
          <w:tcPr>
            <w:tcW w:w="1220" w:type="dxa"/>
            <w:tcBorders/>
            <w:shd w:fill="CCEEFF" w:val="clear"/>
            <w:vAlign w:val="center"/>
          </w:tcPr>
          <w:p>
            <w:pPr>
              <w:pStyle w:val="TableContents"/>
              <w:bidi w:val="0"/>
              <w:spacing w:before="0" w:after="0"/>
              <w:jc w:val="right"/>
              <w:rPr/>
            </w:pPr>
            <w:r>
              <w:rPr/>
              <w:t>108,420,832</w:t>
            </w:r>
          </w:p>
        </w:tc>
        <w:tc>
          <w:tcPr>
            <w:tcW w:w="75" w:type="dxa"/>
            <w:tcBorders/>
            <w:shd w:fill="CCEEFF" w:val="clear"/>
            <w:vAlign w:val="center"/>
          </w:tcPr>
          <w:p>
            <w:pPr>
              <w:pStyle w:val="TableContents"/>
              <w:bidi w:val="0"/>
              <w:spacing w:before="0" w:after="0"/>
              <w:jc w:val="left"/>
              <w:rPr/>
            </w:pPr>
            <w:r>
              <w:rPr/>
              <w:t> </w:t>
            </w:r>
          </w:p>
        </w:tc>
      </w:tr>
      <w:tr>
        <w:trPr/>
        <w:tc>
          <w:tcPr>
            <w:tcW w:w="33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75" w:type="dxa"/>
            <w:tcBorders/>
            <w:vAlign w:val="center"/>
          </w:tcPr>
          <w:p>
            <w:pPr>
              <w:pStyle w:val="TableContents"/>
              <w:bidi w:val="0"/>
              <w:spacing w:before="0" w:after="0"/>
              <w:jc w:val="left"/>
              <w:rPr/>
            </w:pPr>
            <w:r>
              <w:rPr/>
              <w:t> </w:t>
            </w:r>
          </w:p>
        </w:tc>
      </w:tr>
    </w:tbl>
    <w:p>
      <w:pPr>
        <w:pStyle w:val="TextBody"/>
        <w:bidi w:val="0"/>
        <w:spacing w:before="0" w:after="0"/>
        <w:ind w:left="0" w:right="0" w:hanging="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VIPSHOP HOLDINGS LIMITED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THE CONSOLIDATED FINANCIAL STATEMENTS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(All amounts in thousands, except for share and per share data, unless otherwise stated) </w:t>
      </w:r>
    </w:p>
    <w:p>
      <w:pPr>
        <w:pStyle w:val="TextBody"/>
        <w:bidi w:val="0"/>
        <w:spacing w:before="0" w:after="0"/>
        <w:ind w:left="0" w:right="0" w:hanging="0"/>
        <w:jc w:val="left"/>
        <w:rPr>
          <w:spacing w:val="0"/>
        </w:rPr>
      </w:pPr>
      <w:r>
        <w:rPr>
          <w:spacing w:val="0"/>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(Continued)</w:t>
            </w:r>
          </w:p>
        </w:tc>
      </w:tr>
    </w:tbl>
    <w:p>
      <w:pPr>
        <w:pStyle w:val="TextBody"/>
        <w:bidi w:val="0"/>
        <w:spacing w:before="0" w:after="0"/>
        <w:ind w:left="0" w:right="0" w:hanging="0"/>
        <w:jc w:val="left"/>
        <w:rPr>
          <w:spacing w:val="0"/>
        </w:rPr>
      </w:pPr>
      <w:r>
        <w:rPr>
          <w:spacing w:val="0"/>
        </w:rPr>
        <w:t> </w:t>
      </w:r>
    </w:p>
    <w:tbl>
      <w:tblPr>
        <w:tblW w:w="2170" w:type="dxa"/>
        <w:jc w:val="left"/>
        <w:tblInd w:w="0" w:type="dxa"/>
        <w:tblLayout w:type="fixed"/>
        <w:tblCellMar>
          <w:top w:w="0" w:type="dxa"/>
          <w:left w:w="0" w:type="dxa"/>
          <w:bottom w:w="0" w:type="dxa"/>
          <w:right w:w="0" w:type="dxa"/>
        </w:tblCellMar>
      </w:tblPr>
      <w:tblGrid>
        <w:gridCol w:w="75"/>
        <w:gridCol w:w="275"/>
        <w:gridCol w:w="1820"/>
      </w:tblGrid>
      <w:tr>
        <w:trPr/>
        <w:tc>
          <w:tcPr>
            <w:tcW w:w="75" w:type="dxa"/>
            <w:tcBorders/>
            <w:vAlign w:val="center"/>
          </w:tcPr>
          <w:p>
            <w:pPr>
              <w:pStyle w:val="TableContents"/>
              <w:bidi w:val="0"/>
              <w:spacing w:before="0" w:after="0"/>
              <w:jc w:val="left"/>
              <w:rPr>
                <w:spacing w:val="0"/>
              </w:rPr>
            </w:pPr>
            <w:r>
              <w:rPr>
                <w:spacing w:val="0"/>
              </w:rPr>
              <w:t> </w:t>
            </w:r>
          </w:p>
        </w:tc>
        <w:tc>
          <w:tcPr>
            <w:tcW w:w="275" w:type="dxa"/>
            <w:tcBorders/>
            <w:vAlign w:val="center"/>
          </w:tcPr>
          <w:p>
            <w:pPr>
              <w:pStyle w:val="TableContents"/>
              <w:bidi w:val="0"/>
              <w:spacing w:before="0" w:after="0"/>
              <w:jc w:val="left"/>
              <w:rPr>
                <w:b/>
                <w:spacing w:val="0"/>
              </w:rPr>
            </w:pPr>
            <w:r>
              <w:rPr>
                <w:b/>
                <w:spacing w:val="0"/>
              </w:rPr>
              <w:t>(r)</w:t>
            </w:r>
          </w:p>
        </w:tc>
        <w:tc>
          <w:tcPr>
            <w:tcW w:w="182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Revenue recognition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(Continued) </w:t>
            </w:r>
          </w:p>
        </w:tc>
      </w:tr>
    </w:tbl>
    <w:p>
      <w:pPr>
        <w:pStyle w:val="TextBody"/>
        <w:bidi w:val="0"/>
        <w:spacing w:before="0" w:after="0"/>
        <w:ind w:left="0" w:right="0" w:hanging="0"/>
        <w:jc w:val="left"/>
        <w:rPr>
          <w:spacing w:val="0"/>
        </w:rPr>
      </w:pPr>
      <w:r>
        <w:rPr>
          <w:spacing w:val="0"/>
        </w:rPr>
        <w:t> </w:t>
      </w:r>
    </w:p>
    <w:p>
      <w:pPr>
        <w:pStyle w:val="TextBody"/>
        <w:bidi w:val="0"/>
        <w:spacing w:before="0" w:after="0"/>
        <w:ind w:left="0" w:right="0" w:hanging="0"/>
        <w:jc w:val="left"/>
        <w:rPr>
          <w:rFonts w:ascii="Times New Roman" w:hAnsi="Times New Roman"/>
          <w:i/>
          <w:caps w:val="false"/>
          <w:smallCaps w:val="false"/>
          <w:spacing w:val="0"/>
          <w:sz w:val="22"/>
        </w:rPr>
      </w:pPr>
      <w:r>
        <w:rPr>
          <w:rFonts w:ascii="Times New Roman" w:hAnsi="Times New Roman"/>
          <w:i/>
          <w:caps w:val="false"/>
          <w:smallCaps w:val="false"/>
          <w:spacing w:val="0"/>
          <w:sz w:val="22"/>
        </w:rPr>
        <w:t xml:space="preserve">Contract balances </w:t>
      </w:r>
    </w:p>
    <w:p>
      <w:pPr>
        <w:pStyle w:val="TextBody"/>
        <w:bidi w:val="0"/>
        <w:spacing w:before="80" w:after="0"/>
        <w:ind w:left="0" w:right="0" w:hanging="0"/>
        <w:jc w:val="left"/>
        <w:rPr>
          <w:rFonts w:ascii="Times New Roman" w:hAnsi="Times New Roman"/>
          <w:spacing w:val="0"/>
          <w:sz w:val="22"/>
        </w:rPr>
      </w:pPr>
      <w:r>
        <w:rPr>
          <w:rFonts w:ascii="Times New Roman" w:hAnsi="Times New Roman"/>
          <w:spacing w:val="0"/>
          <w:sz w:val="22"/>
        </w:rPr>
        <w:t xml:space="preserve">The </w:t>
      </w:r>
    </w:p>
    <w:p>
      <w:pPr>
        <w:pStyle w:val="TextBody"/>
        <w:bidi w:val="0"/>
        <w:spacing w:before="80" w:after="0"/>
        <w:jc w:val="left"/>
        <w:rPr>
          <w:rFonts w:ascii="Times New Roman" w:hAnsi="Times New Roman"/>
          <w:spacing w:val="0"/>
          <w:sz w:val="22"/>
        </w:rPr>
      </w:pPr>
      <w:r>
        <w:rPr>
          <w:rFonts w:ascii="Times New Roman" w:hAnsi="Times New Roman"/>
          <w:spacing w:val="0"/>
          <w:sz w:val="22"/>
        </w:rPr>
        <w:t xml:space="preserve">estimated returns of inventory remained </w:t>
      </w:r>
    </w:p>
    <w:p>
      <w:pPr>
        <w:pStyle w:val="TextBody"/>
        <w:bidi w:val="0"/>
        <w:spacing w:before="80" w:after="0"/>
        <w:jc w:val="left"/>
        <w:rPr>
          <w:rFonts w:ascii="Times New Roman" w:hAnsi="Times New Roman"/>
          <w:spacing w:val="0"/>
          <w:sz w:val="22"/>
        </w:rPr>
      </w:pPr>
      <w:r>
        <w:rPr>
          <w:rFonts w:ascii="Times New Roman" w:hAnsi="Times New Roman"/>
          <w:spacing w:val="0"/>
          <w:sz w:val="22"/>
        </w:rPr>
        <w:t>in-transit</w:t>
      </w:r>
    </w:p>
    <w:p>
      <w:pPr>
        <w:pStyle w:val="TextBody"/>
        <w:bidi w:val="0"/>
        <w:spacing w:before="80" w:after="0"/>
        <w:jc w:val="left"/>
        <w:rPr>
          <w:rFonts w:ascii="Times New Roman" w:hAnsi="Times New Roman"/>
          <w:spacing w:val="0"/>
          <w:sz w:val="22"/>
        </w:rPr>
      </w:pPr>
      <w:r>
        <w:rPr>
          <w:rFonts w:ascii="Times New Roman" w:hAnsi="Times New Roman"/>
          <w:spacing w:val="0"/>
          <w:sz w:val="22"/>
        </w:rPr>
        <w:t>were recorded as contract assets included in inventory. The balance of contract assets is RMB344.0 million and RMB360.5 million as of December 31, 2023 and 2024, respectively.</w:t>
      </w:r>
    </w:p>
    <w:p>
      <w:pPr>
        <w:pStyle w:val="TextBody"/>
        <w:bidi w:val="0"/>
        <w:spacing w:before="120" w:after="0"/>
        <w:ind w:left="0" w:right="0" w:hanging="0"/>
        <w:jc w:val="left"/>
        <w:rPr>
          <w:rFonts w:ascii="Times New Roman" w:hAnsi="Times New Roman"/>
          <w:spacing w:val="0"/>
          <w:sz w:val="22"/>
        </w:rPr>
      </w:pPr>
      <w:r>
        <w:rPr>
          <w:rFonts w:ascii="Times New Roman" w:hAnsi="Times New Roman"/>
          <w:spacing w:val="0"/>
          <w:sz w:val="22"/>
        </w:rPr>
        <w:t xml:space="preserve">The </w:t>
      </w:r>
    </w:p>
    <w:p>
      <w:pPr>
        <w:pStyle w:val="TextBody"/>
        <w:bidi w:val="0"/>
        <w:spacing w:before="120" w:after="0"/>
        <w:jc w:val="left"/>
        <w:rPr>
          <w:rFonts w:ascii="Times New Roman" w:hAnsi="Times New Roman"/>
          <w:spacing w:val="0"/>
          <w:sz w:val="22"/>
        </w:rPr>
      </w:pPr>
      <w:r>
        <w:rPr>
          <w:rFonts w:ascii="Times New Roman" w:hAnsi="Times New Roman"/>
          <w:spacing w:val="0"/>
          <w:sz w:val="22"/>
        </w:rPr>
        <w:t xml:space="preserve">Group’s contract liabilities mainly consist of prepayments from customers, Super VIP membership fee, reward points and refund liability related to estimated return. As of December 31, 2023 and 2024, the balances of the contract liabilities are RMB2,378.8 million and RMB2,706.0 million, included in advances from customers, deferred income and accrued expenses and other current liabilities. </w:t>
      </w:r>
    </w:p>
    <w:p>
      <w:pPr>
        <w:pStyle w:val="TextBody"/>
        <w:bidi w:val="0"/>
        <w:spacing w:before="120" w:after="0"/>
        <w:ind w:left="0" w:right="0" w:hanging="0"/>
        <w:jc w:val="left"/>
        <w:rPr>
          <w:rFonts w:ascii="Times New Roman" w:hAnsi="Times New Roman"/>
          <w:spacing w:val="0"/>
          <w:sz w:val="22"/>
        </w:rPr>
      </w:pPr>
      <w:r>
        <w:rPr>
          <w:rFonts w:ascii="Times New Roman" w:hAnsi="Times New Roman"/>
          <w:spacing w:val="0"/>
          <w:sz w:val="22"/>
        </w:rPr>
        <w:t xml:space="preserve">Contract liabilities, excluding refund liabilities related to estimated returns of RMB494.8 million as of December 31, 2023, were recognized as revenue during the year ended December 31, 2024, and those excluding refund liabilities related to estimated returns of RMB510.7 million as of December 31, 2024, are expected to be realized in the following year. </w:t>
      </w:r>
    </w:p>
    <w:p>
      <w:pPr>
        <w:pStyle w:val="TextBody"/>
        <w:bidi w:val="0"/>
        <w:spacing w:before="120" w:after="0"/>
        <w:jc w:val="left"/>
        <w:rPr>
          <w:rFonts w:ascii="Times New Roman" w:hAnsi="Times New Roman"/>
          <w:sz w:val="22"/>
        </w:rPr>
      </w:pPr>
      <w:r>
        <w:rPr>
          <w:rFonts w:ascii="Times New Roman" w:hAnsi="Times New Roman"/>
          <w:sz w:val="22"/>
        </w:rPr>
      </w:r>
    </w:p>
    <w:p>
      <w:pPr>
        <w:pStyle w:val="TextBody"/>
        <w:bidi w:val="0"/>
        <w:spacing w:before="0" w:after="0"/>
        <w:jc w:val="left"/>
        <w:rPr/>
      </w:pPr>
      <w:r>
        <w:rPr/>
        <w:t> </w:t>
      </w:r>
    </w:p>
    <w:tbl>
      <w:tblPr>
        <w:tblW w:w="1795" w:type="dxa"/>
        <w:jc w:val="left"/>
        <w:tblInd w:w="0" w:type="dxa"/>
        <w:tblLayout w:type="fixed"/>
        <w:tblCellMar>
          <w:top w:w="0" w:type="dxa"/>
          <w:left w:w="0" w:type="dxa"/>
          <w:bottom w:w="0" w:type="dxa"/>
          <w:right w:w="0" w:type="dxa"/>
        </w:tblCellMar>
      </w:tblPr>
      <w:tblGrid>
        <w:gridCol w:w="75"/>
        <w:gridCol w:w="260"/>
        <w:gridCol w:w="146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0"/>
              <w:jc w:val="left"/>
              <w:rPr>
                <w:b/>
                <w:spacing w:val="0"/>
              </w:rPr>
            </w:pPr>
            <w:r>
              <w:rPr>
                <w:b/>
                <w:spacing w:val="0"/>
              </w:rPr>
              <w:t>(s)</w:t>
            </w:r>
          </w:p>
        </w:tc>
        <w:tc>
          <w:tcPr>
            <w:tcW w:w="14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Cost of revenues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Cost of revenues consists primarily of cost of merchandizes sold, inventory write-down, cost related to logistics revenue, cost related to generating promotion and advertising revenue, occupancy cost for retail shops including rental cost, maintenance costs, depreciation expenses and utility cost of the outlets. Cost of revenues does not include fulfillment expenses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on-line</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payment processing fee, therefore the Group’s cost of revenues may not be comparable to other companies which include such expenses in their cost of revenues. </w:t>
      </w:r>
    </w:p>
    <w:p>
      <w:pPr>
        <w:pStyle w:val="TextBody"/>
        <w:bidi w:val="0"/>
        <w:spacing w:before="0" w:after="0"/>
        <w:jc w:val="left"/>
        <w:rPr/>
      </w:pPr>
      <w:r>
        <w:rPr/>
        <w:t> </w:t>
      </w:r>
    </w:p>
    <w:tbl>
      <w:tblPr>
        <w:tblW w:w="2125" w:type="dxa"/>
        <w:jc w:val="left"/>
        <w:tblInd w:w="0" w:type="dxa"/>
        <w:tblLayout w:type="fixed"/>
        <w:tblCellMar>
          <w:top w:w="0" w:type="dxa"/>
          <w:left w:w="0" w:type="dxa"/>
          <w:bottom w:w="0" w:type="dxa"/>
          <w:right w:w="0" w:type="dxa"/>
        </w:tblCellMar>
      </w:tblPr>
      <w:tblGrid>
        <w:gridCol w:w="75"/>
        <w:gridCol w:w="245"/>
        <w:gridCol w:w="18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b/>
                <w:spacing w:val="0"/>
              </w:rPr>
            </w:pPr>
            <w:r>
              <w:rPr>
                <w:b/>
                <w:spacing w:val="0"/>
              </w:rPr>
              <w:t>(t)</w:t>
            </w:r>
          </w:p>
        </w:tc>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Fulfillment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Fulfillment expenses primarily consist of shipping and handling expenses, packaging expenses, depreciation and amortization of warehouse and logistics equipment, compensation and benefits of logistics and client service cost. </w:t>
      </w:r>
    </w:p>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305"/>
        <w:gridCol w:w="176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(u)</w:t>
            </w:r>
          </w:p>
        </w:tc>
        <w:tc>
          <w:tcPr>
            <w:tcW w:w="17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Marketing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Marketing expenses primarily represent advertising expenses incurred in connection with brand promotional activities, as well as compensation and benefits of marketing staff. </w:t>
      </w:r>
    </w:p>
    <w:p>
      <w:pPr>
        <w:pStyle w:val="TextBody"/>
        <w:bidi w:val="0"/>
        <w:spacing w:before="120" w:after="0"/>
        <w:jc w:val="left"/>
        <w:rPr>
          <w:rFonts w:ascii="Times New Roman" w:hAnsi="Times New Roman"/>
          <w:sz w:val="20"/>
        </w:rPr>
      </w:pPr>
      <w:r>
        <w:rPr>
          <w:rFonts w:ascii="Times New Roman" w:hAnsi="Times New Roman"/>
          <w:sz w:val="20"/>
        </w:rPr>
        <w:t xml:space="preserve">Advertising expenses are charged to the consolidated statements of income and comprehensive income in the period incurred. The amounts of advertising expenses incurred were RMB1.75 billion, RMB1.82 billion and RMB1.97 billion for the years ended December 31, 2022, 2023 and 2024, respectively.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75"/>
        <w:gridCol w:w="290"/>
        <w:gridCol w:w="288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(v)</w:t>
            </w:r>
          </w:p>
        </w:tc>
        <w:tc>
          <w:tcPr>
            <w:tcW w:w="28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Technology and content expenses </w:t>
            </w:r>
          </w:p>
        </w:tc>
      </w:tr>
    </w:tbl>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 xml:space="preserve">Technology and content expenses primarily consist of the compensation and benefits of IT staff, depreciation of IT equipment, telecommunications expenses, and expenses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incurred </w:t>
      </w:r>
    </w:p>
    <w:p>
      <w:pPr>
        <w:pStyle w:val="TextBody"/>
        <w:bidi w:val="0"/>
        <w:spacing w:before="120" w:after="0"/>
        <w:jc w:val="left"/>
        <w:rPr>
          <w:rFonts w:ascii="Times New Roman" w:hAnsi="Times New Roman"/>
          <w:spacing w:val="0"/>
          <w:sz w:val="20"/>
          <w:shd w:fill="FFFFFF" w:val="clear"/>
        </w:rPr>
      </w:pPr>
      <w:r>
        <w:rPr>
          <w:rFonts w:ascii="Times New Roman" w:hAnsi="Times New Roman"/>
          <w:spacing w:val="0"/>
          <w:sz w:val="20"/>
          <w:shd w:fill="FFFFFF" w:val="clear"/>
        </w:rPr>
        <w:t xml:space="preserve">in creating content for sales events 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platform</w:t>
      </w:r>
    </w:p>
    <w:p>
      <w:pPr>
        <w:pStyle w:val="TextBody"/>
        <w:bidi w:val="0"/>
        <w:spacing w:before="120" w:after="0"/>
        <w:jc w:val="left"/>
        <w:rPr>
          <w:rFonts w:ascii="Times New Roman" w:hAnsi="Times New Roman"/>
          <w:spacing w:val="0"/>
          <w:sz w:val="20"/>
        </w:rPr>
      </w:pPr>
      <w:r>
        <w:rPr>
          <w:rFonts w:ascii="Times New Roman" w:hAnsi="Times New Roman"/>
          <w:spacing w:val="0"/>
          <w:sz w:val="20"/>
        </w:rPr>
        <w:t>.</w:t>
      </w:r>
    </w:p>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350"/>
        <w:gridCol w:w="3200"/>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b/>
                <w:spacing w:val="0"/>
              </w:rPr>
            </w:pPr>
            <w:r>
              <w:rPr>
                <w:b/>
                <w:spacing w:val="0"/>
              </w:rPr>
              <w:t>(w)</w:t>
            </w:r>
          </w:p>
        </w:tc>
        <w:tc>
          <w:tcPr>
            <w:tcW w:w="32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General and administrative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General and administrative expenses primarily consist of compensation and benefits of headquarters and administrative staff, payment processing fees, depreciations, rental expenses, and other administrative and overhead expenses. </w:t>
      </w:r>
    </w:p>
    <w:p>
      <w:pPr>
        <w:pStyle w:val="TextBody"/>
        <w:bidi w:val="0"/>
        <w:spacing w:before="0" w:after="0"/>
        <w:jc w:val="left"/>
        <w:rPr/>
      </w:pPr>
      <w:r>
        <w:rPr/>
        <w:t> </w:t>
      </w:r>
    </w:p>
    <w:tbl>
      <w:tblPr>
        <w:tblW w:w="2140" w:type="dxa"/>
        <w:jc w:val="left"/>
        <w:tblInd w:w="0" w:type="dxa"/>
        <w:tblLayout w:type="fixed"/>
        <w:tblCellMar>
          <w:top w:w="0" w:type="dxa"/>
          <w:left w:w="0" w:type="dxa"/>
          <w:bottom w:w="0" w:type="dxa"/>
          <w:right w:w="0" w:type="dxa"/>
        </w:tblCellMar>
      </w:tblPr>
      <w:tblGrid>
        <w:gridCol w:w="75"/>
        <w:gridCol w:w="290"/>
        <w:gridCol w:w="177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(x)</w:t>
            </w:r>
          </w:p>
        </w:tc>
        <w:tc>
          <w:tcPr>
            <w:tcW w:w="17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Government Grants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Government grants consist of grants related to depreciable assets and other cash subsidies received by the Company’s subsidiaries in the PRC from local governments. Government grants related to depreciable assets are recognized in statement of income over the periods in which depreciation expense on those assets is recognized, corresponding to the useful lives of the assets. Other subsidies received as incentives for conducting business in certain local districts with no performance obligation or other restriction as to the use and tax rebates are recognized when cash is received. RMB451,664, RMB495,078 and RMB635,673 of government grants recognized were included in other operating income for the years ended December 31, 2022, 2023 and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tbl>
      <w:tblPr>
        <w:tblW w:w="4420" w:type="dxa"/>
        <w:jc w:val="left"/>
        <w:tblInd w:w="0" w:type="dxa"/>
        <w:tblLayout w:type="fixed"/>
        <w:tblCellMar>
          <w:top w:w="0" w:type="dxa"/>
          <w:left w:w="0" w:type="dxa"/>
          <w:bottom w:w="0" w:type="dxa"/>
          <w:right w:w="0" w:type="dxa"/>
        </w:tblCellMar>
      </w:tblPr>
      <w:tblGrid>
        <w:gridCol w:w="75"/>
        <w:gridCol w:w="290"/>
        <w:gridCol w:w="405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(y)</w:t>
            </w:r>
          </w:p>
        </w:tc>
        <w:tc>
          <w:tcPr>
            <w:tcW w:w="40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Foreign currency transactions and translations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functional currency of the Company, Vipshop HK and other offshores subsidiaries is the United States dollar (“US dollar”). The functional currency of all the other significant subsidiaries and the VIEs is RMB. Foreign currency denominated monetary assets and liabilities are translated into the functional currency at the prevailing exchange rates as of the balance sheet date. Transactions in foreign currencies are translated into the functional currency at the applicable rates of exchange prevailing on the date transactions occurred. Transaction gains and losses are recognized in the consolidated statements of income and comprehensive income. </w:t>
      </w:r>
    </w:p>
    <w:p>
      <w:pPr>
        <w:pStyle w:val="TextBody"/>
        <w:bidi w:val="0"/>
        <w:spacing w:before="120" w:after="0"/>
        <w:jc w:val="left"/>
        <w:rPr>
          <w:rFonts w:ascii="Times New Roman" w:hAnsi="Times New Roman"/>
          <w:sz w:val="20"/>
        </w:rPr>
      </w:pPr>
      <w:r>
        <w:rPr>
          <w:rFonts w:ascii="Times New Roman" w:hAnsi="Times New Roman"/>
          <w:sz w:val="20"/>
        </w:rPr>
        <w:t xml:space="preserve">RMB is not a freely convertible currency. The PRC State Administration for Foreign Exchange, under the authority of the People’s Bank of China, controls the conversion of RMB into 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The value of RMB is subject to changes by central government policies and international economic and political developments affecting supply and demand in the China foreign exchange trading system. The Group’s cash, cash equivalents and restricted cash denominated in RMB amounted to RMB23.77 billion and RMB23.31 billion as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of</w:t>
      </w:r>
    </w:p>
    <w:p>
      <w:pPr>
        <w:pStyle w:val="TextBody"/>
        <w:bidi w:val="0"/>
        <w:spacing w:before="120" w:after="0"/>
        <w:jc w:val="left"/>
        <w:rPr>
          <w:rFonts w:ascii="Times New Roman" w:hAnsi="Times New Roman"/>
          <w:sz w:val="20"/>
        </w:rPr>
      </w:pPr>
      <w:r>
        <w:rPr>
          <w:rFonts w:ascii="Times New Roman" w:hAnsi="Times New Roman"/>
          <w:sz w:val="20"/>
        </w:rPr>
        <w:t xml:space="preserve">December 31, 2023 and 2024, respectively. </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75"/>
        <w:gridCol w:w="275"/>
        <w:gridCol w:w="213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(z)</w:t>
            </w:r>
          </w:p>
        </w:tc>
        <w:tc>
          <w:tcPr>
            <w:tcW w:w="21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Convenience translation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Translations of balances in the consolidated balance sheets, consolidated statements of income and comprehensive income, and consolidated statements of cash flows from RMB into US dollar as of and for the year ended December 31, 2024 are solely for the convenience of the readers and were calculated at the rate of 7.2993 to US$1.00, representing the noon buying rate set forth in the H.10statistical release of the U.S. Federal Reserve Board on December 31, 2024. No representation is made that the RMB amounts could have been, or could be, converted, realized or settled into US dollar at that rate on December 31, 2024. </w:t>
      </w:r>
    </w:p>
    <w:p>
      <w:pPr>
        <w:pStyle w:val="TextBody"/>
        <w:bidi w:val="0"/>
        <w:spacing w:before="0" w:after="0"/>
        <w:jc w:val="left"/>
        <w:rPr/>
      </w:pPr>
      <w:r>
        <w:rPr/>
        <w:t> </w:t>
      </w:r>
    </w:p>
    <w:tbl>
      <w:tblPr>
        <w:tblW w:w="1345" w:type="dxa"/>
        <w:jc w:val="left"/>
        <w:tblInd w:w="0" w:type="dxa"/>
        <w:tblLayout w:type="fixed"/>
        <w:tblCellMar>
          <w:top w:w="0" w:type="dxa"/>
          <w:left w:w="0" w:type="dxa"/>
          <w:bottom w:w="0" w:type="dxa"/>
          <w:right w:w="0" w:type="dxa"/>
        </w:tblCellMar>
      </w:tblPr>
      <w:tblGrid>
        <w:gridCol w:w="75"/>
        <w:gridCol w:w="410"/>
        <w:gridCol w:w="86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left"/>
              <w:rPr>
                <w:b/>
                <w:spacing w:val="0"/>
              </w:rPr>
            </w:pPr>
            <w:r>
              <w:rPr>
                <w:b/>
                <w:spacing w:val="0"/>
              </w:rPr>
              <w:t>(aa)</w:t>
            </w:r>
          </w:p>
        </w:tc>
        <w:tc>
          <w:tcPr>
            <w:tcW w:w="8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Taxation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Current income taxes are provided for in accordance with the laws of the relevant taxing authorities. As part of the process of preparing the consolidated financial statements, the Group is required to estimate its income taxes in each of the jurisdictions in which it operates. The Group accounts for income taxes using the liability method. Under this method, deferred income taxes are recognized for tax consequences in future years of differences between the tax bases of assets and liabilities and their reported amounts in the consolidated financial statements at the end of each reporting period and tax loss carry forwards. Deferred tax assets and liabilities are measured using enacted tax rates applicable for the differences that are expected to affect taxable income. Deferred tax assets are reduced by a valuation allowance when, based upon the weight of available evidence, it is more likely than not that some portion or all of the deferred tax assets will not be realized. </w:t>
      </w:r>
    </w:p>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75"/>
        <w:gridCol w:w="425"/>
        <w:gridCol w:w="144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left"/>
              <w:rPr>
                <w:b/>
                <w:spacing w:val="0"/>
              </w:rPr>
            </w:pPr>
            <w:r>
              <w:rPr>
                <w:b/>
                <w:spacing w:val="0"/>
              </w:rPr>
              <w:t>(ab)</w:t>
            </w:r>
          </w:p>
        </w:tc>
        <w:tc>
          <w:tcPr>
            <w:tcW w:w="14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Value added tax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PRC entities are subject to VAT at rates ranged from 0% to 13%, on proceeds received from customers, and are entitled to a deduction for VAT already paid or borne on the goods purchased and utilized in the production of goods that have generated the gross sales proceeds and service delivered. The VAT balance is recorded either in other current liabilities or other current receivables on the consolidated balance sheets. </w:t>
      </w:r>
    </w:p>
    <w:p>
      <w:pPr>
        <w:pStyle w:val="TextBody"/>
        <w:bidi w:val="0"/>
        <w:spacing w:before="0" w:after="0"/>
        <w:jc w:val="left"/>
        <w:rPr/>
      </w:pPr>
      <w:r>
        <w:rPr/>
        <w:t> </w:t>
      </w:r>
    </w:p>
    <w:tbl>
      <w:tblPr>
        <w:tblW w:w="3010" w:type="dxa"/>
        <w:jc w:val="left"/>
        <w:tblInd w:w="0" w:type="dxa"/>
        <w:tblLayout w:type="fixed"/>
        <w:tblCellMar>
          <w:top w:w="0" w:type="dxa"/>
          <w:left w:w="0" w:type="dxa"/>
          <w:bottom w:w="0" w:type="dxa"/>
          <w:right w:w="0" w:type="dxa"/>
        </w:tblCellMar>
      </w:tblPr>
      <w:tblGrid>
        <w:gridCol w:w="75"/>
        <w:gridCol w:w="395"/>
        <w:gridCol w:w="2540"/>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
                <w:spacing w:val="0"/>
              </w:rPr>
            </w:pPr>
            <w:r>
              <w:rPr>
                <w:b/>
                <w:spacing w:val="0"/>
              </w:rPr>
              <w:t>(ac)</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Comprehensive income (loss)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Comprehensive income (loss) is defined to include all changes in equity except those resulting from investments by owners and distributions to owners. For the periods presented, comprehensive income (loss) is reported in the consolidated statements of income and comprehensive income, and other comprehensive income (loss) includes foreign currency translation adjustments and changes in fair value of debt securities derived from the share of (loss)income of an equity method investee.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tbl>
      <w:tblPr>
        <w:tblW w:w="2605" w:type="dxa"/>
        <w:jc w:val="left"/>
        <w:tblInd w:w="0" w:type="dxa"/>
        <w:tblLayout w:type="fixed"/>
        <w:tblCellMar>
          <w:top w:w="0" w:type="dxa"/>
          <w:left w:w="0" w:type="dxa"/>
          <w:bottom w:w="0" w:type="dxa"/>
          <w:right w:w="0" w:type="dxa"/>
        </w:tblCellMar>
      </w:tblPr>
      <w:tblGrid>
        <w:gridCol w:w="75"/>
        <w:gridCol w:w="425"/>
        <w:gridCol w:w="2105"/>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left"/>
              <w:rPr>
                <w:b/>
                <w:spacing w:val="0"/>
              </w:rPr>
            </w:pPr>
            <w:r>
              <w:rPr>
                <w:b/>
                <w:spacing w:val="0"/>
              </w:rPr>
              <w:t>(ad)</w:t>
            </w:r>
          </w:p>
        </w:tc>
        <w:tc>
          <w:tcPr>
            <w:tcW w:w="21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Concentration and risks </w:t>
            </w:r>
          </w:p>
        </w:tc>
      </w:tr>
    </w:tbl>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Concentration of customers and suppliers </w:t>
      </w:r>
    </w:p>
    <w:p>
      <w:pPr>
        <w:pStyle w:val="TextBody"/>
        <w:bidi w:val="0"/>
        <w:spacing w:before="120" w:after="0"/>
        <w:jc w:val="left"/>
        <w:rPr>
          <w:rFonts w:ascii="Times New Roman" w:hAnsi="Times New Roman"/>
          <w:sz w:val="20"/>
        </w:rPr>
      </w:pPr>
      <w:r>
        <w:rPr>
          <w:rFonts w:ascii="Times New Roman" w:hAnsi="Times New Roman"/>
          <w:sz w:val="20"/>
        </w:rPr>
        <w:t xml:space="preserve">There are no customers or suppliers from whom revenues or purchases individually represent greater than 10% of the total revenues or the total purchases of the Group for the years ended December 31, 2022, 2023 and 2024. </w:t>
      </w:r>
    </w:p>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Concentration of credit risk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Financial instruments that potentially expose the Group to concentrations of credit risk consist primarily of cash and cash equivalents, restricted cash, accounts receivables, net, short-term investments, amounts due from related parties, net and other receivables, net.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places its cash and cash equivalents, restricted cash and short-term investments with financial institutions with high-credit ratings and quality. Accounts receivables primarily consist of receivables from logistics and warehousing services rendered to the Group’s vendors, receivables from consumer financing business and receivables from payment platform. Other receivables mainly consisted of interest receivable, loans to third parties and advances to suppliers related to financing activities. Amounts due from related parties are loans, deposits and prepayments related to purchases of goods and services from the entities controlled by shareholders of the Group. There is no significant credit risk concentrated with any specific end customers under consumer financing, microcredit loans or suppliers under financing service arrangements. The risk with respect to other items under account and other receivables and amount due from related parties is mitigated by credit evaluations the Group performs on its customers or suppliers and its ongoing monitoring processes of outstanding balances. </w:t>
      </w:r>
    </w:p>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75"/>
        <w:gridCol w:w="395"/>
        <w:gridCol w:w="300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
                <w:spacing w:val="0"/>
              </w:rPr>
            </w:pPr>
            <w:r>
              <w:rPr>
                <w:b/>
                <w:spacing w:val="0"/>
              </w:rPr>
              <w:t>(ae)</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Fair value of financial instruments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Fair value is considered to be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 or liability. 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w:t>
      </w:r>
    </w:p>
    <w:p>
      <w:pPr>
        <w:pStyle w:val="TextBody"/>
        <w:bidi w:val="0"/>
        <w:spacing w:before="120" w:after="0"/>
        <w:jc w:val="left"/>
        <w:rPr>
          <w:rFonts w:ascii="Times New Roman" w:hAnsi="Times New Roman"/>
          <w:sz w:val="20"/>
        </w:rPr>
      </w:pPr>
      <w:r>
        <w:rPr>
          <w:rFonts w:ascii="Times New Roman" w:hAnsi="Times New Roman"/>
          <w:sz w:val="20"/>
        </w:rPr>
        <w:t xml:space="preserve">The three levels of inputs may be used to measure fair value include: </w:t>
      </w:r>
    </w:p>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725"/>
        <w:gridCol w:w="9200"/>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Level 1</w:t>
            </w:r>
          </w:p>
        </w:tc>
        <w:tc>
          <w:tcPr>
            <w:tcW w:w="92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Applies to assets or liabilities for which there are quoted prices in active markets for identical assets or liabilities.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30"/>
        <w:gridCol w:w="9500"/>
      </w:tblGrid>
      <w:tr>
        <w:trPr/>
        <w:tc>
          <w:tcPr>
            <w:tcW w:w="75"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left"/>
              <w:rPr/>
            </w:pPr>
            <w:r>
              <w:rPr/>
              <w:t>Level 2</w:t>
            </w:r>
          </w:p>
        </w:tc>
        <w:tc>
          <w:tcPr>
            <w:tcW w:w="9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Applies to assets or liabilities for which there are inputs other than quoted prices included within Level 1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78"/>
        <w:gridCol w:w="9452"/>
      </w:tblGrid>
      <w:tr>
        <w:trPr/>
        <w:tc>
          <w:tcPr>
            <w:tcW w:w="7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Level 3</w:t>
            </w:r>
          </w:p>
        </w:tc>
        <w:tc>
          <w:tcPr>
            <w:tcW w:w="945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Applies to assets or liabilities for which there are unobservable inputs to the valuation methodology that are significant to the measurement of the fair value of the assets or liabilities.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Group’s short-term financial instruments include cash and cash equivalents, restricted cash, short-term investments, receivables, payables, amounts due from related parties, other current liabilities, amounts due to related parties and short-term loan. The carrying amounts of these short-term financial instruments approximate their fair value due to the short-term maturity of these instruments. The carrying amounts of the long-term receivables approximate their fair value as the interest rates are comparable to the prevailing interest rates in the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75"/>
        <w:gridCol w:w="395"/>
        <w:gridCol w:w="300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0"/>
              <w:jc w:val="left"/>
              <w:rPr>
                <w:b/>
                <w:spacing w:val="0"/>
              </w:rPr>
            </w:pPr>
            <w:r>
              <w:rPr>
                <w:b/>
                <w:spacing w:val="0"/>
              </w:rPr>
              <w:t>(ae)</w:t>
            </w:r>
          </w:p>
        </w:tc>
        <w:tc>
          <w:tcPr>
            <w:tcW w:w="30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Fair value of financial instruments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The Group measures its equity investment with readily determinable fair value at its quoted price in active markets.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The Group measures its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at fair value based on the recent transactions or based on the market approach when no recent transactions are available. Recent transactions include the purchase price agreed by an independent third party for an investment with similar terms. These investments are classified as level 2 measurement. When no recent transactions are available, a market approach will be used by the Group to measure fair value. The market approach takes into consideration a number of factors including market multiples derived from a set of comparable. The Group has classified these investments as level 3 measurement.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As a practical expedient, the Group uses NAV or its equivalent to measure the fair value of its certain fund investment which the Group does not have the ability to exercise significant influence. NAV is primarily determined based on information provided by external fund administrators. The Group’s investments valued at NAV as a practical expedient are private equity funds, which represent the investment in other investments on the balance sheet.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Certain cash-settled share-based compensation arrangements granted by Shan Shan Outlets are recorded as Level 3 financial instruments which are revalued at each reporting period end. The fair value of the liability relating to the cash-settled share-based compensation arrangements was determined using the Monte Carlo Simulation through simulation of the future net profits of the Shan Shan Outlets as disclosed in Note 24(c). </w:t>
      </w:r>
    </w:p>
    <w:p>
      <w:pPr>
        <w:pStyle w:val="TextBody"/>
        <w:bidi w:val="0"/>
        <w:spacing w:before="0" w:after="0"/>
        <w:jc w:val="left"/>
        <w:rPr/>
      </w:pPr>
      <w:r>
        <w:rPr/>
        <w:t> </w:t>
      </w:r>
    </w:p>
    <w:tbl>
      <w:tblPr>
        <w:tblW w:w="2770" w:type="dxa"/>
        <w:jc w:val="left"/>
        <w:tblInd w:w="0" w:type="dxa"/>
        <w:tblLayout w:type="fixed"/>
        <w:tblCellMar>
          <w:top w:w="0" w:type="dxa"/>
          <w:left w:w="0" w:type="dxa"/>
          <w:bottom w:w="0" w:type="dxa"/>
          <w:right w:w="0" w:type="dxa"/>
        </w:tblCellMar>
      </w:tblPr>
      <w:tblGrid>
        <w:gridCol w:w="75"/>
        <w:gridCol w:w="365"/>
        <w:gridCol w:w="2330"/>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b/>
                <w:spacing w:val="0"/>
              </w:rPr>
            </w:pPr>
            <w:r>
              <w:rPr>
                <w:b/>
                <w:spacing w:val="0"/>
              </w:rPr>
              <w:t>(af)</w:t>
            </w:r>
          </w:p>
        </w:tc>
        <w:tc>
          <w:tcPr>
            <w:tcW w:w="23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compensation </w:t>
            </w:r>
          </w:p>
        </w:tc>
      </w:tr>
    </w:tbl>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Share-based payments made to employees, including equity-classified employee share options,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shares issued to employees and liability-classified employee share options, which the Group has a repurchase option, are recognized as compensation expenses over the requisite service periods. The Group measures the cost of employee services received in exchange for share-based compensation at the fair value of the awards, which are determined on the grant date for equity-classified employee share options and each reporting period end for liability-classified employee share options. The Group recognizes compensation expense on a straight-line basis over the requisite service period for the entire award with graded vesting provided that the amount of compensation cost recognized at any date must at least equal the portion of the fair value of the award that is vested at that date. The estimate of forfeitures will be adjusted over the requisite service period to the extent that actual forfeitures differ, or are expected to differ, from such estimates. Changes in estimated forfeitures will be recognized through a cumulative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catch-up</w:t>
      </w:r>
    </w:p>
    <w:p>
      <w:pPr>
        <w:pStyle w:val="TextBody"/>
        <w:bidi w:val="0"/>
        <w:spacing w:before="120" w:after="0"/>
        <w:jc w:val="left"/>
        <w:rPr>
          <w:rFonts w:ascii="Times New Roman" w:hAnsi="Times New Roman"/>
          <w:sz w:val="20"/>
        </w:rPr>
      </w:pPr>
      <w:r>
        <w:rPr>
          <w:rFonts w:ascii="Times New Roman" w:hAnsi="Times New Roman"/>
          <w:sz w:val="20"/>
        </w:rPr>
        <w:t xml:space="preserve">adjustment in the period of change and will also impact the amount of share-based compensation expense to be recognized in future periods. </w:t>
      </w:r>
    </w:p>
    <w:p>
      <w:pPr>
        <w:pStyle w:val="TextBody"/>
        <w:bidi w:val="0"/>
        <w:spacing w:before="0" w:after="0"/>
        <w:jc w:val="left"/>
        <w:rPr/>
      </w:pPr>
      <w:r>
        <w:rPr/>
        <w:t> </w:t>
      </w:r>
    </w:p>
    <w:tbl>
      <w:tblPr>
        <w:tblW w:w="2185" w:type="dxa"/>
        <w:jc w:val="left"/>
        <w:tblInd w:w="0" w:type="dxa"/>
        <w:tblLayout w:type="fixed"/>
        <w:tblCellMar>
          <w:top w:w="0" w:type="dxa"/>
          <w:left w:w="0" w:type="dxa"/>
          <w:bottom w:w="0" w:type="dxa"/>
          <w:right w:w="0" w:type="dxa"/>
        </w:tblCellMar>
      </w:tblPr>
      <w:tblGrid>
        <w:gridCol w:w="75"/>
        <w:gridCol w:w="410"/>
        <w:gridCol w:w="170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jc w:val="left"/>
              <w:rPr>
                <w:b/>
                <w:spacing w:val="0"/>
              </w:rPr>
            </w:pPr>
            <w:r>
              <w:rPr>
                <w:b/>
                <w:spacing w:val="0"/>
              </w:rPr>
              <w:t>(ag)</w:t>
            </w:r>
          </w:p>
        </w:tc>
        <w:tc>
          <w:tcPr>
            <w:tcW w:w="17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Earnings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Basic earnings per share is computed by dividing net earnings attributable to ordinary shareholders by the weighted average number of ordinary shares outstanding during the year. Diluted earnings per share reflect the potential dilution that could occur if securities or other contracts to issue ordinary shares were exercised or converted into ordinary shares. </w:t>
      </w:r>
    </w:p>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75"/>
        <w:gridCol w:w="425"/>
        <w:gridCol w:w="1460"/>
      </w:tblGrid>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0"/>
              <w:jc w:val="left"/>
              <w:rPr>
                <w:b/>
                <w:spacing w:val="0"/>
              </w:rPr>
            </w:pPr>
            <w:r>
              <w:rPr>
                <w:b/>
                <w:spacing w:val="0"/>
              </w:rPr>
              <w:t>(ah)</w:t>
            </w:r>
          </w:p>
        </w:tc>
        <w:tc>
          <w:tcPr>
            <w:tcW w:w="14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Treasury shares </w:t>
            </w:r>
          </w:p>
        </w:tc>
      </w:tr>
    </w:tbl>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Treasury shares represents ordinary shares repurchased by the Group that are no longer outstanding and are held by the Group. The repurchase of ordinary shares is accounted for under the cost method whereby the entire cost of the acquired share is recorded as treasury shares. The cost of treasury shares is reclassified to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when it is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re-issued</w:t>
      </w:r>
    </w:p>
    <w:p>
      <w:pPr>
        <w:pStyle w:val="TextBody"/>
        <w:bidi w:val="0"/>
        <w:spacing w:before="120" w:after="0"/>
        <w:jc w:val="left"/>
        <w:rPr>
          <w:rFonts w:ascii="Times New Roman" w:hAnsi="Times New Roman"/>
          <w:sz w:val="20"/>
        </w:rPr>
      </w:pPr>
      <w:r>
        <w:rPr>
          <w:rFonts w:ascii="Times New Roman" w:hAnsi="Times New Roman"/>
          <w:sz w:val="20"/>
        </w:rPr>
        <w:t xml:space="preserve">for the purpose of share options exercised and share awards. When the treasury shares are retired, an excess of repurchase price over par is allocated into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215"/>
        <w:gridCol w:w="3725"/>
      </w:tblGrid>
      <w:tr>
        <w:trPr/>
        <w:tc>
          <w:tcPr>
            <w:tcW w:w="215" w:type="dxa"/>
            <w:tcBorders/>
            <w:vAlign w:val="center"/>
          </w:tcPr>
          <w:p>
            <w:pPr>
              <w:pStyle w:val="TableContents"/>
              <w:bidi w:val="0"/>
              <w:spacing w:before="0" w:after="0"/>
              <w:jc w:val="left"/>
              <w:rPr>
                <w:b/>
                <w:spacing w:val="0"/>
              </w:rPr>
            </w:pPr>
            <w:r>
              <w:rPr>
                <w:b/>
                <w:spacing w:val="0"/>
              </w:rPr>
              <w:t>2.</w:t>
            </w:r>
          </w:p>
        </w:tc>
        <w:tc>
          <w:tcPr>
            <w:tcW w:w="37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Summary of significant accounting policies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350"/>
        <w:gridCol w:w="165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0"/>
              <w:jc w:val="left"/>
              <w:rPr>
                <w:b/>
                <w:spacing w:val="0"/>
              </w:rPr>
            </w:pPr>
            <w:r>
              <w:rPr>
                <w:b/>
                <w:spacing w:val="0"/>
              </w:rPr>
              <w:t>(ai)</w:t>
            </w:r>
          </w:p>
        </w:tc>
        <w:tc>
          <w:tcPr>
            <w:tcW w:w="16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Segment reporting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Operating segments are defined as components of an enterprise for which separate financial information is available that is evaluated regularly by the chief operating decision maker (“CODM”), or decision-making group, in deciding how to allocate resources and in assessing performance. The Group’s CODM is the Chief Executive Officer.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For the years ended December 31, 2022, 2023 and 2024, the Group has determined it has five operating segments, Vip.com, internet finance, Shan Shan Outlets, offline shops and City Outlets, in which the CODM reviews its financial result on a regular basis.Vip.com and Shan Shan Outlets have been identified as reportable segments. Internet finance, offline shops and City Outlets operating segments were aggregated as others because individually they do not exceed the 10% quantitative threshold. The financial information of the respective segments is disclosed in Note 25.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365"/>
        <w:gridCol w:w="306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0"/>
              <w:jc w:val="left"/>
              <w:rPr>
                <w:b/>
                <w:spacing w:val="0"/>
              </w:rPr>
            </w:pPr>
            <w:r>
              <w:rPr>
                <w:b/>
                <w:spacing w:val="0"/>
              </w:rPr>
              <w:t>(aj)</w:t>
            </w:r>
          </w:p>
        </w:tc>
        <w:tc>
          <w:tcPr>
            <w:tcW w:w="30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Recent accounting pronouncements </w:t>
            </w:r>
          </w:p>
        </w:tc>
      </w:tr>
    </w:tbl>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Recently adopted accounting pronouncements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2023, the FASB issued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2023-07,</w:t>
      </w:r>
    </w:p>
    <w:p>
      <w:pPr>
        <w:pStyle w:val="TextBody"/>
        <w:bidi w:val="0"/>
        <w:spacing w:before="120" w:after="0"/>
        <w:jc w:val="left"/>
        <w:rPr/>
      </w:pPr>
      <w:r>
        <w:rPr/>
        <w:t>“</w:t>
      </w:r>
      <w:r>
        <w:rPr>
          <w:rFonts w:ascii="Times New Roman" w:hAnsi="Times New Roman"/>
          <w:sz w:val="20"/>
        </w:rPr>
        <w:t xml:space="preserve">Segment Reporting (Topic 280) Improvements to Reportable Segment Disclosures”. The amendments in this Update improve reportable segment disclosure requirements, primarily through enhanced disclosures about significant segment expenses. The amendments are effective for fiscal years beginning after December 15, 2023, and interim periods within fiscal years beginning after December 15, 2024. Early adoption is permitted. The Group has adopted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2023-07</w:t>
      </w:r>
    </w:p>
    <w:p>
      <w:pPr>
        <w:pStyle w:val="TextBody"/>
        <w:bidi w:val="0"/>
        <w:spacing w:before="120" w:after="0"/>
        <w:jc w:val="left"/>
        <w:rPr>
          <w:rFonts w:ascii="Times New Roman" w:hAnsi="Times New Roman"/>
          <w:sz w:val="20"/>
        </w:rPr>
      </w:pPr>
      <w:r>
        <w:rPr>
          <w:rFonts w:ascii="Times New Roman" w:hAnsi="Times New Roman"/>
          <w:sz w:val="20"/>
        </w:rPr>
        <w:t xml:space="preserve">in 2024 and updated the segment disclosure in Note 25.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Recent accounting pronouncements issued not yet adopted </w:t>
      </w:r>
    </w:p>
    <w:p>
      <w:pPr>
        <w:pStyle w:val="TextBody"/>
        <w:bidi w:val="0"/>
        <w:spacing w:before="120" w:after="0"/>
        <w:jc w:val="left"/>
        <w:rPr>
          <w:rFonts w:ascii="Times New Roman" w:hAnsi="Times New Roman"/>
          <w:sz w:val="20"/>
        </w:rPr>
      </w:pPr>
      <w:r>
        <w:rPr>
          <w:rFonts w:ascii="Times New Roman" w:hAnsi="Times New Roman"/>
          <w:sz w:val="20"/>
        </w:rPr>
        <w:t xml:space="preserve">In December 2023, The FASB has issued Accounting Standards Update (ASU) No.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 Improvements</w:t>
      </w:r>
    </w:p>
    <w:p>
      <w:pPr>
        <w:pStyle w:val="TextBody"/>
        <w:bidi w:val="0"/>
        <w:spacing w:before="120" w:after="0"/>
        <w:jc w:val="left"/>
        <w:rPr>
          <w:rFonts w:ascii="Times New Roman" w:hAnsi="Times New Roman"/>
          <w:sz w:val="20"/>
        </w:rPr>
      </w:pPr>
      <w:r>
        <w:rPr>
          <w:rFonts w:ascii="Times New Roman" w:hAnsi="Times New Roman"/>
          <w:sz w:val="20"/>
        </w:rPr>
        <w:t xml:space="preserve">to Income Tax Disclosures. Under the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“For public business entities, the standard is effective for annual periods beginning after December 15, 2024. For other entities, the amendments are effective for annual periods beginning after December 15, 2025. Early adoption is permitted for annual financial statements that have not yet been issued or made available for issuance. The Group is currently assessing the impact that ASU </w:t>
      </w:r>
    </w:p>
    <w:p>
      <w:pPr>
        <w:pStyle w:val="TextBody"/>
        <w:bidi w:val="0"/>
        <w:spacing w:before="120" w:after="0"/>
        <w:jc w:val="left"/>
        <w:rPr>
          <w:rFonts w:ascii="Times New Roman" w:hAnsi="Times New Roman"/>
          <w:spacing w:val="0"/>
          <w:sz w:val="20"/>
        </w:rPr>
      </w:pPr>
      <w:r>
        <w:rPr>
          <w:rFonts w:ascii="Times New Roman" w:hAnsi="Times New Roman"/>
          <w:spacing w:val="0"/>
          <w:sz w:val="20"/>
        </w:rPr>
        <w:t>2023-09</w:t>
      </w:r>
    </w:p>
    <w:p>
      <w:pPr>
        <w:pStyle w:val="TextBody"/>
        <w:bidi w:val="0"/>
        <w:spacing w:before="120" w:after="0"/>
        <w:jc w:val="left"/>
        <w:rPr>
          <w:rFonts w:ascii="Times New Roman" w:hAnsi="Times New Roman"/>
          <w:sz w:val="20"/>
        </w:rPr>
      </w:pPr>
      <w:r>
        <w:rPr>
          <w:rFonts w:ascii="Times New Roman" w:hAnsi="Times New Roman"/>
          <w:sz w:val="20"/>
        </w:rPr>
        <w:t>will have on its future consolidated financial statements.</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In November 2024, the FASB issued ASU No. 2024-03, Income Statement (Topic 220)- Reporting Comprehensive Income- Expense Disaggregation Disclosures (Subtopic 220-40). ASU No. 2024-03 requires publicly traded business entities to disclose specified information about the components of certain costs and expenses that are currently disclosed in the financial statements. The guidance is effective for annual reporting periods beginning after December 15, 2026, and interim reporting periods beginning after December 15, 2027. Early adoption is permitted. The Group is currently evaluating the impact of the above new accounting pronouncement or guidance on the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215"/>
        <w:gridCol w:w="1040"/>
      </w:tblGrid>
      <w:tr>
        <w:trPr/>
        <w:tc>
          <w:tcPr>
            <w:tcW w:w="215" w:type="dxa"/>
            <w:tcBorders/>
            <w:vAlign w:val="center"/>
          </w:tcPr>
          <w:p>
            <w:pPr>
              <w:pStyle w:val="TableContents"/>
              <w:bidi w:val="0"/>
              <w:spacing w:before="0" w:after="0"/>
              <w:jc w:val="left"/>
              <w:rPr>
                <w:b/>
                <w:spacing w:val="0"/>
              </w:rPr>
            </w:pPr>
            <w:r>
              <w:rPr>
                <w:b/>
                <w:spacing w:val="0"/>
              </w:rPr>
              <w:t>3.</w:t>
            </w:r>
          </w:p>
        </w:tc>
        <w:tc>
          <w:tcPr>
            <w:tcW w:w="10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Acquisition </w:t>
            </w:r>
          </w:p>
        </w:tc>
      </w:tr>
    </w:tbl>
    <w:p>
      <w:pPr>
        <w:pStyle w:val="TextBody"/>
        <w:bidi w:val="0"/>
        <w:spacing w:before="0" w:after="0"/>
        <w:jc w:val="left"/>
        <w:rPr/>
      </w:pPr>
      <w:r>
        <w:rPr/>
        <w:t> </w:t>
      </w:r>
    </w:p>
    <w:tbl>
      <w:tblPr>
        <w:tblW w:w="8185" w:type="dxa"/>
        <w:jc w:val="left"/>
        <w:tblInd w:w="0" w:type="dxa"/>
        <w:tblLayout w:type="fixed"/>
        <w:tblCellMar>
          <w:top w:w="0" w:type="dxa"/>
          <w:left w:w="0" w:type="dxa"/>
          <w:bottom w:w="0" w:type="dxa"/>
          <w:right w:w="0" w:type="dxa"/>
        </w:tblCellMar>
      </w:tblPr>
      <w:tblGrid>
        <w:gridCol w:w="155"/>
        <w:gridCol w:w="8030"/>
      </w:tblGrid>
      <w:tr>
        <w:trPr/>
        <w:tc>
          <w:tcPr>
            <w:tcW w:w="155" w:type="dxa"/>
            <w:tcBorders/>
            <w:vAlign w:val="center"/>
          </w:tcPr>
          <w:p>
            <w:pPr>
              <w:pStyle w:val="TableContents"/>
              <w:bidi w:val="0"/>
              <w:spacing w:before="0" w:after="0"/>
              <w:jc w:val="left"/>
              <w:rPr>
                <w:spacing w:val="0"/>
              </w:rPr>
            </w:pPr>
            <w:r>
              <w:rPr>
                <w:spacing w:val="0"/>
              </w:rPr>
              <w:t> </w:t>
            </w:r>
          </w:p>
        </w:tc>
        <w:tc>
          <w:tcPr>
            <w:tcW w:w="80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Acquisition of Zhengzhou Shan Shan Outlets Plaza Co., Ltd. (“Zhengzhou Shan Shan”) in 2022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November 2022, to support the Group’s strategic expansion into the outlet business, the Group acquired additional equity interests of 49% in Zhengzhou Shan Shan for cash consideration of RMB553,700. As a result of the transactions, the Group obtained control in the entity and therefore accounted for the transactions as business combination. </w:t>
      </w:r>
    </w:p>
    <w:p>
      <w:pPr>
        <w:pStyle w:val="TextBody"/>
        <w:bidi w:val="0"/>
        <w:spacing w:before="120" w:after="0"/>
        <w:jc w:val="left"/>
        <w:rPr>
          <w:rFonts w:ascii="Times New Roman" w:hAnsi="Times New Roman"/>
          <w:sz w:val="20"/>
        </w:rPr>
      </w:pPr>
      <w:r>
        <w:rPr>
          <w:rFonts w:ascii="Times New Roman" w:hAnsi="Times New Roman"/>
          <w:sz w:val="20"/>
        </w:rPr>
        <w:t xml:space="preserve">The consideration, fair value of assets acquired and liabilities assumed, as well as goodwill resulted from the acquisition are as follows: </w:t>
      </w:r>
    </w:p>
    <w:p>
      <w:pPr>
        <w:pStyle w:val="TextBody"/>
        <w:bidi w:val="0"/>
        <w:spacing w:before="0" w:after="0"/>
        <w:jc w:val="left"/>
        <w:rPr/>
      </w:pPr>
      <w:r>
        <w:rPr/>
        <w:t> </w:t>
      </w:r>
    </w:p>
    <w:tbl>
      <w:tblPr>
        <w:tblW w:w="8325" w:type="dxa"/>
        <w:jc w:val="left"/>
        <w:tblInd w:w="0" w:type="dxa"/>
        <w:tblLayout w:type="fixed"/>
        <w:tblCellMar>
          <w:top w:w="0" w:type="dxa"/>
          <w:left w:w="0" w:type="dxa"/>
          <w:bottom w:w="0" w:type="dxa"/>
          <w:right w:w="0" w:type="dxa"/>
        </w:tblCellMar>
      </w:tblPr>
      <w:tblGrid>
        <w:gridCol w:w="6995"/>
        <w:gridCol w:w="120"/>
        <w:gridCol w:w="60"/>
        <w:gridCol w:w="980"/>
        <w:gridCol w:w="170"/>
      </w:tblGrid>
      <w:tr>
        <w:trPr/>
        <w:tc>
          <w:tcPr>
            <w:tcW w:w="6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Consideration: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553,700</w:t>
            </w:r>
          </w:p>
        </w:tc>
        <w:tc>
          <w:tcPr>
            <w:tcW w:w="17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Fair value of the Group’s existing equity method investment at the time of acquisition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760,200</w:t>
            </w:r>
          </w:p>
        </w:tc>
        <w:tc>
          <w:tcPr>
            <w:tcW w:w="17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consideration transferred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1,313,900</w:t>
            </w:r>
          </w:p>
        </w:tc>
        <w:tc>
          <w:tcPr>
            <w:tcW w:w="17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Recognized amounts of identifiable assets acquired and liabilities assumed: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166,193</w:t>
            </w:r>
          </w:p>
        </w:tc>
        <w:tc>
          <w:tcPr>
            <w:tcW w:w="17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18,839</w:t>
            </w:r>
          </w:p>
        </w:tc>
        <w:tc>
          <w:tcPr>
            <w:tcW w:w="17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215</w:t>
            </w:r>
          </w:p>
        </w:tc>
        <w:tc>
          <w:tcPr>
            <w:tcW w:w="17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 and prepayments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2,219</w:t>
            </w:r>
          </w:p>
        </w:tc>
        <w:tc>
          <w:tcPr>
            <w:tcW w:w="17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989,334</w:t>
            </w:r>
          </w:p>
        </w:tc>
        <w:tc>
          <w:tcPr>
            <w:tcW w:w="17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390,590</w:t>
            </w:r>
          </w:p>
        </w:tc>
        <w:tc>
          <w:tcPr>
            <w:tcW w:w="17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765</w:t>
            </w:r>
          </w:p>
        </w:tc>
        <w:tc>
          <w:tcPr>
            <w:tcW w:w="170"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assets acquired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1,568,155</w:t>
            </w:r>
          </w:p>
        </w:tc>
        <w:tc>
          <w:tcPr>
            <w:tcW w:w="17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Accounts payables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(213,422</w:t>
            </w:r>
          </w:p>
        </w:tc>
        <w:tc>
          <w:tcPr>
            <w:tcW w:w="17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Advances from customers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(3,354</w:t>
            </w:r>
          </w:p>
        </w:tc>
        <w:tc>
          <w:tcPr>
            <w:tcW w:w="17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(38,252</w:t>
            </w:r>
          </w:p>
        </w:tc>
        <w:tc>
          <w:tcPr>
            <w:tcW w:w="17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(165,275</w:t>
            </w:r>
          </w:p>
        </w:tc>
        <w:tc>
          <w:tcPr>
            <w:tcW w:w="17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liabilities assumed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(420,303</w:t>
            </w:r>
          </w:p>
        </w:tc>
        <w:tc>
          <w:tcPr>
            <w:tcW w:w="170"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9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assets acquired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1,147,852</w:t>
            </w:r>
          </w:p>
        </w:tc>
        <w:tc>
          <w:tcPr>
            <w:tcW w:w="170" w:type="dxa"/>
            <w:tcBorders/>
            <w:shd w:fill="CCEEFF" w:val="clear"/>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Goodwill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166,048</w:t>
            </w:r>
          </w:p>
        </w:tc>
        <w:tc>
          <w:tcPr>
            <w:tcW w:w="170" w:type="dxa"/>
            <w:tcBorders/>
            <w:vAlign w:val="center"/>
          </w:tcPr>
          <w:p>
            <w:pPr>
              <w:pStyle w:val="TableContents"/>
              <w:bidi w:val="0"/>
              <w:spacing w:before="0" w:after="283"/>
              <w:jc w:val="left"/>
              <w:rPr/>
            </w:pPr>
            <w:r>
              <w:rPr/>
              <w:t> </w:t>
            </w:r>
          </w:p>
        </w:tc>
      </w:tr>
      <w:tr>
        <w:trPr/>
        <w:tc>
          <w:tcPr>
            <w:tcW w:w="6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fair value of the equity method investment on the acquisition date is calculated by deducting the fair value of additional equity interest acquired from the fair value of 100% equity interest in the outlet at the date of acquisition using income approach, in particular, the discounted cash flow method to analyze the indicative value of all equity interest in the acquired outlet. The fair value of the outlet acquired are estimated based on significant inputs which mainly include the financial results, growth trends and discount rate. The Group’s existing equity method investment was remeasured to fair value at RMB760,200, with the excess over the carrying amount of RMB307,185 recognized as gain on deemed disposal of equity method investment in the consolidated statements of income and comprehensive income. </w:t>
      </w:r>
    </w:p>
    <w:p>
      <w:pPr>
        <w:pStyle w:val="TextBody"/>
        <w:bidi w:val="0"/>
        <w:spacing w:before="120" w:after="0"/>
        <w:jc w:val="left"/>
        <w:rPr>
          <w:rFonts w:ascii="Times New Roman" w:hAnsi="Times New Roman"/>
          <w:sz w:val="20"/>
        </w:rPr>
      </w:pPr>
      <w:r>
        <w:rPr>
          <w:rFonts w:ascii="Times New Roman" w:hAnsi="Times New Roman"/>
          <w:sz w:val="20"/>
        </w:rPr>
        <w:t xml:space="preserve">The results of operation of Zhengzhou Shan Shan have been consolidated by the Group from November 2022, and the results of operations of the outlet are not material to the Group’s consolidated financial statements as a whole. </w:t>
      </w:r>
    </w:p>
    <w:p>
      <w:pPr>
        <w:pStyle w:val="TextBody"/>
        <w:bidi w:val="0"/>
        <w:spacing w:before="120" w:after="0"/>
        <w:jc w:val="left"/>
        <w:rPr>
          <w:rFonts w:ascii="Times New Roman" w:hAnsi="Times New Roman"/>
          <w:sz w:val="20"/>
        </w:rPr>
      </w:pPr>
      <w:r>
        <w:rPr>
          <w:rFonts w:ascii="Times New Roman" w:hAnsi="Times New Roman"/>
          <w:sz w:val="20"/>
        </w:rPr>
        <w:t xml:space="preserve">Pro forma financial information for the business acquisition of Zhengzhou Shan Shan in the fiscal year 2022 is not presented as they are not material to the reported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215"/>
        <w:gridCol w:w="2195"/>
      </w:tblGrid>
      <w:tr>
        <w:trPr/>
        <w:tc>
          <w:tcPr>
            <w:tcW w:w="215" w:type="dxa"/>
            <w:tcBorders/>
            <w:vAlign w:val="center"/>
          </w:tcPr>
          <w:p>
            <w:pPr>
              <w:pStyle w:val="TableContents"/>
              <w:bidi w:val="0"/>
              <w:spacing w:before="0" w:after="0"/>
              <w:jc w:val="left"/>
              <w:rPr>
                <w:b/>
                <w:spacing w:val="0"/>
              </w:rPr>
            </w:pPr>
            <w:r>
              <w:rPr>
                <w:b/>
                <w:spacing w:val="0"/>
              </w:rPr>
              <w:t>4.</w:t>
            </w:r>
          </w:p>
        </w:tc>
        <w:tc>
          <w:tcPr>
            <w:tcW w:w="21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Accounts receivables,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Components of accounts receivables are as follows: </w:t>
      </w:r>
    </w:p>
    <w:p>
      <w:pPr>
        <w:pStyle w:val="TextBody"/>
        <w:bidi w:val="0"/>
        <w:spacing w:before="0" w:after="0"/>
        <w:jc w:val="left"/>
        <w:rPr/>
      </w:pPr>
      <w:r>
        <w:rPr/>
        <w:t> </w:t>
      </w:r>
    </w:p>
    <w:tbl>
      <w:tblPr>
        <w:tblW w:w="7510" w:type="dxa"/>
        <w:jc w:val="left"/>
        <w:tblInd w:w="0" w:type="dxa"/>
        <w:tblLayout w:type="fixed"/>
        <w:tblCellMar>
          <w:top w:w="0" w:type="dxa"/>
          <w:left w:w="0" w:type="dxa"/>
          <w:bottom w:w="0" w:type="dxa"/>
          <w:right w:w="0" w:type="dxa"/>
        </w:tblCellMar>
      </w:tblPr>
      <w:tblGrid>
        <w:gridCol w:w="4895"/>
        <w:gridCol w:w="120"/>
        <w:gridCol w:w="60"/>
        <w:gridCol w:w="965"/>
        <w:gridCol w:w="155"/>
        <w:gridCol w:w="120"/>
        <w:gridCol w:w="60"/>
        <w:gridCol w:w="965"/>
        <w:gridCol w:w="170"/>
      </w:tblGrid>
      <w:tr>
        <w:trPr/>
        <w:tc>
          <w:tcPr>
            <w:tcW w:w="4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2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Receivables for logistics and warehousing services rendered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291,600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289,862</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Trade receivables (Note 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235,489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226,464</w:t>
            </w:r>
          </w:p>
        </w:tc>
        <w:tc>
          <w:tcPr>
            <w:tcW w:w="17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Receivables from payment platform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93,655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130,460</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 (Note 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218,688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284,631</w:t>
            </w:r>
          </w:p>
        </w:tc>
        <w:tc>
          <w:tcPr>
            <w:tcW w:w="170"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6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839,432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931,417</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beginning of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(54,622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(60,665</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Write-offs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2,517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53,058</w:t>
            </w:r>
          </w:p>
        </w:tc>
        <w:tc>
          <w:tcPr>
            <w:tcW w:w="17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(8,560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(8,652</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6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Allowance as of the end of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(60,665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(16,259</w:t>
            </w:r>
          </w:p>
        </w:tc>
        <w:tc>
          <w:tcPr>
            <w:tcW w:w="170" w:type="dxa"/>
            <w:tcBorders/>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6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Accounts receivables,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r>
              <w:rPr/>
              <w:t>778,767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r>
              <w:rPr/>
              <w:t>915,158</w:t>
            </w:r>
          </w:p>
        </w:tc>
        <w:tc>
          <w:tcPr>
            <w:tcW w:w="170" w:type="dxa"/>
            <w:tcBorders/>
            <w:shd w:fill="CCEEFF" w:val="clear"/>
            <w:vAlign w:val="center"/>
          </w:tcPr>
          <w:p>
            <w:pPr>
              <w:pStyle w:val="TableContents"/>
              <w:bidi w:val="0"/>
              <w:spacing w:before="0" w:after="283"/>
              <w:jc w:val="left"/>
              <w:rPr/>
            </w:pPr>
            <w:r>
              <w:rPr/>
              <w:t> </w:t>
            </w:r>
          </w:p>
        </w:tc>
      </w:tr>
      <w:tr>
        <w:trPr/>
        <w:tc>
          <w:tcPr>
            <w:tcW w:w="48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6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(a)</w:t>
            </w:r>
          </w:p>
        </w:tc>
        <w:tc>
          <w:tcPr>
            <w:tcW w:w="9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Trade receivables represent financing extended to certain customers when they select to pay for the online product purchases through installments.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7"/>
        <w:gridCol w:w="9853"/>
      </w:tblGrid>
      <w:tr>
        <w:trPr/>
        <w:tc>
          <w:tcPr>
            <w:tcW w:w="75"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Others mainly represent receivables from provision of rental, online promotion and advertising services, receivables from financing service fees. </w:t>
            </w:r>
          </w:p>
        </w:tc>
      </w:tr>
    </w:tbl>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215"/>
        <w:gridCol w:w="3425"/>
      </w:tblGrid>
      <w:tr>
        <w:trPr/>
        <w:tc>
          <w:tcPr>
            <w:tcW w:w="215" w:type="dxa"/>
            <w:tcBorders/>
            <w:vAlign w:val="center"/>
          </w:tcPr>
          <w:p>
            <w:pPr>
              <w:pStyle w:val="TableContents"/>
              <w:bidi w:val="0"/>
              <w:spacing w:before="0" w:after="0"/>
              <w:jc w:val="left"/>
              <w:rPr>
                <w:b/>
                <w:spacing w:val="0"/>
              </w:rPr>
            </w:pPr>
            <w:r>
              <w:rPr>
                <w:b/>
                <w:spacing w:val="0"/>
              </w:rPr>
              <w:t>5.</w:t>
            </w:r>
          </w:p>
        </w:tc>
        <w:tc>
          <w:tcPr>
            <w:tcW w:w="3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receivables and prepayments, net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Components of other receivables and prepayments are as follows: </w:t>
      </w:r>
    </w:p>
    <w:p>
      <w:pPr>
        <w:pStyle w:val="TextBody"/>
        <w:bidi w:val="0"/>
        <w:spacing w:before="0" w:after="0"/>
        <w:jc w:val="left"/>
        <w:rPr/>
      </w:pPr>
      <w:r>
        <w:rPr/>
        <w:t> </w:t>
      </w:r>
    </w:p>
    <w:tbl>
      <w:tblPr>
        <w:tblW w:w="9085" w:type="dxa"/>
        <w:jc w:val="left"/>
        <w:tblInd w:w="0" w:type="dxa"/>
        <w:tblLayout w:type="fixed"/>
        <w:tblCellMar>
          <w:top w:w="0" w:type="dxa"/>
          <w:left w:w="0" w:type="dxa"/>
          <w:bottom w:w="0" w:type="dxa"/>
          <w:right w:w="0" w:type="dxa"/>
        </w:tblCellMar>
      </w:tblPr>
      <w:tblGrid>
        <w:gridCol w:w="6440"/>
        <w:gridCol w:w="120"/>
        <w:gridCol w:w="60"/>
        <w:gridCol w:w="980"/>
        <w:gridCol w:w="155"/>
        <w:gridCol w:w="120"/>
        <w:gridCol w:w="60"/>
        <w:gridCol w:w="980"/>
        <w:gridCol w:w="170"/>
      </w:tblGrid>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5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VAT and EIT recoverable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409,455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688,291</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Deposits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92,008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51,943</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receivable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747,028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764,049</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Prepayment to suppliers related to procurement activities of goods and services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404,274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309,309</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Prepaid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76,311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96,475</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Loans to third parties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137,400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184,700</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Advances to suppliers related to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266,895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330,902</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232,620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162,668</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Subtotal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2,365,991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2,588,337</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Allowance for doubtful accounts: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Balance at beginning of the year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(50,038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xml:space="preserve">(67,379 </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Write-offs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2,906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(47,908</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Allowance as of the end of the year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xml:space="preserve">(67,379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(115,287</w:t>
            </w:r>
          </w:p>
        </w:tc>
        <w:tc>
          <w:tcPr>
            <w:tcW w:w="170" w:type="dxa"/>
            <w:tcBorders/>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4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2,298,612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2,473,050</w:t>
            </w:r>
          </w:p>
        </w:tc>
        <w:tc>
          <w:tcPr>
            <w:tcW w:w="170" w:type="dxa"/>
            <w:tcBorders/>
            <w:shd w:fill="CCEEFF" w:val="clear"/>
            <w:vAlign w:val="center"/>
          </w:tcPr>
          <w:p>
            <w:pPr>
              <w:pStyle w:val="TableContents"/>
              <w:bidi w:val="0"/>
              <w:spacing w:before="0" w:after="283"/>
              <w:jc w:val="left"/>
              <w:rPr/>
            </w:pPr>
            <w:r>
              <w:rPr/>
              <w:t> </w:t>
            </w:r>
          </w:p>
        </w:tc>
      </w:tr>
      <w:tr>
        <w:trPr/>
        <w:tc>
          <w:tcPr>
            <w:tcW w:w="64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1255" w:type="dxa"/>
        <w:jc w:val="left"/>
        <w:tblInd w:w="0" w:type="dxa"/>
        <w:tblLayout w:type="fixed"/>
        <w:tblCellMar>
          <w:top w:w="0" w:type="dxa"/>
          <w:left w:w="0" w:type="dxa"/>
          <w:bottom w:w="0" w:type="dxa"/>
          <w:right w:w="0" w:type="dxa"/>
        </w:tblCellMar>
      </w:tblPr>
      <w:tblGrid>
        <w:gridCol w:w="215"/>
        <w:gridCol w:w="1040"/>
      </w:tblGrid>
      <w:tr>
        <w:trPr/>
        <w:tc>
          <w:tcPr>
            <w:tcW w:w="215" w:type="dxa"/>
            <w:tcBorders/>
            <w:vAlign w:val="center"/>
          </w:tcPr>
          <w:p>
            <w:pPr>
              <w:pStyle w:val="TableContents"/>
              <w:bidi w:val="0"/>
              <w:spacing w:before="0" w:after="0"/>
              <w:jc w:val="left"/>
              <w:rPr>
                <w:b/>
                <w:spacing w:val="0"/>
              </w:rPr>
            </w:pPr>
            <w:r>
              <w:rPr>
                <w:b/>
                <w:spacing w:val="0"/>
              </w:rPr>
              <w:t>6.</w:t>
            </w:r>
          </w:p>
        </w:tc>
        <w:tc>
          <w:tcPr>
            <w:tcW w:w="10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Inventories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Inventories, net consist of the following: </w:t>
      </w:r>
    </w:p>
    <w:p>
      <w:pPr>
        <w:pStyle w:val="TextBody"/>
        <w:bidi w:val="0"/>
        <w:spacing w:before="0" w:after="0"/>
        <w:jc w:val="left"/>
        <w:rPr/>
      </w:pPr>
      <w:r>
        <w:rPr/>
        <w:t> </w:t>
      </w:r>
    </w:p>
    <w:tbl>
      <w:tblPr>
        <w:tblW w:w="4675" w:type="dxa"/>
        <w:jc w:val="left"/>
        <w:tblInd w:w="0" w:type="dxa"/>
        <w:tblLayout w:type="fixed"/>
        <w:tblCellMar>
          <w:top w:w="0" w:type="dxa"/>
          <w:left w:w="0" w:type="dxa"/>
          <w:bottom w:w="0" w:type="dxa"/>
          <w:right w:w="0" w:type="dxa"/>
        </w:tblCellMar>
      </w:tblPr>
      <w:tblGrid>
        <w:gridCol w:w="1790"/>
        <w:gridCol w:w="120"/>
        <w:gridCol w:w="60"/>
        <w:gridCol w:w="1100"/>
        <w:gridCol w:w="155"/>
        <w:gridCol w:w="120"/>
        <w:gridCol w:w="60"/>
        <w:gridCol w:w="1100"/>
        <w:gridCol w:w="170"/>
      </w:tblGrid>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Products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6,553,372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5,628,201</w:t>
            </w:r>
          </w:p>
        </w:tc>
        <w:tc>
          <w:tcPr>
            <w:tcW w:w="17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26,815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28,979</w:t>
            </w:r>
          </w:p>
        </w:tc>
        <w:tc>
          <w:tcPr>
            <w:tcW w:w="17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6,580,187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5,657,180</w:t>
            </w:r>
          </w:p>
        </w:tc>
        <w:tc>
          <w:tcPr>
            <w:tcW w:w="17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Inventory write-down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(935,474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(625,111</w:t>
            </w:r>
          </w:p>
        </w:tc>
        <w:tc>
          <w:tcPr>
            <w:tcW w:w="17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r>
              <w:rPr/>
              <w:t>5,644,713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r>
              <w:rPr/>
              <w:t>5,032,069</w:t>
            </w:r>
          </w:p>
        </w:tc>
        <w:tc>
          <w:tcPr>
            <w:tcW w:w="170"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695" w:type="dxa"/>
        <w:jc w:val="left"/>
        <w:tblInd w:w="0" w:type="dxa"/>
        <w:tblLayout w:type="fixed"/>
        <w:tblCellMar>
          <w:top w:w="0" w:type="dxa"/>
          <w:left w:w="0" w:type="dxa"/>
          <w:bottom w:w="0" w:type="dxa"/>
          <w:right w:w="0" w:type="dxa"/>
        </w:tblCellMar>
      </w:tblPr>
      <w:tblGrid>
        <w:gridCol w:w="215"/>
        <w:gridCol w:w="2480"/>
      </w:tblGrid>
      <w:tr>
        <w:trPr/>
        <w:tc>
          <w:tcPr>
            <w:tcW w:w="215" w:type="dxa"/>
            <w:tcBorders/>
            <w:vAlign w:val="center"/>
          </w:tcPr>
          <w:p>
            <w:pPr>
              <w:pStyle w:val="TableContents"/>
              <w:bidi w:val="0"/>
              <w:spacing w:before="0" w:after="0"/>
              <w:jc w:val="left"/>
              <w:rPr>
                <w:b/>
                <w:spacing w:val="0"/>
              </w:rPr>
            </w:pPr>
            <w:r>
              <w:rPr>
                <w:b/>
                <w:spacing w:val="0"/>
              </w:rPr>
              <w:t>7.</w:t>
            </w:r>
          </w:p>
        </w:tc>
        <w:tc>
          <w:tcPr>
            <w:tcW w:w="24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Property and equipment, net </w:t>
            </w:r>
          </w:p>
        </w:tc>
      </w:tr>
    </w:tbl>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2750"/>
        <w:gridCol w:w="120"/>
        <w:gridCol w:w="60"/>
        <w:gridCol w:w="1100"/>
        <w:gridCol w:w="155"/>
        <w:gridCol w:w="120"/>
        <w:gridCol w:w="60"/>
        <w:gridCol w:w="1100"/>
        <w:gridCol w:w="170"/>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Cost: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Buildings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17,786,267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20,496,536</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Furniture, fixtures and equipment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3,425,655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3,700,956</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Leasehold improvements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1,436,468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1,608,217</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Motor vehicles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31,830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30,662</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Software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118,942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128,253</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1,103,901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600,374</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Sub-total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23,903,063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26,564,998</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(6,399,161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(7,653,439</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impairment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(621,802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(618,788</w:t>
            </w:r>
          </w:p>
        </w:tc>
        <w:tc>
          <w:tcPr>
            <w:tcW w:w="170" w:type="dxa"/>
            <w:tcBorders/>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16,882,100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18,292,771</w:t>
            </w:r>
          </w:p>
        </w:tc>
        <w:tc>
          <w:tcPr>
            <w:tcW w:w="170"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Depreciation expenses charged were RMB1,231.3 million, RMB1,299.4 million and RMB1,418.5 million for the years ended December 31, 2022, 2023 and 2024, respectively.</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During the year ended December 31, 2022, the Group identified impairment indicator for its leasehold improvements and furniture related to offline shops due to their declining performance and recognized an impairment loss of RMB111,726, and impairment indicator for its transit warehouses due to their declining utilization rate and recognized an impairment loss of RMB127,576.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the Group identified impairment indicator for its leasehold improvements and furniture related to offline shops and city outlets due to their declining performance and recognized an impairment loss of RMB20,584 related to leasehold improvement and RMB135,657 related to ROU assets as disclosed in Note 15. </w:t>
      </w:r>
    </w:p>
    <w:p>
      <w:pPr>
        <w:pStyle w:val="TextBody"/>
        <w:bidi w:val="0"/>
        <w:spacing w:before="120" w:after="0"/>
        <w:jc w:val="left"/>
        <w:rPr>
          <w:rFonts w:ascii="Times New Roman" w:hAnsi="Times New Roman"/>
          <w:sz w:val="20"/>
        </w:rPr>
      </w:pPr>
      <w:r>
        <w:rPr>
          <w:rFonts w:ascii="Times New Roman" w:hAnsi="Times New Roman"/>
          <w:sz w:val="20"/>
        </w:rPr>
        <w:t xml:space="preserve">No impairment indicator was identified for the year ended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215"/>
        <w:gridCol w:w="1730"/>
      </w:tblGrid>
      <w:tr>
        <w:trPr/>
        <w:tc>
          <w:tcPr>
            <w:tcW w:w="215" w:type="dxa"/>
            <w:tcBorders/>
            <w:vAlign w:val="center"/>
          </w:tcPr>
          <w:p>
            <w:pPr>
              <w:pStyle w:val="TableContents"/>
              <w:bidi w:val="0"/>
              <w:spacing w:before="0" w:after="0"/>
              <w:jc w:val="left"/>
              <w:rPr>
                <w:b/>
                <w:spacing w:val="0"/>
              </w:rPr>
            </w:pPr>
            <w:r>
              <w:rPr>
                <w:b/>
                <w:spacing w:val="0"/>
              </w:rPr>
              <w:t>8.</w:t>
            </w:r>
          </w:p>
        </w:tc>
        <w:tc>
          <w:tcPr>
            <w:tcW w:w="1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Land use rights, net </w:t>
            </w:r>
          </w:p>
        </w:tc>
      </w:tr>
    </w:tbl>
    <w:p>
      <w:pPr>
        <w:pStyle w:val="TextBody"/>
        <w:bidi w:val="0"/>
        <w:spacing w:before="0" w:after="0"/>
        <w:jc w:val="left"/>
        <w:rPr/>
      </w:pPr>
      <w:r>
        <w:rPr/>
        <w:t> </w:t>
      </w:r>
    </w:p>
    <w:tbl>
      <w:tblPr>
        <w:tblW w:w="5500" w:type="dxa"/>
        <w:jc w:val="left"/>
        <w:tblInd w:w="0" w:type="dxa"/>
        <w:tblLayout w:type="fixed"/>
        <w:tblCellMar>
          <w:top w:w="0" w:type="dxa"/>
          <w:left w:w="0" w:type="dxa"/>
          <w:bottom w:w="0" w:type="dxa"/>
          <w:right w:w="0" w:type="dxa"/>
        </w:tblCellMar>
      </w:tblPr>
      <w:tblGrid>
        <w:gridCol w:w="2615"/>
        <w:gridCol w:w="120"/>
        <w:gridCol w:w="60"/>
        <w:gridCol w:w="1100"/>
        <w:gridCol w:w="155"/>
        <w:gridCol w:w="120"/>
        <w:gridCol w:w="60"/>
        <w:gridCol w:w="1100"/>
        <w:gridCol w:w="170"/>
      </w:tblGrid>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11,083,695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11,907,443</w:t>
            </w:r>
          </w:p>
        </w:tc>
        <w:tc>
          <w:tcPr>
            <w:tcW w:w="170"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amortization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(896,061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(1,166,035</w:t>
            </w:r>
          </w:p>
        </w:tc>
        <w:tc>
          <w:tcPr>
            <w:tcW w:w="170"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accumulated impairment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(55,008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(55,008</w:t>
            </w:r>
          </w:p>
        </w:tc>
        <w:tc>
          <w:tcPr>
            <w:tcW w:w="170"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10,132,626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10,686,400</w:t>
            </w:r>
          </w:p>
        </w:tc>
        <w:tc>
          <w:tcPr>
            <w:tcW w:w="170" w:type="dxa"/>
            <w:tcBorders/>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expiry dates of the land use rights range from the years 2049 to 2073. </w:t>
      </w:r>
    </w:p>
    <w:p>
      <w:pPr>
        <w:pStyle w:val="TextBody"/>
        <w:bidi w:val="0"/>
        <w:spacing w:before="120" w:after="0"/>
        <w:jc w:val="left"/>
        <w:rPr>
          <w:rFonts w:ascii="Times New Roman" w:hAnsi="Times New Roman"/>
          <w:sz w:val="20"/>
        </w:rPr>
      </w:pPr>
      <w:r>
        <w:rPr>
          <w:rFonts w:ascii="Times New Roman" w:hAnsi="Times New Roman"/>
          <w:sz w:val="20"/>
        </w:rPr>
        <w:t xml:space="preserve">Amortization expenses charged were RMB178.8 million, RMB217.3 million and RMB270.1 million for the years ended December 31, 2022, 2023 and 2024, respectively. Amortization expenses are expected to be at RMB278.7 million for each of the year ending December 31, 2025, 2026, 2027, 2028 and 2029. </w:t>
      </w:r>
    </w:p>
    <w:p>
      <w:pPr>
        <w:pStyle w:val="TextBody"/>
        <w:bidi w:val="0"/>
        <w:spacing w:before="120" w:after="0"/>
        <w:jc w:val="left"/>
        <w:rPr>
          <w:rFonts w:ascii="Times New Roman" w:hAnsi="Times New Roman"/>
          <w:sz w:val="20"/>
        </w:rPr>
      </w:pPr>
      <w:r>
        <w:rPr>
          <w:rFonts w:ascii="Times New Roman" w:hAnsi="Times New Roman"/>
          <w:sz w:val="20"/>
        </w:rPr>
        <w:t xml:space="preserve">There is no impairment on land use rights recognized for the year ended December 31, 2022, 2023 and 2024. </w:t>
      </w:r>
    </w:p>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215"/>
        <w:gridCol w:w="1820"/>
      </w:tblGrid>
      <w:tr>
        <w:trPr/>
        <w:tc>
          <w:tcPr>
            <w:tcW w:w="215" w:type="dxa"/>
            <w:tcBorders/>
            <w:vAlign w:val="center"/>
          </w:tcPr>
          <w:p>
            <w:pPr>
              <w:pStyle w:val="TableContents"/>
              <w:bidi w:val="0"/>
              <w:spacing w:before="0" w:after="0"/>
              <w:jc w:val="left"/>
              <w:rPr>
                <w:b/>
                <w:spacing w:val="0"/>
              </w:rPr>
            </w:pPr>
            <w:r>
              <w:rPr>
                <w:b/>
                <w:spacing w:val="0"/>
              </w:rPr>
              <w:t>9.</w:t>
            </w:r>
          </w:p>
        </w:tc>
        <w:tc>
          <w:tcPr>
            <w:tcW w:w="18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net </w:t>
            </w:r>
          </w:p>
        </w:tc>
      </w:tr>
    </w:tbl>
    <w:p>
      <w:pPr>
        <w:pStyle w:val="TextBody"/>
        <w:bidi w:val="0"/>
        <w:spacing w:before="0" w:after="0"/>
        <w:jc w:val="left"/>
        <w:rPr/>
      </w:pPr>
      <w:r>
        <w:rPr/>
        <w:t> </w:t>
      </w:r>
    </w:p>
    <w:tbl>
      <w:tblPr>
        <w:tblW w:w="11495" w:type="dxa"/>
        <w:jc w:val="left"/>
        <w:tblInd w:w="0" w:type="dxa"/>
        <w:tblLayout w:type="fixed"/>
        <w:tblCellMar>
          <w:top w:w="0" w:type="dxa"/>
          <w:left w:w="0" w:type="dxa"/>
          <w:bottom w:w="0" w:type="dxa"/>
          <w:right w:w="0" w:type="dxa"/>
        </w:tblCellMar>
      </w:tblPr>
      <w:tblGrid>
        <w:gridCol w:w="980"/>
        <w:gridCol w:w="120"/>
        <w:gridCol w:w="60"/>
        <w:gridCol w:w="800"/>
        <w:gridCol w:w="60"/>
        <w:gridCol w:w="120"/>
        <w:gridCol w:w="100"/>
        <w:gridCol w:w="1270"/>
        <w:gridCol w:w="155"/>
        <w:gridCol w:w="60"/>
        <w:gridCol w:w="100"/>
        <w:gridCol w:w="1270"/>
        <w:gridCol w:w="155"/>
        <w:gridCol w:w="60"/>
        <w:gridCol w:w="60"/>
        <w:gridCol w:w="800"/>
        <w:gridCol w:w="60"/>
        <w:gridCol w:w="120"/>
        <w:gridCol w:w="60"/>
        <w:gridCol w:w="800"/>
        <w:gridCol w:w="60"/>
        <w:gridCol w:w="120"/>
        <w:gridCol w:w="100"/>
        <w:gridCol w:w="1270"/>
        <w:gridCol w:w="155"/>
        <w:gridCol w:w="60"/>
        <w:gridCol w:w="100"/>
        <w:gridCol w:w="1270"/>
        <w:gridCol w:w="155"/>
        <w:gridCol w:w="60"/>
        <w:gridCol w:w="60"/>
        <w:gridCol w:w="800"/>
        <w:gridCol w:w="7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7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70"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2024</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p>
            <w:pPr>
              <w:pStyle w:val="TableContents"/>
              <w:bidi w:val="0"/>
              <w:spacing w:before="0" w:after="0"/>
              <w:jc w:val="center"/>
              <w:rPr/>
            </w:pPr>
            <w:r>
              <w:rPr/>
            </w:r>
          </w:p>
          <w:p>
            <w:pPr>
              <w:pStyle w:val="TableContents"/>
              <w:bidi w:val="0"/>
              <w:spacing w:before="0" w:after="0"/>
              <w:jc w:val="center"/>
              <w:rPr>
                <w:b/>
                <w:spacing w:val="0"/>
              </w:rPr>
            </w:pPr>
            <w:r>
              <w:rPr>
                <w:b/>
                <w:spacing w:val="0"/>
              </w:rPr>
              <w:t>(Note a)</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Impairment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amortization</w:t>
            </w:r>
          </w:p>
          <w:p>
            <w:pPr>
              <w:pStyle w:val="TableContents"/>
              <w:bidi w:val="0"/>
              <w:spacing w:before="0" w:after="0"/>
              <w:jc w:val="center"/>
              <w:rPr/>
            </w:pPr>
            <w:r>
              <w:rPr/>
            </w:r>
          </w:p>
          <w:p>
            <w:pPr>
              <w:pStyle w:val="TableContents"/>
              <w:bidi w:val="0"/>
              <w:spacing w:before="0" w:after="0"/>
              <w:jc w:val="center"/>
              <w:rPr>
                <w:b/>
                <w:spacing w:val="0"/>
              </w:rPr>
            </w:pPr>
            <w:r>
              <w:rPr>
                <w:b/>
                <w:spacing w:val="0"/>
              </w:rPr>
              <w:t>(Note a)</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Impairment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Net</w:t>
            </w:r>
          </w:p>
          <w:p>
            <w:pPr>
              <w:pStyle w:val="TableContents"/>
              <w:bidi w:val="0"/>
              <w:spacing w:before="0" w:after="0"/>
              <w:jc w:val="center"/>
              <w:rPr/>
            </w:pPr>
            <w:r>
              <w:rPr/>
            </w:r>
          </w:p>
          <w:p>
            <w:pPr>
              <w:pStyle w:val="TableContents"/>
              <w:bidi w:val="0"/>
              <w:spacing w:before="0" w:after="0"/>
              <w:jc w:val="center"/>
              <w:rPr>
                <w:b/>
                <w:spacing w:val="0"/>
              </w:rPr>
            </w:pPr>
            <w:r>
              <w:rPr>
                <w:b/>
                <w:spacing w:val="0"/>
              </w:rPr>
              <w:t>amount</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Domain names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14,644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(14,644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15,004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(15,004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Trademarks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24,987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(13,037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11,950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24,987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(16,811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8,176</w:t>
            </w:r>
          </w:p>
        </w:tc>
        <w:tc>
          <w:tcPr>
            <w:tcW w:w="75"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Payment license (Note b)</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319,660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319,660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319,660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319,660</w:t>
            </w:r>
          </w:p>
        </w:tc>
        <w:tc>
          <w:tcPr>
            <w:tcW w:w="75" w:type="dxa"/>
            <w:tcBorders/>
            <w:shd w:fill="CCEEFF"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73,773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(55,655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(16,907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72,574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(55,659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270" w:type="dxa"/>
            <w:tcBorders/>
            <w:vAlign w:val="center"/>
          </w:tcPr>
          <w:p>
            <w:pPr>
              <w:pStyle w:val="TableContents"/>
              <w:bidi w:val="0"/>
              <w:spacing w:before="0" w:after="283"/>
              <w:jc w:val="right"/>
              <w:rPr/>
            </w:pPr>
            <w:r>
              <w:rPr/>
              <w:t>(16,907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2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9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433,064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(83,336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(16,907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332,821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432,225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(87,474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270" w:type="dxa"/>
            <w:tcBorders/>
            <w:shd w:fill="CCEEFF" w:val="clear"/>
            <w:vAlign w:val="center"/>
          </w:tcPr>
          <w:p>
            <w:pPr>
              <w:pStyle w:val="TableContents"/>
              <w:bidi w:val="0"/>
              <w:spacing w:before="0" w:after="283"/>
              <w:jc w:val="right"/>
              <w:rPr/>
            </w:pPr>
            <w:r>
              <w:rPr/>
              <w:t>(16,907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327,844</w:t>
            </w:r>
          </w:p>
        </w:tc>
        <w:tc>
          <w:tcPr>
            <w:tcW w:w="75" w:type="dxa"/>
            <w:tcBorders/>
            <w:shd w:fill="CCEEFF"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27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27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27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27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Amortization expenses for intangible assets were RMB3,256, RMB3,778 and RMB3,778 for the years ended December 31, 2022, 2023 and 2024, respectively. Amortization expenses are expected to be at RMB3,778 for the years ending December 31, 2025, 2026, and RMB628 for 2027, and nil for 2028 and 2029,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(b)</w:t>
            </w:r>
          </w:p>
        </w:tc>
        <w:tc>
          <w:tcPr>
            <w:tcW w:w="98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Payment license has a legal life of 5 years, which enables the Group to provide payment services and qualifies as a paying institution. The Group renewed the license on June 27, 2022 with expiry date in June 2027. The Group believes it would be able to renew the payment license at minimal cost continuously and has the ability to do so. As a result, the payment license is considered by the Group as having an indefinite life because it is expected to contribute to net cash inflow indefinitely. </w:t>
            </w:r>
          </w:p>
        </w:tc>
      </w:tr>
    </w:tbl>
    <w:p>
      <w:pPr>
        <w:pStyle w:val="TextBody"/>
        <w:bidi w:val="0"/>
        <w:spacing w:before="0" w:after="0"/>
        <w:ind w:left="0" w:right="0" w:hanging="0"/>
        <w:jc w:val="left"/>
        <w:rPr>
          <w:sz w:val="12"/>
        </w:rPr>
      </w:pPr>
      <w:r>
        <w:rPr>
          <w:sz w:val="12"/>
        </w:rPr>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0"/>
              <w:jc w:val="left"/>
              <w:rPr>
                <w:spacing w:val="0"/>
              </w:rPr>
            </w:pPr>
            <w:r>
              <w:rPr>
                <w:spacing w:val="0"/>
              </w:rPr>
              <w:t> </w:t>
            </w:r>
          </w:p>
        </w:tc>
        <w:tc>
          <w:tcPr>
            <w:tcW w:w="210" w:type="dxa"/>
            <w:tcBorders/>
            <w:vAlign w:val="center"/>
          </w:tcPr>
          <w:p>
            <w:pPr>
              <w:pStyle w:val="TableContents"/>
              <w:bidi w:val="0"/>
              <w:spacing w:before="0" w:after="0"/>
              <w:jc w:val="left"/>
              <w:rPr>
                <w:spacing w:val="0"/>
              </w:rPr>
            </w:pPr>
            <w:r>
              <w:rPr>
                <w:spacing w:val="0"/>
              </w:rPr>
              <w:t>(c)</w:t>
            </w:r>
          </w:p>
        </w:tc>
        <w:tc>
          <w:tcPr>
            <w:tcW w:w="992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When performing the impairment analysis for intangible assets, the Company will first perform a qualitative assessment to determine whether it is necessary to perform a quantitative impairment test. If the qualitative factors indicate that the carrying amount of the intangible assets is more likely than not to exceed the fair value, then a quantitative impairment test is performed. To perform a quantitative impairment test of intangible assets, the Company performs an assessment that consists of a comparison of the fair values of the intangible assets with their carrying amounts. An impairment is recognized in an amount equal to the excess of the carrying amounts over the fair values of the intangible assets. No impairment on intangible assets was recognized during the years ended December 31, 2022, 2023 and 2024. </w:t>
            </w:r>
          </w:p>
        </w:tc>
      </w:tr>
    </w:tbl>
    <w:p>
      <w:pPr>
        <w:pStyle w:val="TextBody"/>
        <w:bidi w:val="0"/>
        <w:spacing w:before="0" w:after="0"/>
        <w:ind w:left="0" w:right="0" w:hanging="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670" w:type="dxa"/>
        <w:jc w:val="left"/>
        <w:tblInd w:w="0" w:type="dxa"/>
        <w:tblLayout w:type="fixed"/>
        <w:tblCellMar>
          <w:top w:w="0" w:type="dxa"/>
          <w:left w:w="0" w:type="dxa"/>
          <w:bottom w:w="0" w:type="dxa"/>
          <w:right w:w="0" w:type="dxa"/>
        </w:tblCellMar>
      </w:tblPr>
      <w:tblGrid>
        <w:gridCol w:w="335"/>
        <w:gridCol w:w="3335"/>
      </w:tblGrid>
      <w:tr>
        <w:trPr/>
        <w:tc>
          <w:tcPr>
            <w:tcW w:w="335" w:type="dxa"/>
            <w:tcBorders/>
            <w:vAlign w:val="center"/>
          </w:tcPr>
          <w:p>
            <w:pPr>
              <w:pStyle w:val="TableContents"/>
              <w:bidi w:val="0"/>
              <w:spacing w:before="0" w:after="0"/>
              <w:jc w:val="left"/>
              <w:rPr>
                <w:b/>
                <w:spacing w:val="0"/>
              </w:rPr>
            </w:pPr>
            <w:r>
              <w:rPr>
                <w:b/>
                <w:spacing w:val="0"/>
              </w:rPr>
              <w:t>10.</w:t>
            </w:r>
          </w:p>
        </w:tc>
        <w:tc>
          <w:tcPr>
            <w:tcW w:w="33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Investments in equity method investees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Investments in equity method investees as of December 31, 2023 and 2024 were as follows: </w:t>
      </w:r>
    </w:p>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6740"/>
        <w:gridCol w:w="120"/>
        <w:gridCol w:w="60"/>
        <w:gridCol w:w="1100"/>
        <w:gridCol w:w="155"/>
        <w:gridCol w:w="120"/>
        <w:gridCol w:w="60"/>
        <w:gridCol w:w="1100"/>
        <w:gridCol w:w="170"/>
      </w:tblGrid>
      <w:tr>
        <w:trPr/>
        <w:tc>
          <w:tcPr>
            <w:tcW w:w="6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9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Sichuan VipFubon Consumer Finance Co., Ltd (“VipFubon”)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236,319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270,683</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HongShan Fashion and Technology Industry Fund Investment Limited Partnership</w:t>
              <w:br/>
              <w:t>(“HongShan Fashion and Technology”)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500,993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429,965</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Shanxi Tianmei Shan Shan Outlets Shopping Mall Co., Ltd (“Shanxi Shan Shan”)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599,884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582,608</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Guofu Life Insurance Co., Ltd (“Guofu”)</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239,291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134,668</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Gansu Shan Shan Outlets Shopping Mall Co., Ltd (“Gansu Shan Shan”)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163,141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174,907</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522,907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419,562</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7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(106,974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(10,350</w:t>
            </w:r>
          </w:p>
        </w:tc>
        <w:tc>
          <w:tcPr>
            <w:tcW w:w="170" w:type="dxa"/>
            <w:tcBorders/>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7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r>
              <w:rPr/>
              <w:t>2,155,561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r>
              <w:rPr/>
              <w:t>2,002,043</w:t>
            </w:r>
          </w:p>
        </w:tc>
        <w:tc>
          <w:tcPr>
            <w:tcW w:w="170" w:type="dxa"/>
            <w:tcBorders/>
            <w:shd w:fill="CCEEFF" w:val="clear"/>
            <w:vAlign w:val="center"/>
          </w:tcPr>
          <w:p>
            <w:pPr>
              <w:pStyle w:val="TableContents"/>
              <w:bidi w:val="0"/>
              <w:spacing w:before="0" w:after="283"/>
              <w:jc w:val="left"/>
              <w:rPr/>
            </w:pPr>
            <w:r>
              <w:rPr/>
              <w:t> </w:t>
            </w:r>
          </w:p>
        </w:tc>
      </w:tr>
      <w:tr>
        <w:trPr/>
        <w:tc>
          <w:tcPr>
            <w:tcW w:w="6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2022, 2023 and 2024, the Group recognized gain on disposal of equity method investee at the amount of RMB304,570, nil and nil. During the years ended December 31, 2022, 2023 and 2024, the Group recognized its share of (loss) income of equity method investees at the amount of RMB(6,559), RMB80,301 and RMB166,980, respectively. No impairment has been recorded on these investments accounted for under equity method for the years ended December 31, 2022, 2023 and 2024. During the year ended December 31, 2024, certain equity method investees which were fully impaired with accumulated impairment loss of RMB96,624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were written off as the Group has determined that is not probable for the balance to be recovered or the investees are deregistered. </w:t>
      </w:r>
    </w:p>
    <w:p>
      <w:pPr>
        <w:pStyle w:val="TextBody"/>
        <w:bidi w:val="0"/>
        <w:spacing w:before="120" w:after="0"/>
        <w:jc w:val="left"/>
        <w:rPr>
          <w:rFonts w:ascii="Times New Roman" w:hAnsi="Times New Roman"/>
          <w:sz w:val="20"/>
        </w:rPr>
      </w:pPr>
      <w:r>
        <w:rPr>
          <w:rFonts w:ascii="Times New Roman" w:hAnsi="Times New Roman"/>
          <w:sz w:val="20"/>
        </w:rPr>
        <w:t xml:space="preserve">The Group summarizes the condensed financial information of the Group’s equity investments under equity method as a group below in accordance with Rule </w:t>
      </w:r>
    </w:p>
    <w:p>
      <w:pPr>
        <w:pStyle w:val="TextBody"/>
        <w:bidi w:val="0"/>
        <w:spacing w:before="120" w:after="0"/>
        <w:jc w:val="left"/>
        <w:rPr>
          <w:rFonts w:ascii="Times New Roman" w:hAnsi="Times New Roman"/>
          <w:spacing w:val="0"/>
          <w:sz w:val="20"/>
        </w:rPr>
      </w:pPr>
      <w:r>
        <w:rPr>
          <w:rFonts w:ascii="Times New Roman" w:hAnsi="Times New Roman"/>
          <w:spacing w:val="0"/>
          <w:sz w:val="20"/>
        </w:rPr>
        <w:t>4-08</w:t>
      </w:r>
    </w:p>
    <w:p>
      <w:pPr>
        <w:pStyle w:val="TextBody"/>
        <w:bidi w:val="0"/>
        <w:spacing w:before="120" w:after="0"/>
        <w:jc w:val="left"/>
        <w:rPr>
          <w:rFonts w:ascii="Times New Roman" w:hAnsi="Times New Roman"/>
          <w:sz w:val="20"/>
        </w:rPr>
      </w:pPr>
      <w:r>
        <w:rPr>
          <w:rFonts w:ascii="Times New Roman" w:hAnsi="Times New Roman"/>
          <w:sz w:val="20"/>
        </w:rPr>
        <w:t xml:space="preserve">of Regulation </w:t>
      </w:r>
    </w:p>
    <w:p>
      <w:pPr>
        <w:pStyle w:val="TextBody"/>
        <w:bidi w:val="0"/>
        <w:spacing w:before="120" w:after="0"/>
        <w:jc w:val="left"/>
        <w:rPr>
          <w:rFonts w:ascii="Times New Roman" w:hAnsi="Times New Roman"/>
          <w:spacing w:val="0"/>
          <w:sz w:val="20"/>
        </w:rPr>
      </w:pPr>
      <w:r>
        <w:rPr>
          <w:rFonts w:ascii="Times New Roman" w:hAnsi="Times New Roman"/>
          <w:spacing w:val="0"/>
          <w:sz w:val="20"/>
        </w:rPr>
        <w:t>S-X:</w:t>
      </w:r>
    </w:p>
    <w:p>
      <w:pPr>
        <w:pStyle w:val="TextBody"/>
        <w:bidi w:val="0"/>
        <w:spacing w:before="0" w:after="0"/>
        <w:jc w:val="left"/>
        <w:rPr/>
      </w:pPr>
      <w:r>
        <w:rPr/>
        <w:t> </w:t>
      </w:r>
    </w:p>
    <w:tbl>
      <w:tblPr>
        <w:tblW w:w="8795" w:type="dxa"/>
        <w:jc w:val="left"/>
        <w:tblInd w:w="0" w:type="dxa"/>
        <w:tblLayout w:type="fixed"/>
        <w:tblCellMar>
          <w:top w:w="0" w:type="dxa"/>
          <w:left w:w="0" w:type="dxa"/>
          <w:bottom w:w="0" w:type="dxa"/>
          <w:right w:w="0" w:type="dxa"/>
        </w:tblCellMar>
      </w:tblPr>
      <w:tblGrid>
        <w:gridCol w:w="5120"/>
        <w:gridCol w:w="120"/>
        <w:gridCol w:w="60"/>
        <w:gridCol w:w="980"/>
        <w:gridCol w:w="60"/>
        <w:gridCol w:w="120"/>
        <w:gridCol w:w="60"/>
        <w:gridCol w:w="980"/>
        <w:gridCol w:w="60"/>
        <w:gridCol w:w="120"/>
        <w:gridCol w:w="60"/>
        <w:gridCol w:w="980"/>
        <w:gridCol w:w="75"/>
      </w:tblGrid>
      <w:tr>
        <w:trPr/>
        <w:tc>
          <w:tcPr>
            <w:tcW w:w="5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8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2,940,905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3,116,172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2,277,551</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79,057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165,578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554,778</w:t>
            </w:r>
          </w:p>
        </w:tc>
        <w:tc>
          <w:tcPr>
            <w:tcW w:w="7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from operations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285,733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310,193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530,092</w:t>
            </w:r>
          </w:p>
        </w:tc>
        <w:tc>
          <w:tcPr>
            <w:tcW w:w="75" w:type="dxa"/>
            <w:tcBorders/>
            <w:shd w:fill="CCEEFF" w:val="clear"/>
            <w:vAlign w:val="center"/>
          </w:tcPr>
          <w:p>
            <w:pPr>
              <w:pStyle w:val="TableContents"/>
              <w:bidi w:val="0"/>
              <w:spacing w:before="0" w:after="283"/>
              <w:jc w:val="left"/>
              <w:rPr/>
            </w:pPr>
            <w:r>
              <w:rPr/>
              <w:t> </w:t>
            </w:r>
          </w:p>
        </w:tc>
      </w:tr>
      <w:tr>
        <w:trPr/>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251,426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260,582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435,189</w:t>
            </w:r>
          </w:p>
        </w:tc>
        <w:tc>
          <w:tcPr>
            <w:tcW w:w="75" w:type="dxa"/>
            <w:tcBorders/>
            <w:vAlign w:val="center"/>
          </w:tcPr>
          <w:p>
            <w:pPr>
              <w:pStyle w:val="TableContents"/>
              <w:bidi w:val="0"/>
              <w:spacing w:before="0" w:after="283"/>
              <w:jc w:val="left"/>
              <w:rPr/>
            </w:pPr>
            <w:r>
              <w:rPr/>
              <w:t> </w:t>
            </w:r>
          </w:p>
        </w:tc>
      </w:tr>
      <w:tr>
        <w:trPr/>
        <w:tc>
          <w:tcPr>
            <w:tcW w:w="51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the investees’ ordinary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251,426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260,582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435,189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170" w:type="dxa"/>
        <w:jc w:val="left"/>
        <w:tblInd w:w="0" w:type="dxa"/>
        <w:tblLayout w:type="fixed"/>
        <w:tblCellMar>
          <w:top w:w="0" w:type="dxa"/>
          <w:left w:w="0" w:type="dxa"/>
          <w:bottom w:w="0" w:type="dxa"/>
          <w:right w:w="0" w:type="dxa"/>
        </w:tblCellMar>
      </w:tblPr>
      <w:tblGrid>
        <w:gridCol w:w="1475"/>
        <w:gridCol w:w="120"/>
        <w:gridCol w:w="60"/>
        <w:gridCol w:w="1100"/>
        <w:gridCol w:w="60"/>
        <w:gridCol w:w="120"/>
        <w:gridCol w:w="60"/>
        <w:gridCol w:w="1100"/>
        <w:gridCol w:w="75"/>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8,923,172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15,716,003</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16,562,043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12,733,109</w:t>
            </w:r>
          </w:p>
        </w:tc>
        <w:tc>
          <w:tcPr>
            <w:tcW w:w="7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5,416,529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6,549,835</w:t>
            </w:r>
          </w:p>
        </w:tc>
        <w:tc>
          <w:tcPr>
            <w:tcW w:w="7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Non-current</w:t>
            </w:r>
          </w:p>
          <w:p>
            <w:pPr>
              <w:pStyle w:val="TableContents"/>
              <w:bidi w:val="0"/>
              <w:spacing w:before="0" w:after="0"/>
              <w:jc w:val="left"/>
              <w:rPr>
                <w:rFonts w:ascii="Times New Roman" w:hAnsi="Times New Roman"/>
                <w:sz w:val="20"/>
              </w:rPr>
            </w:pPr>
            <w:r>
              <w:rPr>
                <w:rFonts w:ascii="Times New Roman" w:hAnsi="Times New Roman"/>
                <w:sz w:val="20"/>
              </w:rPr>
              <w:t>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11,822,755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13,811,233</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335"/>
        <w:gridCol w:w="1610"/>
      </w:tblGrid>
      <w:tr>
        <w:trPr/>
        <w:tc>
          <w:tcPr>
            <w:tcW w:w="335" w:type="dxa"/>
            <w:tcBorders/>
            <w:vAlign w:val="center"/>
          </w:tcPr>
          <w:p>
            <w:pPr>
              <w:pStyle w:val="TableContents"/>
              <w:bidi w:val="0"/>
              <w:spacing w:before="0" w:after="0"/>
              <w:jc w:val="left"/>
              <w:rPr>
                <w:b/>
                <w:spacing w:val="0"/>
              </w:rPr>
            </w:pPr>
            <w:r>
              <w:rPr>
                <w:b/>
                <w:spacing w:val="0"/>
              </w:rPr>
              <w:t>11.</w:t>
            </w:r>
          </w:p>
        </w:tc>
        <w:tc>
          <w:tcPr>
            <w:tcW w:w="16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investments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investments consist of equity investments with readily determinable fair value, equity investments without readily determinable fair value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The carrying amounts and fair value of the Group’s other investments as of December 31, 2023 and 2024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06"/>
        <w:gridCol w:w="120"/>
        <w:gridCol w:w="60"/>
        <w:gridCol w:w="980"/>
        <w:gridCol w:w="60"/>
        <w:gridCol w:w="120"/>
        <w:gridCol w:w="72"/>
        <w:gridCol w:w="1058"/>
        <w:gridCol w:w="155"/>
        <w:gridCol w:w="60"/>
        <w:gridCol w:w="87"/>
        <w:gridCol w:w="1283"/>
        <w:gridCol w:w="155"/>
        <w:gridCol w:w="60"/>
        <w:gridCol w:w="97"/>
        <w:gridCol w:w="1108"/>
        <w:gridCol w:w="60"/>
        <w:gridCol w:w="120"/>
        <w:gridCol w:w="61"/>
        <w:gridCol w:w="1006"/>
        <w:gridCol w:w="77"/>
      </w:tblGrid>
      <w:tr>
        <w:trPr/>
        <w:tc>
          <w:tcPr>
            <w:tcW w:w="34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02" w:type="dxa"/>
            <w:gridSpan w:val="18"/>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2023</w:t>
            </w:r>
          </w:p>
        </w:tc>
        <w:tc>
          <w:tcPr>
            <w:tcW w:w="77" w:type="dxa"/>
            <w:tcBorders/>
            <w:vAlign w:val="center"/>
          </w:tcPr>
          <w:p>
            <w:pPr>
              <w:pStyle w:val="TableContents"/>
              <w:bidi w:val="0"/>
              <w:spacing w:before="0" w:after="283"/>
              <w:jc w:val="left"/>
              <w:rPr/>
            </w:pPr>
            <w:r>
              <w:rPr/>
              <w:t> </w:t>
            </w:r>
          </w:p>
        </w:tc>
      </w:tr>
      <w:tr>
        <w:trPr/>
        <w:tc>
          <w:tcPr>
            <w:tcW w:w="340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Original</w:t>
            </w:r>
          </w:p>
          <w:p>
            <w:pPr>
              <w:pStyle w:val="TableContents"/>
              <w:bidi w:val="0"/>
              <w:spacing w:before="0" w:after="0"/>
              <w:jc w:val="center"/>
              <w:rPr/>
            </w:pPr>
            <w:r>
              <w:rPr/>
            </w:r>
          </w:p>
          <w:p>
            <w:pPr>
              <w:pStyle w:val="TableContents"/>
              <w:bidi w:val="0"/>
              <w:spacing w:before="0" w:after="0"/>
              <w:jc w:val="center"/>
              <w:rPr>
                <w:b/>
                <w:spacing w:val="0"/>
              </w:rPr>
            </w:pPr>
            <w:r>
              <w:rPr>
                <w:b/>
                <w:spacing w:val="0"/>
              </w:rP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Unrealized</w:t>
            </w:r>
          </w:p>
          <w:p>
            <w:pPr>
              <w:pStyle w:val="TableContents"/>
              <w:bidi w:val="0"/>
              <w:spacing w:before="0" w:after="0"/>
              <w:jc w:val="center"/>
              <w:rPr/>
            </w:pPr>
            <w:r>
              <w:rPr/>
            </w:r>
          </w:p>
          <w:p>
            <w:pPr>
              <w:pStyle w:val="TableContents"/>
              <w:bidi w:val="0"/>
              <w:spacing w:before="0" w:after="0"/>
              <w:jc w:val="center"/>
              <w:rPr>
                <w:b/>
                <w:spacing w:val="0"/>
              </w:rPr>
            </w:pPr>
            <w:r>
              <w:rPr>
                <w:b/>
                <w:spacing w:val="0"/>
              </w:rPr>
              <w:t>(losses)</w:t>
            </w:r>
          </w:p>
          <w:p>
            <w:pPr>
              <w:pStyle w:val="TableContents"/>
              <w:bidi w:val="0"/>
              <w:spacing w:before="0" w:after="0"/>
              <w:jc w:val="center"/>
              <w:rPr/>
            </w:pPr>
            <w:r>
              <w:rPr/>
            </w:r>
          </w:p>
          <w:p>
            <w:pPr>
              <w:pStyle w:val="TableContents"/>
              <w:bidi w:val="0"/>
              <w:spacing w:before="0" w:after="0"/>
              <w:jc w:val="center"/>
              <w:rPr>
                <w:b/>
                <w:spacing w:val="0"/>
              </w:rPr>
            </w:pPr>
            <w:r>
              <w:rPr>
                <w:b/>
                <w:spacing w:val="0"/>
              </w:rPr>
              <w:t>gains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impairment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Translation</w:t>
            </w:r>
          </w:p>
          <w:p>
            <w:pPr>
              <w:pStyle w:val="TableContents"/>
              <w:bidi w:val="0"/>
              <w:spacing w:before="0" w:after="0"/>
              <w:jc w:val="center"/>
              <w:rPr/>
            </w:pPr>
            <w:r>
              <w:rPr/>
            </w:r>
          </w:p>
          <w:p>
            <w:pPr>
              <w:pStyle w:val="TableContents"/>
              <w:bidi w:val="0"/>
              <w:spacing w:before="0" w:after="0"/>
              <w:jc w:val="center"/>
              <w:rPr>
                <w:b/>
                <w:spacing w:val="0"/>
              </w:rPr>
            </w:pPr>
            <w:r>
              <w:rPr>
                <w:b/>
                <w:spacing w:val="0"/>
              </w:rPr>
              <w:t>difference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Balance as</w:t>
            </w:r>
          </w:p>
          <w:p>
            <w:pPr>
              <w:pStyle w:val="TableContents"/>
              <w:bidi w:val="0"/>
              <w:spacing w:before="0" w:after="0"/>
              <w:jc w:val="center"/>
              <w:rPr/>
            </w:pPr>
            <w:r>
              <w:rPr/>
            </w:r>
          </w:p>
          <w:p>
            <w:pPr>
              <w:pStyle w:val="TableContents"/>
              <w:bidi w:val="0"/>
              <w:spacing w:before="0" w:after="0"/>
              <w:jc w:val="center"/>
              <w:rPr>
                <w:b/>
                <w:spacing w:val="0"/>
              </w:rPr>
            </w:pPr>
            <w:r>
              <w:rPr>
                <w:b/>
                <w:spacing w:val="0"/>
              </w:rPr>
              <w:t>of year</w:t>
            </w:r>
          </w:p>
          <w:p>
            <w:pPr>
              <w:pStyle w:val="TableContents"/>
              <w:bidi w:val="0"/>
              <w:spacing w:before="0" w:after="0"/>
              <w:jc w:val="center"/>
              <w:rPr/>
            </w:pPr>
            <w:r>
              <w:rPr/>
            </w:r>
          </w:p>
          <w:p>
            <w:pPr>
              <w:pStyle w:val="TableContents"/>
              <w:bidi w:val="0"/>
              <w:spacing w:before="0" w:after="0"/>
              <w:jc w:val="center"/>
              <w:rPr>
                <w:b/>
                <w:spacing w:val="0"/>
              </w:rPr>
            </w:pPr>
            <w:r>
              <w:rPr>
                <w:b/>
                <w:spacing w:val="0"/>
              </w:rPr>
              <w:t>end</w:t>
            </w:r>
          </w:p>
        </w:tc>
        <w:tc>
          <w:tcPr>
            <w:tcW w:w="77" w:type="dxa"/>
            <w:tcBorders/>
            <w:vAlign w:val="center"/>
          </w:tcPr>
          <w:p>
            <w:pPr>
              <w:pStyle w:val="TableContents"/>
              <w:bidi w:val="0"/>
              <w:spacing w:before="0" w:after="283"/>
              <w:jc w:val="left"/>
              <w:rPr/>
            </w:pPr>
            <w:r>
              <w:rPr/>
              <w:t> </w:t>
            </w:r>
          </w:p>
        </w:tc>
      </w:tr>
      <w:tr>
        <w:trPr/>
        <w:tc>
          <w:tcPr>
            <w:tcW w:w="340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4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investments with readily determinable fair value (Note 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223,852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(168,354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(48,634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11,855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18,719</w:t>
            </w:r>
          </w:p>
        </w:tc>
        <w:tc>
          <w:tcPr>
            <w:tcW w:w="77" w:type="dxa"/>
            <w:tcBorders/>
            <w:shd w:fill="CCEEFF" w:val="clear"/>
            <w:vAlign w:val="center"/>
          </w:tcPr>
          <w:p>
            <w:pPr>
              <w:pStyle w:val="TableContents"/>
              <w:bidi w:val="0"/>
              <w:spacing w:before="0" w:after="283"/>
              <w:jc w:val="left"/>
              <w:rPr/>
            </w:pPr>
            <w:r>
              <w:rPr/>
              <w:t> </w:t>
            </w:r>
          </w:p>
        </w:tc>
      </w:tr>
      <w:tr>
        <w:trPr/>
        <w:tc>
          <w:tcPr>
            <w:tcW w:w="34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debt securities (Note 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94,438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(35,073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59,500</w:t>
            </w:r>
          </w:p>
        </w:tc>
        <w:tc>
          <w:tcPr>
            <w:tcW w:w="77" w:type="dxa"/>
            <w:tcBorders/>
            <w:vAlign w:val="center"/>
          </w:tcPr>
          <w:p>
            <w:pPr>
              <w:pStyle w:val="TableContents"/>
              <w:bidi w:val="0"/>
              <w:spacing w:before="0" w:after="283"/>
              <w:jc w:val="left"/>
              <w:rPr/>
            </w:pPr>
            <w:r>
              <w:rPr/>
              <w:t> </w:t>
            </w:r>
          </w:p>
        </w:tc>
      </w:tr>
      <w:tr>
        <w:trPr/>
        <w:tc>
          <w:tcPr>
            <w:tcW w:w="34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investments without readily determinable fair value (Note 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3,036,434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253,027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(526,204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pPr>
            <w:r>
              <w:rPr/>
              <w:t>74,713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2,837,970</w:t>
            </w:r>
          </w:p>
        </w:tc>
        <w:tc>
          <w:tcPr>
            <w:tcW w:w="77" w:type="dxa"/>
            <w:tcBorders/>
            <w:shd w:fill="CCEEFF" w:val="clear"/>
            <w:vAlign w:val="center"/>
          </w:tcPr>
          <w:p>
            <w:pPr>
              <w:pStyle w:val="TableContents"/>
              <w:bidi w:val="0"/>
              <w:spacing w:before="0" w:after="283"/>
              <w:jc w:val="left"/>
              <w:rPr/>
            </w:pPr>
            <w:r>
              <w:rPr/>
              <w:t> </w:t>
            </w:r>
          </w:p>
        </w:tc>
      </w:tr>
      <w:tr>
        <w:trPr/>
        <w:tc>
          <w:tcPr>
            <w:tcW w:w="34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105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bdr w:val="single" w:sz="2" w:space="1" w:color="000000"/>
              </w:rPr>
            </w:pPr>
            <w:r>
              <w:rPr>
                <w:bdr w:val="single" w:sz="2" w:space="1" w:color="000000"/>
              </w:rPr>
              <w:t> </w:t>
            </w:r>
          </w:p>
        </w:tc>
        <w:tc>
          <w:tcPr>
            <w:tcW w:w="1108"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006" w:type="dxa"/>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34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3,354,724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84,673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(609,911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86,703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2,916,189</w:t>
            </w:r>
          </w:p>
        </w:tc>
        <w:tc>
          <w:tcPr>
            <w:tcW w:w="77" w:type="dxa"/>
            <w:tcBorders/>
            <w:vAlign w:val="center"/>
          </w:tcPr>
          <w:p>
            <w:pPr>
              <w:pStyle w:val="TableContents"/>
              <w:bidi w:val="0"/>
              <w:spacing w:before="0" w:after="283"/>
              <w:jc w:val="left"/>
              <w:rPr/>
            </w:pPr>
            <w:r>
              <w:rPr/>
              <w:t> </w:t>
            </w:r>
          </w:p>
        </w:tc>
      </w:tr>
      <w:tr>
        <w:trPr/>
        <w:tc>
          <w:tcPr>
            <w:tcW w:w="34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double" w:sz="6" w:space="1" w:color="000000"/>
              </w:rPr>
            </w:pPr>
            <w:r>
              <w:rPr>
                <w:bdr w:val="double" w:sz="6" w:space="1" w:color="000000"/>
              </w:rPr>
              <w:t> </w:t>
            </w:r>
          </w:p>
        </w:tc>
        <w:tc>
          <w:tcPr>
            <w:tcW w:w="105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double" w:sz="6" w:space="1" w:color="000000"/>
              </w:rPr>
            </w:pPr>
            <w:r>
              <w:rPr>
                <w:bdr w:val="double" w:sz="6" w:space="1" w:color="000000"/>
              </w:rPr>
              <w:t> </w:t>
            </w:r>
          </w:p>
        </w:tc>
        <w:tc>
          <w:tcPr>
            <w:tcW w:w="1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bdr w:val="double" w:sz="6" w:space="1" w:color="000000"/>
              </w:rPr>
            </w:pPr>
            <w:r>
              <w:rPr>
                <w:bdr w:val="double" w:sz="6" w:space="1" w:color="000000"/>
              </w:rPr>
              <w:t> </w:t>
            </w:r>
          </w:p>
        </w:tc>
        <w:tc>
          <w:tcPr>
            <w:tcW w:w="1108"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1006" w:type="dxa"/>
            <w:tcBorders/>
            <w:vAlign w:val="center"/>
          </w:tcPr>
          <w:p>
            <w:pPr>
              <w:pStyle w:val="TableContents"/>
              <w:bidi w:val="0"/>
              <w:spacing w:before="0" w:after="0"/>
              <w:jc w:val="left"/>
              <w:rPr>
                <w:bdr w:val="double" w:sz="6" w:space="1" w:color="000000"/>
              </w:rPr>
            </w:pPr>
            <w:r>
              <w:rPr>
                <w:bdr w:val="double" w:sz="6" w:space="1" w:color="000000"/>
              </w:rPr>
              <w:t> </w:t>
            </w:r>
          </w:p>
        </w:tc>
        <w:tc>
          <w:tcPr>
            <w:tcW w:w="7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406"/>
        <w:gridCol w:w="120"/>
        <w:gridCol w:w="60"/>
        <w:gridCol w:w="980"/>
        <w:gridCol w:w="60"/>
        <w:gridCol w:w="120"/>
        <w:gridCol w:w="72"/>
        <w:gridCol w:w="1058"/>
        <w:gridCol w:w="155"/>
        <w:gridCol w:w="60"/>
        <w:gridCol w:w="87"/>
        <w:gridCol w:w="1283"/>
        <w:gridCol w:w="155"/>
        <w:gridCol w:w="60"/>
        <w:gridCol w:w="84"/>
        <w:gridCol w:w="1121"/>
        <w:gridCol w:w="60"/>
        <w:gridCol w:w="120"/>
        <w:gridCol w:w="61"/>
        <w:gridCol w:w="1006"/>
        <w:gridCol w:w="77"/>
      </w:tblGrid>
      <w:tr>
        <w:trPr/>
        <w:tc>
          <w:tcPr>
            <w:tcW w:w="34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340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02" w:type="dxa"/>
            <w:gridSpan w:val="18"/>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 2024</w:t>
            </w:r>
          </w:p>
        </w:tc>
        <w:tc>
          <w:tcPr>
            <w:tcW w:w="77" w:type="dxa"/>
            <w:tcBorders/>
            <w:vAlign w:val="center"/>
          </w:tcPr>
          <w:p>
            <w:pPr>
              <w:pStyle w:val="TableContents"/>
              <w:bidi w:val="0"/>
              <w:spacing w:before="0" w:after="283"/>
              <w:jc w:val="left"/>
              <w:rPr/>
            </w:pPr>
            <w:r>
              <w:rPr/>
              <w:t> </w:t>
            </w:r>
          </w:p>
        </w:tc>
      </w:tr>
      <w:tr>
        <w:trPr/>
        <w:tc>
          <w:tcPr>
            <w:tcW w:w="340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Original</w:t>
            </w:r>
          </w:p>
          <w:p>
            <w:pPr>
              <w:pStyle w:val="TableContents"/>
              <w:bidi w:val="0"/>
              <w:spacing w:before="0" w:after="0"/>
              <w:jc w:val="center"/>
              <w:rPr/>
            </w:pPr>
            <w:r>
              <w:rPr/>
            </w:r>
          </w:p>
          <w:p>
            <w:pPr>
              <w:pStyle w:val="TableContents"/>
              <w:bidi w:val="0"/>
              <w:spacing w:before="0" w:after="0"/>
              <w:jc w:val="center"/>
              <w:rPr>
                <w:b/>
                <w:spacing w:val="0"/>
              </w:rPr>
            </w:pPr>
            <w:r>
              <w:rPr>
                <w:b/>
                <w:spacing w:val="0"/>
              </w:rPr>
              <w:t>cost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Unrealized</w:t>
            </w:r>
          </w:p>
          <w:p>
            <w:pPr>
              <w:pStyle w:val="TableContents"/>
              <w:bidi w:val="0"/>
              <w:spacing w:before="0" w:after="0"/>
              <w:jc w:val="center"/>
              <w:rPr/>
            </w:pPr>
            <w:r>
              <w:rPr/>
            </w:r>
          </w:p>
          <w:p>
            <w:pPr>
              <w:pStyle w:val="TableContents"/>
              <w:bidi w:val="0"/>
              <w:spacing w:before="0" w:after="0"/>
              <w:jc w:val="center"/>
              <w:rPr>
                <w:b/>
                <w:spacing w:val="0"/>
              </w:rPr>
            </w:pPr>
            <w:r>
              <w:rPr>
                <w:b/>
                <w:spacing w:val="0"/>
              </w:rPr>
              <w:t>(losses)</w:t>
            </w:r>
          </w:p>
          <w:p>
            <w:pPr>
              <w:pStyle w:val="TableContents"/>
              <w:bidi w:val="0"/>
              <w:spacing w:before="0" w:after="0"/>
              <w:jc w:val="center"/>
              <w:rPr/>
            </w:pPr>
            <w:r>
              <w:rPr/>
            </w:r>
          </w:p>
          <w:p>
            <w:pPr>
              <w:pStyle w:val="TableContents"/>
              <w:bidi w:val="0"/>
              <w:spacing w:before="0" w:after="0"/>
              <w:jc w:val="center"/>
              <w:rPr>
                <w:b/>
                <w:spacing w:val="0"/>
              </w:rPr>
            </w:pPr>
            <w:r>
              <w:rPr>
                <w:b/>
                <w:spacing w:val="0"/>
              </w:rPr>
              <w:t>gains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Accumulated</w:t>
            </w:r>
          </w:p>
          <w:p>
            <w:pPr>
              <w:pStyle w:val="TableContents"/>
              <w:bidi w:val="0"/>
              <w:spacing w:before="0" w:after="0"/>
              <w:jc w:val="center"/>
              <w:rPr/>
            </w:pPr>
            <w:r>
              <w:rPr/>
            </w:r>
          </w:p>
          <w:p>
            <w:pPr>
              <w:pStyle w:val="TableContents"/>
              <w:bidi w:val="0"/>
              <w:spacing w:before="0" w:after="0"/>
              <w:jc w:val="center"/>
              <w:rPr>
                <w:b/>
                <w:spacing w:val="0"/>
              </w:rPr>
            </w:pPr>
            <w:r>
              <w:rPr>
                <w:b/>
                <w:spacing w:val="0"/>
              </w:rPr>
              <w:t>impairment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Translation</w:t>
            </w:r>
          </w:p>
          <w:p>
            <w:pPr>
              <w:pStyle w:val="TableContents"/>
              <w:bidi w:val="0"/>
              <w:spacing w:before="0" w:after="0"/>
              <w:jc w:val="center"/>
              <w:rPr/>
            </w:pPr>
            <w:r>
              <w:rPr/>
            </w:r>
          </w:p>
          <w:p>
            <w:pPr>
              <w:pStyle w:val="TableContents"/>
              <w:bidi w:val="0"/>
              <w:spacing w:before="0" w:after="0"/>
              <w:jc w:val="center"/>
              <w:rPr>
                <w:b/>
                <w:spacing w:val="0"/>
              </w:rPr>
            </w:pPr>
            <w:r>
              <w:rPr>
                <w:b/>
                <w:spacing w:val="0"/>
              </w:rPr>
              <w:t>difference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Balance as</w:t>
            </w:r>
          </w:p>
          <w:p>
            <w:pPr>
              <w:pStyle w:val="TableContents"/>
              <w:bidi w:val="0"/>
              <w:spacing w:before="0" w:after="0"/>
              <w:jc w:val="center"/>
              <w:rPr/>
            </w:pPr>
            <w:r>
              <w:rPr/>
            </w:r>
          </w:p>
          <w:p>
            <w:pPr>
              <w:pStyle w:val="TableContents"/>
              <w:bidi w:val="0"/>
              <w:spacing w:before="0" w:after="0"/>
              <w:jc w:val="center"/>
              <w:rPr>
                <w:b/>
                <w:spacing w:val="0"/>
              </w:rPr>
            </w:pPr>
            <w:r>
              <w:rPr>
                <w:b/>
                <w:spacing w:val="0"/>
              </w:rPr>
              <w:t>of year</w:t>
            </w:r>
          </w:p>
          <w:p>
            <w:pPr>
              <w:pStyle w:val="TableContents"/>
              <w:bidi w:val="0"/>
              <w:spacing w:before="0" w:after="0"/>
              <w:jc w:val="center"/>
              <w:rPr/>
            </w:pPr>
            <w:r>
              <w:rPr/>
            </w:r>
          </w:p>
          <w:p>
            <w:pPr>
              <w:pStyle w:val="TableContents"/>
              <w:bidi w:val="0"/>
              <w:spacing w:before="0" w:after="0"/>
              <w:jc w:val="center"/>
              <w:rPr>
                <w:b/>
                <w:spacing w:val="0"/>
              </w:rPr>
            </w:pPr>
            <w:r>
              <w:rPr>
                <w:b/>
                <w:spacing w:val="0"/>
              </w:rPr>
              <w:t>end</w:t>
            </w:r>
          </w:p>
        </w:tc>
        <w:tc>
          <w:tcPr>
            <w:tcW w:w="77" w:type="dxa"/>
            <w:tcBorders/>
            <w:vAlign w:val="center"/>
          </w:tcPr>
          <w:p>
            <w:pPr>
              <w:pStyle w:val="TableContents"/>
              <w:bidi w:val="0"/>
              <w:spacing w:before="0" w:after="283"/>
              <w:jc w:val="left"/>
              <w:rPr/>
            </w:pPr>
            <w:r>
              <w:rPr/>
              <w:t> </w:t>
            </w:r>
          </w:p>
        </w:tc>
      </w:tr>
      <w:tr>
        <w:trPr/>
        <w:tc>
          <w:tcPr>
            <w:tcW w:w="3406"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67"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34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investments with readily determinable fair value (Note 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332,025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(148,732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3,884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187,177</w:t>
            </w:r>
          </w:p>
        </w:tc>
        <w:tc>
          <w:tcPr>
            <w:tcW w:w="77" w:type="dxa"/>
            <w:tcBorders/>
            <w:shd w:fill="CCEEFF" w:val="clear"/>
            <w:vAlign w:val="center"/>
          </w:tcPr>
          <w:p>
            <w:pPr>
              <w:pStyle w:val="TableContents"/>
              <w:bidi w:val="0"/>
              <w:spacing w:before="0" w:after="283"/>
              <w:jc w:val="left"/>
              <w:rPr/>
            </w:pPr>
            <w:r>
              <w:rPr/>
              <w:t> </w:t>
            </w:r>
          </w:p>
        </w:tc>
      </w:tr>
      <w:tr>
        <w:trPr/>
        <w:tc>
          <w:tcPr>
            <w:tcW w:w="34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Available-for-sale</w:t>
            </w:r>
          </w:p>
          <w:p>
            <w:pPr>
              <w:pStyle w:val="TableContents"/>
              <w:bidi w:val="0"/>
              <w:spacing w:before="0" w:after="0"/>
              <w:jc w:val="left"/>
              <w:rPr>
                <w:rFonts w:ascii="Times New Roman" w:hAnsi="Times New Roman"/>
                <w:sz w:val="20"/>
              </w:rPr>
            </w:pPr>
            <w:r>
              <w:rPr>
                <w:rFonts w:ascii="Times New Roman" w:hAnsi="Times New Roman"/>
                <w:sz w:val="20"/>
              </w:rPr>
              <w:t>debt securities (Note 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57,000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(3,000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54,000</w:t>
            </w:r>
          </w:p>
        </w:tc>
        <w:tc>
          <w:tcPr>
            <w:tcW w:w="77" w:type="dxa"/>
            <w:tcBorders/>
            <w:vAlign w:val="center"/>
          </w:tcPr>
          <w:p>
            <w:pPr>
              <w:pStyle w:val="TableContents"/>
              <w:bidi w:val="0"/>
              <w:spacing w:before="0" w:after="283"/>
              <w:jc w:val="left"/>
              <w:rPr/>
            </w:pPr>
            <w:r>
              <w:rPr/>
              <w:t> </w:t>
            </w:r>
          </w:p>
        </w:tc>
      </w:tr>
      <w:tr>
        <w:trPr/>
        <w:tc>
          <w:tcPr>
            <w:tcW w:w="3406"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Equity investments without readily determinable fair value (Note 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3,221,139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149,182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(355,508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99,499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3,114,312</w:t>
            </w:r>
          </w:p>
        </w:tc>
        <w:tc>
          <w:tcPr>
            <w:tcW w:w="77" w:type="dxa"/>
            <w:tcBorders/>
            <w:shd w:fill="CCEEFF" w:val="clear"/>
            <w:vAlign w:val="center"/>
          </w:tcPr>
          <w:p>
            <w:pPr>
              <w:pStyle w:val="TableContents"/>
              <w:bidi w:val="0"/>
              <w:spacing w:before="0" w:after="283"/>
              <w:jc w:val="left"/>
              <w:rPr/>
            </w:pPr>
            <w:r>
              <w:rPr/>
              <w:t> </w:t>
            </w:r>
          </w:p>
        </w:tc>
      </w:tr>
      <w:tr>
        <w:trPr/>
        <w:tc>
          <w:tcPr>
            <w:tcW w:w="34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single" w:sz="2" w:space="1" w:color="000000"/>
              </w:rPr>
            </w:pPr>
            <w:r>
              <w:rPr>
                <w:bdr w:val="single" w:sz="2" w:space="1" w:color="000000"/>
              </w:rPr>
              <w:t> </w:t>
            </w:r>
          </w:p>
        </w:tc>
        <w:tc>
          <w:tcPr>
            <w:tcW w:w="1058"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single" w:sz="2" w:space="1" w:color="000000"/>
              </w:rPr>
            </w:pPr>
            <w:r>
              <w:rPr>
                <w:bdr w:val="single" w:sz="2" w:space="1" w:color="000000"/>
              </w:rPr>
              <w:t> </w:t>
            </w:r>
          </w:p>
        </w:tc>
        <w:tc>
          <w:tcPr>
            <w:tcW w:w="1283"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bdr w:val="single" w:sz="2" w:space="1" w:color="000000"/>
              </w:rPr>
            </w:pPr>
            <w:r>
              <w:rPr>
                <w:bdr w:val="single" w:sz="2" w:space="1" w:color="000000"/>
              </w:rPr>
              <w:t> </w:t>
            </w:r>
          </w:p>
        </w:tc>
        <w:tc>
          <w:tcPr>
            <w:tcW w:w="1121"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single" w:sz="2" w:space="1" w:color="000000"/>
              </w:rPr>
            </w:pPr>
            <w:r>
              <w:rPr>
                <w:bdr w:val="single" w:sz="2" w:space="1" w:color="000000"/>
              </w:rPr>
              <w:t> </w:t>
            </w:r>
          </w:p>
        </w:tc>
        <w:tc>
          <w:tcPr>
            <w:tcW w:w="1006" w:type="dxa"/>
            <w:tcBorders/>
            <w:vAlign w:val="center"/>
          </w:tcPr>
          <w:p>
            <w:pPr>
              <w:pStyle w:val="TableContents"/>
              <w:bidi w:val="0"/>
              <w:spacing w:before="0" w:after="0"/>
              <w:jc w:val="left"/>
              <w:rPr>
                <w:bdr w:val="single" w:sz="2" w:space="1" w:color="000000"/>
              </w:rPr>
            </w:pPr>
            <w:r>
              <w:rPr>
                <w:bdr w:val="single" w:sz="2" w:space="1" w:color="000000"/>
              </w:rPr>
              <w:t> </w:t>
            </w:r>
          </w:p>
        </w:tc>
        <w:tc>
          <w:tcPr>
            <w:tcW w:w="77" w:type="dxa"/>
            <w:tcBorders/>
            <w:vAlign w:val="center"/>
          </w:tcPr>
          <w:p>
            <w:pPr>
              <w:pStyle w:val="TableContents"/>
              <w:bidi w:val="0"/>
              <w:spacing w:before="0" w:after="283"/>
              <w:jc w:val="left"/>
              <w:rPr/>
            </w:pPr>
            <w:r>
              <w:rPr/>
              <w:t> </w:t>
            </w:r>
          </w:p>
        </w:tc>
      </w:tr>
      <w:tr>
        <w:trPr/>
        <w:tc>
          <w:tcPr>
            <w:tcW w:w="340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3,610,164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58" w:type="dxa"/>
            <w:tcBorders/>
            <w:vAlign w:val="center"/>
          </w:tcPr>
          <w:p>
            <w:pPr>
              <w:pStyle w:val="TableContents"/>
              <w:bidi w:val="0"/>
              <w:spacing w:before="0" w:after="283"/>
              <w:jc w:val="right"/>
              <w:rPr/>
            </w:pPr>
            <w:r>
              <w:rPr/>
              <w:t>450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(358,508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121" w:type="dxa"/>
            <w:tcBorders/>
            <w:vAlign w:val="center"/>
          </w:tcPr>
          <w:p>
            <w:pPr>
              <w:pStyle w:val="TableContents"/>
              <w:bidi w:val="0"/>
              <w:spacing w:before="0" w:after="283"/>
              <w:jc w:val="right"/>
              <w:rPr/>
            </w:pPr>
            <w:r>
              <w:rPr/>
              <w:t>103,383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right"/>
              <w:rPr/>
            </w:pPr>
            <w:r>
              <w:rPr/>
              <w:t>3,355,489</w:t>
            </w:r>
          </w:p>
        </w:tc>
        <w:tc>
          <w:tcPr>
            <w:tcW w:w="77" w:type="dxa"/>
            <w:tcBorders/>
            <w:vAlign w:val="center"/>
          </w:tcPr>
          <w:p>
            <w:pPr>
              <w:pStyle w:val="TableContents"/>
              <w:bidi w:val="0"/>
              <w:spacing w:before="0" w:after="283"/>
              <w:jc w:val="left"/>
              <w:rPr/>
            </w:pPr>
            <w:r>
              <w:rPr/>
              <w:t> </w:t>
            </w:r>
          </w:p>
        </w:tc>
      </w:tr>
      <w:tr>
        <w:trPr/>
        <w:tc>
          <w:tcPr>
            <w:tcW w:w="34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bdr w:val="double" w:sz="6" w:space="1" w:color="000000"/>
              </w:rPr>
            </w:pPr>
            <w:r>
              <w:rPr>
                <w:bdr w:val="double" w:sz="6" w:space="1" w:color="000000"/>
              </w:rPr>
              <w:t> </w:t>
            </w:r>
          </w:p>
        </w:tc>
        <w:tc>
          <w:tcPr>
            <w:tcW w:w="1058"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0"/>
              <w:jc w:val="left"/>
              <w:rPr>
                <w:bdr w:val="double" w:sz="6" w:space="1" w:color="000000"/>
              </w:rPr>
            </w:pPr>
            <w:r>
              <w:rPr>
                <w:bdr w:val="double" w:sz="6" w:space="1" w:color="000000"/>
              </w:rPr>
              <w:t> </w:t>
            </w:r>
          </w:p>
        </w:tc>
        <w:tc>
          <w:tcPr>
            <w:tcW w:w="1283"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bdr w:val="double" w:sz="6" w:space="1" w:color="000000"/>
              </w:rPr>
            </w:pPr>
            <w:r>
              <w:rPr>
                <w:bdr w:val="double" w:sz="6" w:space="1" w:color="000000"/>
              </w:rPr>
              <w:t> </w:t>
            </w:r>
          </w:p>
        </w:tc>
        <w:tc>
          <w:tcPr>
            <w:tcW w:w="1121"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0"/>
              <w:jc w:val="left"/>
              <w:rPr>
                <w:bdr w:val="double" w:sz="6" w:space="1" w:color="000000"/>
              </w:rPr>
            </w:pPr>
            <w:r>
              <w:rPr>
                <w:bdr w:val="double" w:sz="6" w:space="1" w:color="000000"/>
              </w:rPr>
              <w:t> </w:t>
            </w:r>
          </w:p>
        </w:tc>
        <w:tc>
          <w:tcPr>
            <w:tcW w:w="1006" w:type="dxa"/>
            <w:tcBorders/>
            <w:vAlign w:val="center"/>
          </w:tcPr>
          <w:p>
            <w:pPr>
              <w:pStyle w:val="TableContents"/>
              <w:bidi w:val="0"/>
              <w:spacing w:before="0" w:after="0"/>
              <w:jc w:val="left"/>
              <w:rPr>
                <w:bdr w:val="double" w:sz="6" w:space="1" w:color="000000"/>
              </w:rPr>
            </w:pPr>
            <w:r>
              <w:rPr>
                <w:bdr w:val="double" w:sz="6" w:space="1" w:color="000000"/>
              </w:rPr>
              <w:t> </w:t>
            </w:r>
          </w:p>
        </w:tc>
        <w:tc>
          <w:tcPr>
            <w:tcW w:w="77"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75"/>
        <w:gridCol w:w="290"/>
        <w:gridCol w:w="479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47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Equity investments with readily determinable fair value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2022, 2023 and 2024, disposal of equity investments with readily determinable fair value generated proceeds of RMB4,760, nil and RMB7,405, resulting in realized gain of RMB2,412, nil and RMB899, respectively. The Group recorded mark to market adjustments of RMB(62,390), RMB(22,723) and RMB13,403 in investment gain(loss) and revaluation of investments in the consolidated statements of income and comprehensive income during the years ended December 31, 2022, 2023 and 2024, respectively. Dividend of RMB22, nil and RMB187 was declared to the Group and recorded in investment gain(loss) and revaluation of investments during the years ended December 31, 2022, 2023 and 2024 respectively. During the year ended December 31, 2024, certain equity investments with readily determinable fair value which were fully impaired with accumulated impairment loss of RMB48,634 </w:t>
      </w:r>
    </w:p>
    <w:p>
      <w:pPr>
        <w:pStyle w:val="TextBody"/>
        <w:bidi w:val="0"/>
        <w:spacing w:before="120" w:after="0"/>
        <w:jc w:val="left"/>
        <w:rPr>
          <w:rFonts w:ascii="Times New Roman" w:hAnsi="Times New Roman"/>
          <w:spacing w:val="0"/>
          <w:sz w:val="20"/>
        </w:rPr>
      </w:pPr>
      <w:r>
        <w:rPr>
          <w:rFonts w:ascii="Times New Roman" w:hAnsi="Times New Roman"/>
          <w:spacing w:val="0"/>
          <w:sz w:val="20"/>
        </w:rPr>
        <w:t>were written off as the Group has determined that is not probable for the balance to be recovered or the investees were liquidated.</w:t>
      </w:r>
    </w:p>
    <w:p>
      <w:pPr>
        <w:pStyle w:val="TextBody"/>
        <w:bidi w:val="0"/>
        <w:spacing w:before="0" w:after="0"/>
        <w:ind w:left="0" w:right="0" w:hanging="0"/>
        <w:jc w:val="left"/>
        <w:rPr>
          <w:sz w:val="12"/>
        </w:rPr>
      </w:pPr>
      <w:r>
        <w:rPr>
          <w:sz w:val="12"/>
        </w:rPr>
      </w:r>
    </w:p>
    <w:tbl>
      <w:tblPr>
        <w:tblW w:w="1945" w:type="dxa"/>
        <w:jc w:val="left"/>
        <w:tblInd w:w="0" w:type="dxa"/>
        <w:tblLayout w:type="fixed"/>
        <w:tblCellMar>
          <w:top w:w="0" w:type="dxa"/>
          <w:left w:w="0" w:type="dxa"/>
          <w:bottom w:w="0" w:type="dxa"/>
          <w:right w:w="0" w:type="dxa"/>
        </w:tblCellMar>
      </w:tblPr>
      <w:tblGrid>
        <w:gridCol w:w="75"/>
        <w:gridCol w:w="305"/>
        <w:gridCol w:w="156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15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Available-for-sale</w:t>
            </w:r>
          </w:p>
          <w:p>
            <w:pPr>
              <w:pStyle w:val="TableContents"/>
              <w:bidi w:val="0"/>
              <w:spacing w:before="0" w:after="0"/>
              <w:jc w:val="left"/>
              <w:rPr>
                <w:rFonts w:ascii="Times New Roman" w:hAnsi="Times New Roman"/>
                <w:b/>
                <w:sz w:val="20"/>
              </w:rPr>
            </w:pPr>
            <w:r>
              <w:rPr>
                <w:rFonts w:ascii="Times New Roman" w:hAnsi="Times New Roman"/>
                <w:b/>
                <w:sz w:val="20"/>
              </w:rPr>
              <w:t xml:space="preserve">debt securities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2022, 2023 and 2024, disposal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generated proceeds of nil, nil and RMB185, resulting in realized loss of nil, nil and RMB2,314, respectively. The Group recorded impairment loss of nil, nil and RMB3,000 for years ended December 31, 2022, 2023 and 2024, respectively. During the year ended December 31, 2024, certain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available-for-sale</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which were fully impaired with accumulated impairment loss of RMB35,073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were written off as the Group has determined that is not probable for the balance to be recovered or the investees were liquidated.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1945" w:type="dxa"/>
        <w:jc w:val="left"/>
        <w:tblInd w:w="0" w:type="dxa"/>
        <w:tblLayout w:type="fixed"/>
        <w:tblCellMar>
          <w:top w:w="0" w:type="dxa"/>
          <w:left w:w="0" w:type="dxa"/>
          <w:bottom w:w="0" w:type="dxa"/>
          <w:right w:w="0" w:type="dxa"/>
        </w:tblCellMar>
      </w:tblPr>
      <w:tblGrid>
        <w:gridCol w:w="335"/>
        <w:gridCol w:w="1610"/>
      </w:tblGrid>
      <w:tr>
        <w:trPr/>
        <w:tc>
          <w:tcPr>
            <w:tcW w:w="335" w:type="dxa"/>
            <w:tcBorders/>
            <w:vAlign w:val="center"/>
          </w:tcPr>
          <w:p>
            <w:pPr>
              <w:pStyle w:val="TableContents"/>
              <w:bidi w:val="0"/>
              <w:spacing w:before="0" w:after="0"/>
              <w:jc w:val="left"/>
              <w:rPr>
                <w:b/>
                <w:spacing w:val="0"/>
              </w:rPr>
            </w:pPr>
            <w:r>
              <w:rPr>
                <w:b/>
                <w:spacing w:val="0"/>
              </w:rPr>
              <w:t>11.</w:t>
            </w:r>
          </w:p>
        </w:tc>
        <w:tc>
          <w:tcPr>
            <w:tcW w:w="161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Other investments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Notes: (Continued) </w:t>
      </w:r>
    </w:p>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275"/>
        <w:gridCol w:w="506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(c)</w:t>
            </w:r>
          </w:p>
        </w:tc>
        <w:tc>
          <w:tcPr>
            <w:tcW w:w="50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Equity investments without readily determinable fair value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2022, 2023 and 2024, disposal of equity investments without readily determinable fair value which were fully impaired with accumulated impairment loss of nil, nil and RMB36,000 generated proceeds of nil, nil and RMB7,000, resulting in disposal gain of nil, nil and RMB7,000 recorded in investment gain(loss) and revaluation of investments. The Group recorded impairment loss of RMB93,904, RMB19,105 and RMB58,246 for years ended December 31, 2022, 2023 and 2024, respectively for the equity investments without readily determinable fair value. Dividend of RMB28,612, RMB29,790 and RMB233,646 was declared and recorded in investment gain(loss) and revaluation of investments during the years ended December 31, 2022, 2023 and 2024, respectively. During the year ended December 31, 2023 and 2024, dividends of RMB28,526 and RMB225,212 that was declared and reinvested into the equity investments without readily determinable fair value, respectively. During the years ended December 31, 2022, 2023 and 2024, fair value changes recognized for equity investments which were measured using NAV practical expedient were RMB275,217, RMB(25,122) and RMB(103,482), respectively. During the year ended December 31, 2024, certain equity investments without readily determinable fair value which were fully impaired with accumulated impairment loss of RMB192,942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were written off as the Group has determined that is not probable for the balance to be recovered or the investees are liquidated.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335"/>
        <w:gridCol w:w="3935"/>
      </w:tblGrid>
      <w:tr>
        <w:trPr/>
        <w:tc>
          <w:tcPr>
            <w:tcW w:w="335" w:type="dxa"/>
            <w:tcBorders/>
            <w:vAlign w:val="center"/>
          </w:tcPr>
          <w:p>
            <w:pPr>
              <w:pStyle w:val="TableContents"/>
              <w:bidi w:val="0"/>
              <w:spacing w:before="0" w:after="0"/>
              <w:jc w:val="left"/>
              <w:rPr>
                <w:b/>
                <w:spacing w:val="0"/>
              </w:rPr>
            </w:pPr>
            <w:r>
              <w:rPr>
                <w:b/>
                <w:spacing w:val="0"/>
              </w:rPr>
              <w:t>12.</w:t>
            </w:r>
          </w:p>
        </w:tc>
        <w:tc>
          <w:tcPr>
            <w:tcW w:w="39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Accrued expenses and other current liabilities </w:t>
            </w:r>
          </w:p>
        </w:tc>
      </w:tr>
    </w:tbl>
    <w:p>
      <w:pPr>
        <w:pStyle w:val="TextBody"/>
        <w:bidi w:val="0"/>
        <w:spacing w:before="0" w:after="0"/>
        <w:jc w:val="left"/>
        <w:rPr/>
      </w:pPr>
      <w:r>
        <w:rPr/>
        <w:t> </w:t>
      </w:r>
    </w:p>
    <w:tbl>
      <w:tblPr>
        <w:tblW w:w="7455" w:type="dxa"/>
        <w:jc w:val="left"/>
        <w:tblInd w:w="0" w:type="dxa"/>
        <w:tblLayout w:type="fixed"/>
        <w:tblCellMar>
          <w:top w:w="0" w:type="dxa"/>
          <w:left w:w="0" w:type="dxa"/>
          <w:bottom w:w="0" w:type="dxa"/>
          <w:right w:w="0" w:type="dxa"/>
        </w:tblCellMar>
      </w:tblPr>
      <w:tblGrid>
        <w:gridCol w:w="5000"/>
        <w:gridCol w:w="120"/>
        <w:gridCol w:w="60"/>
        <w:gridCol w:w="980"/>
        <w:gridCol w:w="60"/>
        <w:gridCol w:w="120"/>
        <w:gridCol w:w="60"/>
        <w:gridCol w:w="980"/>
        <w:gridCol w:w="75"/>
      </w:tblGrid>
      <w:tr>
        <w:trPr/>
        <w:tc>
          <w:tcPr>
            <w:tcW w:w="5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0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advertising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1,191,189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1,101,844</w:t>
            </w:r>
          </w:p>
        </w:tc>
        <w:tc>
          <w:tcPr>
            <w:tcW w:w="7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shipping and handling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1,642,964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1,440,908</w:t>
            </w:r>
          </w:p>
        </w:tc>
        <w:tc>
          <w:tcPr>
            <w:tcW w:w="7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Amounts received on behalf of third-party merchants (Note 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1,968,213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2,305,545</w:t>
            </w:r>
          </w:p>
        </w:tc>
        <w:tc>
          <w:tcPr>
            <w:tcW w:w="7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payroll and social benefits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790,406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685,021</w:t>
            </w:r>
          </w:p>
        </w:tc>
        <w:tc>
          <w:tcPr>
            <w:tcW w:w="7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Deposits from vendors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562,916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587,339</w:t>
            </w:r>
          </w:p>
        </w:tc>
        <w:tc>
          <w:tcPr>
            <w:tcW w:w="7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tax payables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646,677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558,515</w:t>
            </w:r>
          </w:p>
        </w:tc>
        <w:tc>
          <w:tcPr>
            <w:tcW w:w="7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tax payables (Note b)</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424,699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444,836</w:t>
            </w:r>
          </w:p>
        </w:tc>
        <w:tc>
          <w:tcPr>
            <w:tcW w:w="7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rental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80,338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64,436</w:t>
            </w:r>
          </w:p>
        </w:tc>
        <w:tc>
          <w:tcPr>
            <w:tcW w:w="7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Accrued administrative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425,236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339,262</w:t>
            </w:r>
          </w:p>
        </w:tc>
        <w:tc>
          <w:tcPr>
            <w:tcW w:w="7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Refund liability (Note 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494,796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510,655</w:t>
            </w:r>
          </w:p>
        </w:tc>
        <w:tc>
          <w:tcPr>
            <w:tcW w:w="7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Cash-settled share-based compensation (Note 24(c))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999,055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1,258,189</w:t>
            </w:r>
          </w:p>
        </w:tc>
        <w:tc>
          <w:tcPr>
            <w:tcW w:w="7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Loan from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shareholders (Note 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144,300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206,000</w:t>
            </w:r>
          </w:p>
        </w:tc>
        <w:tc>
          <w:tcPr>
            <w:tcW w:w="75" w:type="dxa"/>
            <w:tcBorders/>
            <w:vAlign w:val="center"/>
          </w:tcPr>
          <w:p>
            <w:pPr>
              <w:pStyle w:val="TableContents"/>
              <w:bidi w:val="0"/>
              <w:spacing w:before="0" w:after="283"/>
              <w:jc w:val="left"/>
              <w:rPr/>
            </w:pPr>
            <w:r>
              <w:rPr/>
              <w:t> </w:t>
            </w:r>
          </w:p>
        </w:tc>
      </w:tr>
      <w:tr>
        <w:trPr/>
        <w:tc>
          <w:tcPr>
            <w:tcW w:w="50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189,660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160,871</w:t>
            </w:r>
          </w:p>
        </w:tc>
        <w:tc>
          <w:tcPr>
            <w:tcW w:w="75" w:type="dxa"/>
            <w:tcBorders/>
            <w:shd w:fill="CCEEFF" w:val="clear"/>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9,560,449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9,663,421</w:t>
            </w:r>
          </w:p>
        </w:tc>
        <w:tc>
          <w:tcPr>
            <w:tcW w:w="75" w:type="dxa"/>
            <w:tcBorders/>
            <w:vAlign w:val="center"/>
          </w:tcPr>
          <w:p>
            <w:pPr>
              <w:pStyle w:val="TableContents"/>
              <w:bidi w:val="0"/>
              <w:spacing w:before="0" w:after="283"/>
              <w:jc w:val="left"/>
              <w:rPr/>
            </w:pPr>
            <w:r>
              <w:rPr/>
              <w:t> </w:t>
            </w:r>
          </w:p>
        </w:tc>
      </w:tr>
      <w:tr>
        <w:trPr/>
        <w:tc>
          <w:tcPr>
            <w:tcW w:w="50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(a)</w:t>
            </w:r>
          </w:p>
        </w:tc>
        <w:tc>
          <w:tcPr>
            <w:tcW w:w="9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the cash collected on behalf of third-party merchants who sold their goods or services through the platforms and cash collected on behalf of the lessee of Shan Shan Outlets related to the consideration for goods sold in outlets.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(b)</w:t>
            </w:r>
          </w:p>
        </w:tc>
        <w:tc>
          <w:tcPr>
            <w:tcW w:w="98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Amounts represent VAT and related surcharges, PRC individual income tax of employees withheld by the Group, tariffs, import VAT and consumption tax pursuant to the Circular on Tax Policy for Cross-border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E-commerce</w:t>
            </w:r>
          </w:p>
          <w:p>
            <w:pPr>
              <w:pStyle w:val="TableContents"/>
              <w:bidi w:val="0"/>
              <w:spacing w:before="0" w:after="0"/>
              <w:jc w:val="left"/>
              <w:rPr>
                <w:rFonts w:ascii="Times New Roman" w:hAnsi="Times New Roman"/>
                <w:sz w:val="20"/>
              </w:rPr>
            </w:pPr>
            <w:r>
              <w:rPr>
                <w:rFonts w:ascii="Times New Roman" w:hAnsi="Times New Roman"/>
                <w:sz w:val="20"/>
              </w:rPr>
              <w:t xml:space="preserve">Retail Imports.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(c)</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Group offers online customers with an unconditional right of return for a period of 7 days upon receipt of products on sales from its platforms. Accordingly, the Group estimates the expected customer merchandize returns, based on historical return patterns, to record the revenue reversal and a corresponding refund liability which is included in accrued expenses and other current liabilities.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75"/>
        <w:gridCol w:w="290"/>
        <w:gridCol w:w="56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Balance mainly represents loans from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 xml:space="preserve">interests shareholders of Shan Shan Outlets for the outlets’ operation.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335"/>
        <w:gridCol w:w="2495"/>
      </w:tblGrid>
      <w:tr>
        <w:trPr/>
        <w:tc>
          <w:tcPr>
            <w:tcW w:w="335" w:type="dxa"/>
            <w:tcBorders/>
            <w:vAlign w:val="center"/>
          </w:tcPr>
          <w:p>
            <w:pPr>
              <w:pStyle w:val="TableContents"/>
              <w:bidi w:val="0"/>
              <w:spacing w:before="0" w:after="0"/>
              <w:jc w:val="left"/>
              <w:rPr>
                <w:b/>
                <w:spacing w:val="0"/>
              </w:rPr>
            </w:pPr>
            <w:r>
              <w:rPr>
                <w:b/>
                <w:spacing w:val="0"/>
              </w:rPr>
              <w:t>13.</w:t>
            </w:r>
          </w:p>
        </w:tc>
        <w:tc>
          <w:tcPr>
            <w:tcW w:w="24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Employee retirement benefit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Full time employees in the PRC participate in a government mandated defined contribution plan pursuant to which certain pension benefits, medical care, unemployment insurance, employee housing fund and other welfare benefits are provided to employees. The PRC labor regulations require the Group to make contributions based on certain percentages of the employees’ basic salaries. Other than the contribution, there is no further obligation under these plans. The total contributions made and accrued for such employee benefits were RMB370,055, RMB455,559 and RMB592,786 for the years ended December 31, 2022, 2023 and 2024,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respectively.</w:t>
      </w:r>
    </w:p>
    <w:p>
      <w:pPr>
        <w:pStyle w:val="TextBody"/>
        <w:bidi w:val="0"/>
        <w:spacing w:before="0" w:after="0"/>
        <w:jc w:val="left"/>
        <w:rPr/>
      </w:pPr>
      <w:r>
        <w:rPr/>
        <w:t> </w:t>
      </w:r>
    </w:p>
    <w:tbl>
      <w:tblPr>
        <w:tblW w:w="1840" w:type="dxa"/>
        <w:jc w:val="left"/>
        <w:tblInd w:w="0" w:type="dxa"/>
        <w:tblLayout w:type="fixed"/>
        <w:tblCellMar>
          <w:top w:w="0" w:type="dxa"/>
          <w:left w:w="0" w:type="dxa"/>
          <w:bottom w:w="0" w:type="dxa"/>
          <w:right w:w="0" w:type="dxa"/>
        </w:tblCellMar>
      </w:tblPr>
      <w:tblGrid>
        <w:gridCol w:w="335"/>
        <w:gridCol w:w="1505"/>
      </w:tblGrid>
      <w:tr>
        <w:trPr/>
        <w:tc>
          <w:tcPr>
            <w:tcW w:w="335" w:type="dxa"/>
            <w:tcBorders/>
            <w:vAlign w:val="center"/>
          </w:tcPr>
          <w:p>
            <w:pPr>
              <w:pStyle w:val="TableContents"/>
              <w:bidi w:val="0"/>
              <w:spacing w:before="0" w:after="0"/>
              <w:jc w:val="left"/>
              <w:rPr>
                <w:b/>
                <w:spacing w:val="0"/>
              </w:rPr>
            </w:pPr>
            <w:r>
              <w:rPr>
                <w:b/>
                <w:spacing w:val="0"/>
              </w:rPr>
              <w:t>14.</w:t>
            </w:r>
          </w:p>
        </w:tc>
        <w:tc>
          <w:tcPr>
            <w:tcW w:w="15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Short-term loans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Components of the outstanding short-term loans are as follows: </w:t>
      </w:r>
    </w:p>
    <w:p>
      <w:pPr>
        <w:pStyle w:val="TextBody"/>
        <w:bidi w:val="0"/>
        <w:spacing w:before="0" w:after="0"/>
        <w:jc w:val="left"/>
        <w:rPr/>
      </w:pPr>
      <w:r>
        <w:rPr/>
        <w:t> </w:t>
      </w:r>
    </w:p>
    <w:tbl>
      <w:tblPr>
        <w:tblW w:w="4740" w:type="dxa"/>
        <w:jc w:val="left"/>
        <w:tblInd w:w="0" w:type="dxa"/>
        <w:tblLayout w:type="fixed"/>
        <w:tblCellMar>
          <w:top w:w="0" w:type="dxa"/>
          <w:left w:w="0" w:type="dxa"/>
          <w:bottom w:w="0" w:type="dxa"/>
          <w:right w:w="0" w:type="dxa"/>
        </w:tblCellMar>
      </w:tblPr>
      <w:tblGrid>
        <w:gridCol w:w="2285"/>
        <w:gridCol w:w="120"/>
        <w:gridCol w:w="60"/>
        <w:gridCol w:w="980"/>
        <w:gridCol w:w="60"/>
        <w:gridCol w:w="120"/>
        <w:gridCol w:w="60"/>
        <w:gridCol w:w="980"/>
        <w:gridCol w:w="75"/>
      </w:tblGrid>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RMB denominated (Note 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1,424,486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2,397,000</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USD denominated (Note 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2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EUR denominated (Note 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1,090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2,629</w:t>
            </w:r>
          </w:p>
        </w:tc>
        <w:tc>
          <w:tcPr>
            <w:tcW w:w="75" w:type="dxa"/>
            <w:tcBorders/>
            <w:shd w:fill="CCEEFF" w:val="clear"/>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1,425,576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2,399,629</w:t>
            </w:r>
          </w:p>
        </w:tc>
        <w:tc>
          <w:tcPr>
            <w:tcW w:w="75" w:type="dxa"/>
            <w:tcBorders/>
            <w:vAlign w:val="center"/>
          </w:tcPr>
          <w:p>
            <w:pPr>
              <w:pStyle w:val="TableContents"/>
              <w:bidi w:val="0"/>
              <w:spacing w:before="0" w:after="283"/>
              <w:jc w:val="left"/>
              <w:rPr/>
            </w:pPr>
            <w:r>
              <w:rPr/>
              <w:t> </w:t>
            </w:r>
          </w:p>
        </w:tc>
      </w:tr>
      <w:tr>
        <w:trPr/>
        <w:tc>
          <w:tcPr>
            <w:tcW w:w="2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(a)</w:t>
            </w:r>
          </w:p>
        </w:tc>
        <w:tc>
          <w:tcPr>
            <w:tcW w:w="9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During the year ended December 31, 2023, the Group entered into new RMB denominated revolving credit facilities for a total credit of up to RMB7.46 </w:t>
            </w:r>
          </w:p>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billion</w:t>
            </w:r>
          </w:p>
          <w:p>
            <w:pPr>
              <w:pStyle w:val="TableContents"/>
              <w:bidi w:val="0"/>
              <w:spacing w:before="0" w:after="0"/>
              <w:jc w:val="left"/>
              <w:rPr>
                <w:rFonts w:ascii="Times New Roman" w:hAnsi="Times New Roman"/>
                <w:sz w:val="20"/>
              </w:rPr>
            </w:pPr>
            <w:r>
              <w:rPr>
                <w:rFonts w:ascii="Times New Roman" w:hAnsi="Times New Roman"/>
                <w:sz w:val="20"/>
              </w:rPr>
              <w:t>, in which RMB424.5 million was drawn down and outstanding as short-term loans and RMB1.00 </w:t>
            </w:r>
          </w:p>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billion</w:t>
            </w:r>
          </w:p>
          <w:p>
            <w:pPr>
              <w:pStyle w:val="TableContents"/>
              <w:bidi w:val="0"/>
              <w:spacing w:before="0" w:after="0"/>
              <w:jc w:val="left"/>
              <w:rPr>
                <w:rFonts w:ascii="Times New Roman" w:hAnsi="Times New Roman"/>
                <w:sz w:val="20"/>
              </w:rPr>
            </w:pPr>
            <w:r>
              <w:rPr>
                <w:rFonts w:ascii="Times New Roman" w:hAnsi="Times New Roman"/>
                <w:sz w:val="20"/>
              </w:rPr>
              <w:t xml:space="preserve">was drawn down and outstanding under factoring arrangement as of December 31, 2023, with fixed interest rate ranging from 1.6% to 2.3% per annum, and RMB600.8 million was utilized for issuing letter of guarantee for procurement. </w:t>
            </w:r>
          </w:p>
        </w:tc>
      </w:tr>
    </w:tbl>
    <w:p>
      <w:pPr>
        <w:pStyle w:val="TextBody"/>
        <w:bidi w:val="0"/>
        <w:spacing w:before="120" w:after="0"/>
        <w:jc w:val="left"/>
        <w:rPr>
          <w:rFonts w:ascii="Times New Roman" w:hAnsi="Times New Roman"/>
          <w:sz w:val="20"/>
        </w:rPr>
      </w:pPr>
      <w:r>
        <w:rPr>
          <w:rFonts w:ascii="Times New Roman" w:hAnsi="Times New Roman"/>
          <w:sz w:val="20"/>
        </w:rPr>
        <w:t>During the year ending on December 31, 2024, the Group repaid the outstanding balances under the facilities as of December 31, 2023 and the letter of guarantee for procurement amounted RMB540.5 million was expired. The Group entered into various new RMB denominated revolving credit facilities for a total credit of up to RMB12.93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billion</w:t>
      </w:r>
    </w:p>
    <w:p>
      <w:pPr>
        <w:pStyle w:val="TextBody"/>
        <w:bidi w:val="0"/>
        <w:spacing w:before="120" w:after="0"/>
        <w:jc w:val="left"/>
        <w:rPr>
          <w:rFonts w:ascii="Times New Roman" w:hAnsi="Times New Roman"/>
          <w:sz w:val="20"/>
        </w:rPr>
      </w:pPr>
      <w:r>
        <w:rPr>
          <w:rFonts w:ascii="Times New Roman" w:hAnsi="Times New Roman"/>
          <w:sz w:val="20"/>
        </w:rPr>
        <w:t>, in which RMB720.0 million was drawn down and outstanding as short-term loans and RMB1.68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billion</w:t>
      </w:r>
    </w:p>
    <w:p>
      <w:pPr>
        <w:pStyle w:val="TextBody"/>
        <w:bidi w:val="0"/>
        <w:spacing w:before="120" w:after="0"/>
        <w:jc w:val="left"/>
        <w:rPr>
          <w:rFonts w:ascii="Times New Roman" w:hAnsi="Times New Roman"/>
          <w:sz w:val="20"/>
        </w:rPr>
      </w:pPr>
      <w:r>
        <w:rPr>
          <w:rFonts w:ascii="Times New Roman" w:hAnsi="Times New Roman"/>
          <w:sz w:val="20"/>
        </w:rPr>
        <w:t xml:space="preserve">was drawn down and outstanding under factoring arrangement as of December 31, 2024, with fixed interest rate ranging from 1.25% to 1.80% per annum, and RMB652.1 million was utilized for issuing letter of guarantee for procurement.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1"/>
        <w:gridCol w:w="9879"/>
      </w:tblGrid>
      <w:tr>
        <w:trPr/>
        <w:tc>
          <w:tcPr>
            <w:tcW w:w="7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(b)</w:t>
            </w:r>
          </w:p>
        </w:tc>
        <w:tc>
          <w:tcPr>
            <w:tcW w:w="987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During the year ending December 31, 2023, the Group fully repaid the outstanding balance under these facilities as of December 31, 2022 and amended the facility for a total credit of up to US$225.0 million (approximately RMB1.60</w:t>
            </w:r>
          </w:p>
          <w:p>
            <w:pPr>
              <w:pStyle w:val="TableContents"/>
              <w:bidi w:val="0"/>
              <w:spacing w:before="0" w:after="0"/>
              <w:ind w:left="0" w:right="0" w:hanging="0"/>
              <w:jc w:val="left"/>
              <w:rPr>
                <w:spacing w:val="0"/>
              </w:rPr>
            </w:pPr>
            <w:r>
              <w:rPr>
                <w:spacing w:val="0"/>
              </w:rPr>
              <w:t> </w:t>
            </w:r>
            <w:r>
              <w:rPr>
                <w:rFonts w:ascii="Times New Roman" w:hAnsi="Times New Roman"/>
                <w:spacing w:val="0"/>
                <w:sz w:val="20"/>
              </w:rPr>
              <w:t>billion</w:t>
            </w:r>
          </w:p>
          <w:p>
            <w:pPr>
              <w:pStyle w:val="TableContents"/>
              <w:bidi w:val="0"/>
              <w:spacing w:before="0" w:after="0"/>
              <w:jc w:val="left"/>
              <w:rPr>
                <w:rFonts w:ascii="Times New Roman" w:hAnsi="Times New Roman"/>
                <w:sz w:val="20"/>
              </w:rPr>
            </w:pPr>
            <w:r>
              <w:rPr>
                <w:rFonts w:ascii="Times New Roman" w:hAnsi="Times New Roman"/>
                <w:sz w:val="20"/>
              </w:rPr>
              <w:t xml:space="preserve">), in which </w:t>
            </w:r>
          </w:p>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HK$6.0 million (approximately RMB5.5 million and US$0.8 million)</w:t>
            </w:r>
          </w:p>
          <w:p>
            <w:pPr>
              <w:pStyle w:val="TableContents"/>
              <w:bidi w:val="0"/>
              <w:spacing w:before="0" w:after="0"/>
              <w:jc w:val="left"/>
              <w:rPr>
                <w:spacing w:val="0"/>
              </w:rPr>
            </w:pPr>
            <w:r>
              <w:rPr>
                <w:spacing w:val="0"/>
              </w:rPr>
              <w:t> </w:t>
            </w:r>
          </w:p>
          <w:p>
            <w:pPr>
              <w:pStyle w:val="TableContents"/>
              <w:bidi w:val="0"/>
              <w:spacing w:before="0" w:after="0"/>
              <w:jc w:val="left"/>
              <w:rPr>
                <w:rFonts w:ascii="Times New Roman" w:hAnsi="Times New Roman"/>
                <w:sz w:val="20"/>
              </w:rPr>
            </w:pPr>
            <w:r>
              <w:rPr>
                <w:rFonts w:ascii="Times New Roman" w:hAnsi="Times New Roman"/>
                <w:sz w:val="20"/>
              </w:rPr>
              <w:t xml:space="preserve">was </w:t>
            </w:r>
          </w:p>
          <w:p>
            <w:pPr>
              <w:pStyle w:val="TableContents"/>
              <w:bidi w:val="0"/>
              <w:spacing w:before="0" w:after="0"/>
              <w:ind w:left="0" w:right="0" w:hanging="0"/>
              <w:jc w:val="left"/>
              <w:rPr>
                <w:rFonts w:ascii="Times New Roman" w:hAnsi="Times New Roman"/>
                <w:spacing w:val="0"/>
                <w:sz w:val="20"/>
              </w:rPr>
            </w:pPr>
            <w:r>
              <w:rPr>
                <w:rFonts w:ascii="Times New Roman" w:hAnsi="Times New Roman"/>
                <w:spacing w:val="0"/>
                <w:sz w:val="20"/>
              </w:rPr>
              <w:t>utilized for issuing letter of guarantee for procurement</w:t>
            </w:r>
          </w:p>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2023.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During the year ending December 31, 2024, the Group amended the facilities for a total credit of up to US$</w:t>
      </w:r>
    </w:p>
    <w:p>
      <w:pPr>
        <w:pStyle w:val="TextBody"/>
        <w:bidi w:val="0"/>
        <w:spacing w:before="120" w:after="0"/>
        <w:jc w:val="left"/>
        <w:rPr>
          <w:rFonts w:ascii="Times New Roman" w:hAnsi="Times New Roman"/>
          <w:sz w:val="20"/>
        </w:rPr>
      </w:pPr>
      <w:r>
        <w:rPr>
          <w:rFonts w:ascii="Times New Roman" w:hAnsi="Times New Roman"/>
          <w:sz w:val="20"/>
        </w:rPr>
        <w:t>245.5 million (approximately RMB1.79</w:t>
      </w:r>
    </w:p>
    <w:p>
      <w:pPr>
        <w:pStyle w:val="TextBody"/>
        <w:bidi w:val="0"/>
        <w:spacing w:before="120" w:after="0"/>
        <w:ind w:left="0" w:right="0" w:hanging="0"/>
        <w:jc w:val="left"/>
        <w:rPr>
          <w:spacing w:val="0"/>
        </w:rPr>
      </w:pPr>
      <w:r>
        <w:rPr>
          <w:spacing w:val="0"/>
        </w:rPr>
        <w:t> </w:t>
      </w:r>
      <w:r>
        <w:rPr>
          <w:rFonts w:ascii="Times New Roman" w:hAnsi="Times New Roman"/>
          <w:spacing w:val="0"/>
          <w:sz w:val="20"/>
        </w:rPr>
        <w:t>billion</w:t>
      </w:r>
    </w:p>
    <w:p>
      <w:pPr>
        <w:pStyle w:val="TextBody"/>
        <w:bidi w:val="0"/>
        <w:spacing w:before="120" w:after="0"/>
        <w:jc w:val="left"/>
        <w:rPr>
          <w:rFonts w:ascii="Times New Roman" w:hAnsi="Times New Roman"/>
          <w:sz w:val="20"/>
        </w:rPr>
      </w:pPr>
      <w:r>
        <w:rPr>
          <w:rFonts w:ascii="Times New Roman" w:hAnsi="Times New Roman"/>
          <w:sz w:val="20"/>
        </w:rPr>
        <w:t xml:space="preserve">) in which HK$2.0 million and MYR0.3 million (approximately RMB2.4 million and US$0.3 million) was utilized for issuing letter of guarantee for procurement as of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1840" w:type="dxa"/>
        <w:jc w:val="left"/>
        <w:tblInd w:w="0" w:type="dxa"/>
        <w:tblLayout w:type="fixed"/>
        <w:tblCellMar>
          <w:top w:w="0" w:type="dxa"/>
          <w:left w:w="0" w:type="dxa"/>
          <w:bottom w:w="0" w:type="dxa"/>
          <w:right w:w="0" w:type="dxa"/>
        </w:tblCellMar>
      </w:tblPr>
      <w:tblGrid>
        <w:gridCol w:w="335"/>
        <w:gridCol w:w="1505"/>
      </w:tblGrid>
      <w:tr>
        <w:trPr/>
        <w:tc>
          <w:tcPr>
            <w:tcW w:w="335" w:type="dxa"/>
            <w:tcBorders/>
            <w:vAlign w:val="center"/>
          </w:tcPr>
          <w:p>
            <w:pPr>
              <w:pStyle w:val="TableContents"/>
              <w:bidi w:val="0"/>
              <w:spacing w:before="0" w:after="0"/>
              <w:jc w:val="left"/>
              <w:rPr>
                <w:b/>
                <w:spacing w:val="0"/>
              </w:rPr>
            </w:pPr>
            <w:r>
              <w:rPr>
                <w:b/>
                <w:spacing w:val="0"/>
              </w:rPr>
              <w:t>14.</w:t>
            </w:r>
          </w:p>
        </w:tc>
        <w:tc>
          <w:tcPr>
            <w:tcW w:w="15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Short-term loans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Notes: (Continued)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pPr>
            <w:r>
              <w:rPr/>
              <w:t> </w:t>
            </w:r>
          </w:p>
        </w:tc>
        <w:tc>
          <w:tcPr>
            <w:tcW w:w="227" w:type="dxa"/>
            <w:tcBorders/>
            <w:vAlign w:val="center"/>
          </w:tcPr>
          <w:p>
            <w:pPr>
              <w:pStyle w:val="TableContents"/>
              <w:bidi w:val="0"/>
              <w:spacing w:before="0" w:after="283"/>
              <w:jc w:val="left"/>
              <w:rPr/>
            </w:pPr>
            <w:r>
              <w:rPr/>
              <w:t>(c)</w:t>
            </w:r>
          </w:p>
        </w:tc>
        <w:tc>
          <w:tcPr>
            <w:tcW w:w="990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During the year ended December 31, 2023, the Group entered into a three-year-term facility agreement for a credit of RMB200.0 million until 2026, in which EUR0.1 million (approximately RMB1.1 million) was drawn down and outstanding as of December 31, 2023, with fixed rate based on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3-month</w:t>
            </w:r>
          </w:p>
          <w:p>
            <w:pPr>
              <w:pStyle w:val="TableContents"/>
              <w:bidi w:val="0"/>
              <w:spacing w:before="0" w:after="0"/>
              <w:jc w:val="left"/>
              <w:rPr>
                <w:rFonts w:ascii="Times New Roman" w:hAnsi="Times New Roman"/>
                <w:sz w:val="20"/>
              </w:rPr>
            </w:pPr>
            <w:r>
              <w:rPr>
                <w:rFonts w:ascii="Times New Roman" w:hAnsi="Times New Roman"/>
                <w:sz w:val="20"/>
              </w:rPr>
              <w:t xml:space="preserve">Europe Interbank Offered Rate plus 4.3%, and RMB18.4 million was utilized for issuing letter of letter of guarantee for procurement.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During the year ending December 31, 2024, the Group repaid the outstanding balances as of December 31, 2023. During the year ending 2024, EUR</w:t>
      </w:r>
    </w:p>
    <w:p>
      <w:pPr>
        <w:pStyle w:val="TextBody"/>
        <w:bidi w:val="0"/>
        <w:spacing w:before="120" w:after="0"/>
        <w:jc w:val="left"/>
        <w:rPr>
          <w:rFonts w:ascii="Times New Roman" w:hAnsi="Times New Roman"/>
          <w:sz w:val="20"/>
        </w:rPr>
      </w:pPr>
      <w:r>
        <w:rPr>
          <w:rFonts w:ascii="Times New Roman" w:hAnsi="Times New Roman"/>
          <w:sz w:val="20"/>
        </w:rPr>
        <w:t xml:space="preserve">0.3 million (approximately RMB2.6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million) was drawn down and outstanding as of December 31, 2024, with fixed interest rate of 0.02% per day, and RMB</w:t>
      </w:r>
    </w:p>
    <w:p>
      <w:pPr>
        <w:pStyle w:val="TextBody"/>
        <w:bidi w:val="0"/>
        <w:spacing w:before="120" w:after="0"/>
        <w:jc w:val="left"/>
        <w:rPr>
          <w:rFonts w:ascii="Times New Roman" w:hAnsi="Times New Roman"/>
          <w:sz w:val="20"/>
        </w:rPr>
      </w:pPr>
      <w:r>
        <w:rPr>
          <w:rFonts w:ascii="Times New Roman" w:hAnsi="Times New Roman"/>
          <w:sz w:val="20"/>
        </w:rPr>
        <w:t>43.3 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million was utilized for issuing letter of letter of guarantee for procurement.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Certain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credit facilities, aggregating to RMB1.80 billion and RMB2.39 billion are respectively under guaranteed as of December 31, 2023 and 2024, in which USD245.5 million and RMB200.0 million are guaranteed by the company and its subsidiaries, and RMB400.0 million are guaranteed by pledging intellectual property rights. As of December 31, 2023 and 2024, RMB</w:t>
      </w:r>
    </w:p>
    <w:p>
      <w:pPr>
        <w:pStyle w:val="TextBody"/>
        <w:bidi w:val="0"/>
        <w:spacing w:before="120" w:after="0"/>
        <w:jc w:val="left"/>
        <w:rPr>
          <w:rFonts w:ascii="Times New Roman" w:hAnsi="Times New Roman"/>
          <w:sz w:val="20"/>
        </w:rPr>
      </w:pPr>
      <w:r>
        <w:rPr>
          <w:rFonts w:ascii="Times New Roman" w:hAnsi="Times New Roman"/>
          <w:sz w:val="20"/>
        </w:rPr>
        <w:t>1.77 </w:t>
      </w:r>
    </w:p>
    <w:p>
      <w:pPr>
        <w:pStyle w:val="TextBody"/>
        <w:bidi w:val="0"/>
        <w:spacing w:before="120" w:after="0"/>
        <w:ind w:left="0" w:right="0" w:hanging="0"/>
        <w:jc w:val="left"/>
        <w:rPr>
          <w:rFonts w:ascii="Times New Roman" w:hAnsi="Times New Roman"/>
          <w:spacing w:val="0"/>
          <w:sz w:val="20"/>
          <w:shd w:fill="FFFFFF" w:val="clear"/>
        </w:rPr>
      </w:pPr>
      <w:r>
        <w:rPr>
          <w:rFonts w:ascii="Times New Roman" w:hAnsi="Times New Roman"/>
          <w:spacing w:val="0"/>
          <w:sz w:val="20"/>
          <w:shd w:fill="FFFFFF" w:val="clear"/>
        </w:rPr>
        <w:t>billion and RMB</w:t>
      </w:r>
    </w:p>
    <w:p>
      <w:pPr>
        <w:pStyle w:val="TextBody"/>
        <w:bidi w:val="0"/>
        <w:spacing w:before="120" w:after="0"/>
        <w:jc w:val="left"/>
        <w:rPr>
          <w:rFonts w:ascii="Times New Roman" w:hAnsi="Times New Roman"/>
          <w:sz w:val="20"/>
        </w:rPr>
      </w:pPr>
      <w:r>
        <w:rPr>
          <w:rFonts w:ascii="Times New Roman" w:hAnsi="Times New Roman"/>
          <w:sz w:val="20"/>
        </w:rPr>
        <w:t>2.34 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billion, respectively, of these credit facilities remained available. </w:t>
      </w:r>
    </w:p>
    <w:p>
      <w:pPr>
        <w:pStyle w:val="TextBody"/>
        <w:bidi w:val="0"/>
        <w:spacing w:before="0" w:after="0"/>
        <w:jc w:val="left"/>
        <w:rPr/>
      </w:pPr>
      <w:r>
        <w:rPr/>
        <w:t> </w:t>
      </w:r>
    </w:p>
    <w:tbl>
      <w:tblPr>
        <w:tblW w:w="985" w:type="dxa"/>
        <w:jc w:val="left"/>
        <w:tblInd w:w="0" w:type="dxa"/>
        <w:tblLayout w:type="fixed"/>
        <w:tblCellMar>
          <w:top w:w="0" w:type="dxa"/>
          <w:left w:w="0" w:type="dxa"/>
          <w:bottom w:w="0" w:type="dxa"/>
          <w:right w:w="0" w:type="dxa"/>
        </w:tblCellMar>
      </w:tblPr>
      <w:tblGrid>
        <w:gridCol w:w="335"/>
        <w:gridCol w:w="650"/>
      </w:tblGrid>
      <w:tr>
        <w:trPr/>
        <w:tc>
          <w:tcPr>
            <w:tcW w:w="335" w:type="dxa"/>
            <w:tcBorders/>
            <w:vAlign w:val="center"/>
          </w:tcPr>
          <w:p>
            <w:pPr>
              <w:pStyle w:val="TableContents"/>
              <w:bidi w:val="0"/>
              <w:spacing w:before="0" w:after="0"/>
              <w:jc w:val="left"/>
              <w:rPr>
                <w:b/>
                <w:spacing w:val="0"/>
              </w:rPr>
            </w:pPr>
            <w:r>
              <w:rPr>
                <w:b/>
                <w:spacing w:val="0"/>
              </w:rPr>
              <w:t>15.</w:t>
            </w:r>
          </w:p>
        </w:tc>
        <w:tc>
          <w:tcPr>
            <w:tcW w:w="65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leases office space, offline stores, apartments and certain equipment under operating leases for terms ranging from short-term (under 12 months) to 16 years. The Group has options to extend or terminate leases, but the renewals or terminations of these leases are on negotiation basis. None of these leases contain material residual value guarantees or material restrictive covenants, and the Group does not have any financing leases. </w:t>
      </w:r>
    </w:p>
    <w:p>
      <w:pPr>
        <w:pStyle w:val="TextBody"/>
        <w:bidi w:val="0"/>
        <w:spacing w:before="120" w:after="0"/>
        <w:jc w:val="left"/>
        <w:rPr>
          <w:rFonts w:ascii="Times New Roman" w:hAnsi="Times New Roman"/>
          <w:sz w:val="20"/>
        </w:rPr>
      </w:pPr>
      <w:r>
        <w:rPr>
          <w:rFonts w:ascii="Times New Roman" w:hAnsi="Times New Roman"/>
          <w:sz w:val="20"/>
        </w:rPr>
        <w:t xml:space="preserve">Supplemental balance sheet information related to the leases are as follows: </w:t>
      </w:r>
    </w:p>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3245"/>
        <w:gridCol w:w="120"/>
        <w:gridCol w:w="60"/>
        <w:gridCol w:w="800"/>
        <w:gridCol w:w="275"/>
        <w:gridCol w:w="60"/>
        <w:gridCol w:w="60"/>
        <w:gridCol w:w="800"/>
        <w:gridCol w:w="290"/>
      </w:tblGrid>
      <w:tr>
        <w:trPr/>
        <w:tc>
          <w:tcPr>
            <w:tcW w:w="3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29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290"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29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ROU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554,061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433,617</w:t>
            </w:r>
          </w:p>
        </w:tc>
        <w:tc>
          <w:tcPr>
            <w:tcW w:w="29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liabilities—current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80,868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57,224</w:t>
            </w:r>
          </w:p>
        </w:tc>
        <w:tc>
          <w:tcPr>
            <w:tcW w:w="29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Operating lease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liabilities—non-current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689,259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591,995</w:t>
            </w:r>
          </w:p>
        </w:tc>
        <w:tc>
          <w:tcPr>
            <w:tcW w:w="290"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9.99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10.40</w:t>
            </w:r>
          </w:p>
        </w:tc>
        <w:tc>
          <w:tcPr>
            <w:tcW w:w="290"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Weight-average discount rate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4.89</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components of lease costs of these operating leases for the years ended December 31, 2023 and 2024 are as follow: </w:t>
      </w:r>
    </w:p>
    <w:p>
      <w:pPr>
        <w:pStyle w:val="TextBody"/>
        <w:bidi w:val="0"/>
        <w:spacing w:before="0" w:after="0"/>
        <w:jc w:val="left"/>
        <w:rPr/>
      </w:pPr>
      <w:r>
        <w:rPr/>
        <w:t> </w:t>
      </w:r>
    </w:p>
    <w:tbl>
      <w:tblPr>
        <w:tblW w:w="6281" w:type="dxa"/>
        <w:jc w:val="left"/>
        <w:tblInd w:w="0" w:type="dxa"/>
        <w:tblLayout w:type="fixed"/>
        <w:tblCellMar>
          <w:top w:w="0" w:type="dxa"/>
          <w:left w:w="0" w:type="dxa"/>
          <w:bottom w:w="0" w:type="dxa"/>
          <w:right w:w="0" w:type="dxa"/>
        </w:tblCellMar>
      </w:tblPr>
      <w:tblGrid>
        <w:gridCol w:w="3230"/>
        <w:gridCol w:w="120"/>
        <w:gridCol w:w="79"/>
        <w:gridCol w:w="1066"/>
        <w:gridCol w:w="265"/>
        <w:gridCol w:w="159"/>
        <w:gridCol w:w="79"/>
        <w:gridCol w:w="1068"/>
        <w:gridCol w:w="215"/>
      </w:tblGrid>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6"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21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6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21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0"/>
              <w:jc w:val="center"/>
              <w:rPr>
                <w:b/>
                <w:spacing w:val="0"/>
              </w:rPr>
            </w:pPr>
            <w:r>
              <w:rPr>
                <w:b/>
                <w:spacing w:val="0"/>
              </w:rPr>
              <w:t>RMB</w:t>
            </w:r>
          </w:p>
        </w:tc>
        <w:tc>
          <w:tcPr>
            <w:tcW w:w="26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1147" w:type="dxa"/>
            <w:gridSpan w:val="2"/>
            <w:tcBorders/>
            <w:vAlign w:val="center"/>
          </w:tcPr>
          <w:p>
            <w:pPr>
              <w:pStyle w:val="TableContents"/>
              <w:bidi w:val="0"/>
              <w:spacing w:before="0" w:after="0"/>
              <w:jc w:val="center"/>
              <w:rPr>
                <w:b/>
                <w:spacing w:val="0"/>
              </w:rPr>
            </w:pPr>
            <w:r>
              <w:rPr>
                <w:b/>
                <w:spacing w:val="0"/>
              </w:rPr>
              <w:t>RMB</w:t>
            </w:r>
          </w:p>
        </w:tc>
        <w:tc>
          <w:tcPr>
            <w:tcW w:w="21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Operating lease cost for fixed payments</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147,260</w:t>
            </w:r>
          </w:p>
        </w:tc>
        <w:tc>
          <w:tcPr>
            <w:tcW w:w="265"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102,472</w:t>
            </w:r>
          </w:p>
        </w:tc>
        <w:tc>
          <w:tcPr>
            <w:tcW w:w="21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Short-term lease costs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61,487</w:t>
            </w:r>
          </w:p>
        </w:tc>
        <w:tc>
          <w:tcPr>
            <w:tcW w:w="26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75,356</w:t>
            </w:r>
          </w:p>
        </w:tc>
        <w:tc>
          <w:tcPr>
            <w:tcW w:w="215"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Variable lease costs</w:t>
            </w:r>
          </w:p>
        </w:tc>
        <w:tc>
          <w:tcPr>
            <w:tcW w:w="12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6" w:type="dxa"/>
            <w:tcBorders/>
            <w:shd w:fill="CCEEFF" w:val="clear"/>
            <w:vAlign w:val="center"/>
          </w:tcPr>
          <w:p>
            <w:pPr>
              <w:pStyle w:val="TableContents"/>
              <w:bidi w:val="0"/>
              <w:spacing w:before="0" w:after="283"/>
              <w:jc w:val="right"/>
              <w:rPr/>
            </w:pPr>
            <w:r>
              <w:rPr/>
              <w:t>52,442</w:t>
            </w:r>
          </w:p>
        </w:tc>
        <w:tc>
          <w:tcPr>
            <w:tcW w:w="265"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068" w:type="dxa"/>
            <w:tcBorders/>
            <w:shd w:fill="CCEEFF" w:val="clear"/>
            <w:vAlign w:val="center"/>
          </w:tcPr>
          <w:p>
            <w:pPr>
              <w:pStyle w:val="TableContents"/>
              <w:bidi w:val="0"/>
              <w:spacing w:before="0" w:after="283"/>
              <w:jc w:val="right"/>
              <w:rPr/>
            </w:pPr>
            <w:r>
              <w:rPr/>
              <w:t>49,540</w:t>
            </w:r>
          </w:p>
        </w:tc>
        <w:tc>
          <w:tcPr>
            <w:tcW w:w="215"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single" w:sz="2" w:space="1" w:color="000000"/>
              </w:rPr>
            </w:pPr>
            <w:r>
              <w:rPr>
                <w:bdr w:val="single" w:sz="2" w:space="1" w:color="000000"/>
              </w:rPr>
              <w:t> </w:t>
            </w:r>
          </w:p>
        </w:tc>
        <w:tc>
          <w:tcPr>
            <w:tcW w:w="1066" w:type="dxa"/>
            <w:tcBorders/>
            <w:vAlign w:val="center"/>
          </w:tcPr>
          <w:p>
            <w:pPr>
              <w:pStyle w:val="TableContents"/>
              <w:bidi w:val="0"/>
              <w:spacing w:before="0" w:after="0"/>
              <w:jc w:val="left"/>
              <w:rPr>
                <w:bdr w:val="single" w:sz="2" w:space="1" w:color="000000"/>
              </w:rPr>
            </w:pPr>
            <w:r>
              <w:rPr>
                <w:bdr w:val="single" w:sz="2" w:space="1" w:color="000000"/>
              </w:rPr>
              <w:t> </w:t>
            </w:r>
          </w:p>
        </w:tc>
        <w:tc>
          <w:tcPr>
            <w:tcW w:w="26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single" w:sz="2" w:space="1" w:color="000000"/>
              </w:rPr>
            </w:pPr>
            <w:r>
              <w:rPr>
                <w:bdr w:val="single" w:sz="2" w:space="1" w:color="000000"/>
              </w:rPr>
              <w:t> </w:t>
            </w:r>
          </w:p>
        </w:tc>
        <w:tc>
          <w:tcPr>
            <w:tcW w:w="1068" w:type="dxa"/>
            <w:tcBorders/>
            <w:vAlign w:val="center"/>
          </w:tcPr>
          <w:p>
            <w:pPr>
              <w:pStyle w:val="TableContents"/>
              <w:bidi w:val="0"/>
              <w:spacing w:before="0" w:after="0"/>
              <w:jc w:val="left"/>
              <w:rPr>
                <w:bdr w:val="single" w:sz="2" w:space="1" w:color="000000"/>
              </w:rPr>
            </w:pPr>
            <w:r>
              <w:rPr>
                <w:bdr w:val="single" w:sz="2" w:space="1" w:color="000000"/>
              </w:rPr>
              <w:t> </w:t>
            </w:r>
          </w:p>
        </w:tc>
        <w:tc>
          <w:tcPr>
            <w:tcW w:w="21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Lease costs</w:t>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right"/>
              <w:rPr/>
            </w:pPr>
            <w:r>
              <w:rPr/>
              <w:t>261,189</w:t>
            </w:r>
          </w:p>
        </w:tc>
        <w:tc>
          <w:tcPr>
            <w:tcW w:w="26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right"/>
              <w:rPr/>
            </w:pPr>
            <w:r>
              <w:rPr/>
              <w:t>227,368</w:t>
            </w:r>
          </w:p>
        </w:tc>
        <w:tc>
          <w:tcPr>
            <w:tcW w:w="215"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double" w:sz="6" w:space="1" w:color="000000"/>
              </w:rPr>
            </w:pPr>
            <w:r>
              <w:rPr>
                <w:bdr w:val="double" w:sz="6" w:space="1" w:color="000000"/>
              </w:rPr>
              <w:t> </w:t>
            </w:r>
          </w:p>
        </w:tc>
        <w:tc>
          <w:tcPr>
            <w:tcW w:w="1066" w:type="dxa"/>
            <w:tcBorders/>
            <w:vAlign w:val="center"/>
          </w:tcPr>
          <w:p>
            <w:pPr>
              <w:pStyle w:val="TableContents"/>
              <w:bidi w:val="0"/>
              <w:spacing w:before="0" w:after="0"/>
              <w:jc w:val="left"/>
              <w:rPr>
                <w:bdr w:val="double" w:sz="6" w:space="1" w:color="000000"/>
              </w:rPr>
            </w:pPr>
            <w:r>
              <w:rPr>
                <w:bdr w:val="double" w:sz="6" w:space="1" w:color="000000"/>
              </w:rPr>
              <w:t> </w:t>
            </w:r>
          </w:p>
        </w:tc>
        <w:tc>
          <w:tcPr>
            <w:tcW w:w="265"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0"/>
              <w:jc w:val="left"/>
              <w:rPr>
                <w:bdr w:val="double" w:sz="6" w:space="1" w:color="000000"/>
              </w:rPr>
            </w:pPr>
            <w:r>
              <w:rPr>
                <w:bdr w:val="double" w:sz="6" w:space="1" w:color="000000"/>
              </w:rPr>
              <w:t> </w:t>
            </w:r>
          </w:p>
        </w:tc>
        <w:tc>
          <w:tcPr>
            <w:tcW w:w="1068" w:type="dxa"/>
            <w:tcBorders/>
            <w:vAlign w:val="center"/>
          </w:tcPr>
          <w:p>
            <w:pPr>
              <w:pStyle w:val="TableContents"/>
              <w:bidi w:val="0"/>
              <w:spacing w:before="0" w:after="0"/>
              <w:jc w:val="left"/>
              <w:rPr>
                <w:bdr w:val="double" w:sz="6" w:space="1" w:color="000000"/>
              </w:rPr>
            </w:pPr>
            <w:r>
              <w:rPr>
                <w:bdr w:val="double" w:sz="6" w:space="1" w:color="000000"/>
              </w:rPr>
              <w:t> </w:t>
            </w:r>
          </w:p>
        </w:tc>
        <w:tc>
          <w:tcPr>
            <w:tcW w:w="21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1360" w:type="dxa"/>
        <w:jc w:val="left"/>
        <w:tblInd w:w="0" w:type="dxa"/>
        <w:tblLayout w:type="fixed"/>
        <w:tblCellMar>
          <w:top w:w="0" w:type="dxa"/>
          <w:left w:w="0" w:type="dxa"/>
          <w:bottom w:w="0" w:type="dxa"/>
          <w:right w:w="0" w:type="dxa"/>
        </w:tblCellMar>
      </w:tblPr>
      <w:tblGrid>
        <w:gridCol w:w="335"/>
        <w:gridCol w:w="1025"/>
      </w:tblGrid>
      <w:tr>
        <w:trPr/>
        <w:tc>
          <w:tcPr>
            <w:tcW w:w="335" w:type="dxa"/>
            <w:tcBorders/>
            <w:vAlign w:val="center"/>
          </w:tcPr>
          <w:p>
            <w:pPr>
              <w:pStyle w:val="TableContents"/>
              <w:bidi w:val="0"/>
              <w:spacing w:before="0" w:after="0"/>
              <w:jc w:val="left"/>
              <w:rPr>
                <w:b/>
                <w:spacing w:val="0"/>
              </w:rPr>
            </w:pPr>
            <w:r>
              <w:rPr>
                <w:b/>
                <w:spacing w:val="0"/>
              </w:rPr>
              <w:t>15.</w:t>
            </w:r>
          </w:p>
        </w:tc>
        <w:tc>
          <w:tcPr>
            <w:tcW w:w="10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Leases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provides supplemental cash flow information related to leases: </w:t>
      </w:r>
    </w:p>
    <w:p>
      <w:pPr>
        <w:pStyle w:val="TextBody"/>
        <w:bidi w:val="0"/>
        <w:spacing w:before="0" w:after="0"/>
        <w:jc w:val="left"/>
        <w:rPr>
          <w:sz w:val="16"/>
        </w:rPr>
      </w:pPr>
      <w:r>
        <w:rPr>
          <w:sz w:val="16"/>
        </w:rPr>
      </w:r>
    </w:p>
    <w:tbl>
      <w:tblPr>
        <w:tblW w:w="8691" w:type="dxa"/>
        <w:jc w:val="left"/>
        <w:tblInd w:w="0" w:type="dxa"/>
        <w:tblLayout w:type="fixed"/>
        <w:tblCellMar>
          <w:top w:w="0" w:type="dxa"/>
          <w:left w:w="0" w:type="dxa"/>
          <w:bottom w:w="0" w:type="dxa"/>
          <w:right w:w="0" w:type="dxa"/>
        </w:tblCellMar>
      </w:tblPr>
      <w:tblGrid>
        <w:gridCol w:w="5780"/>
        <w:gridCol w:w="120"/>
        <w:gridCol w:w="85"/>
        <w:gridCol w:w="1145"/>
        <w:gridCol w:w="85"/>
        <w:gridCol w:w="171"/>
        <w:gridCol w:w="85"/>
        <w:gridCol w:w="1145"/>
        <w:gridCol w:w="75"/>
      </w:tblGrid>
      <w:tr>
        <w:trPr/>
        <w:tc>
          <w:tcPr>
            <w:tcW w:w="57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2716" w:type="dxa"/>
            <w:gridSpan w:val="6"/>
            <w:tcBorders/>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0"/>
              <w:jc w:val="left"/>
              <w:rPr>
                <w:spacing w:val="0"/>
              </w:rPr>
            </w:pPr>
            <w:r>
              <w:rPr>
                <w:spacing w:val="0"/>
              </w:rPr>
              <w:t> </w:t>
            </w:r>
          </w:p>
        </w:tc>
      </w:tr>
      <w:tr>
        <w:trPr/>
        <w:tc>
          <w:tcPr>
            <w:tcW w:w="578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30" w:type="dxa"/>
            <w:gridSpan w:val="2"/>
            <w:tcBorders/>
            <w:vAlign w:val="center"/>
          </w:tcPr>
          <w:p>
            <w:pPr>
              <w:pStyle w:val="TableContents"/>
              <w:bidi w:val="0"/>
              <w:spacing w:before="0" w:after="0"/>
              <w:jc w:val="center"/>
              <w:rPr>
                <w:b/>
                <w:spacing w:val="0"/>
              </w:rPr>
            </w:pPr>
            <w:r>
              <w:rPr>
                <w:b/>
                <w:spacing w:val="0"/>
              </w:rPr>
              <w:t>2023</w:t>
            </w:r>
          </w:p>
        </w:tc>
        <w:tc>
          <w:tcPr>
            <w:tcW w:w="85" w:type="dxa"/>
            <w:tcBorders/>
            <w:vAlign w:val="center"/>
          </w:tcPr>
          <w:p>
            <w:pPr>
              <w:pStyle w:val="TableContents"/>
              <w:bidi w:val="0"/>
              <w:spacing w:before="0" w:after="0"/>
              <w:jc w:val="left"/>
              <w:rPr>
                <w:spacing w:val="0"/>
              </w:rPr>
            </w:pPr>
            <w:r>
              <w:rPr>
                <w:spacing w:val="0"/>
              </w:rPr>
              <w:t> </w:t>
            </w:r>
          </w:p>
        </w:tc>
        <w:tc>
          <w:tcPr>
            <w:tcW w:w="171" w:type="dxa"/>
            <w:tcBorders/>
            <w:vAlign w:val="center"/>
          </w:tcPr>
          <w:p>
            <w:pPr>
              <w:pStyle w:val="TableContents"/>
              <w:bidi w:val="0"/>
              <w:spacing w:before="0" w:after="0"/>
              <w:jc w:val="left"/>
              <w:rPr>
                <w:spacing w:val="0"/>
              </w:rPr>
            </w:pPr>
            <w:r>
              <w:rPr>
                <w:spacing w:val="0"/>
              </w:rPr>
              <w:t>  </w:t>
            </w:r>
          </w:p>
        </w:tc>
        <w:tc>
          <w:tcPr>
            <w:tcW w:w="1230" w:type="dxa"/>
            <w:gridSpan w:val="2"/>
            <w:tcBorders/>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0"/>
              <w:jc w:val="left"/>
              <w:rPr>
                <w:spacing w:val="0"/>
              </w:rPr>
            </w:pPr>
            <w:r>
              <w:rPr>
                <w:spacing w:val="0"/>
              </w:rPr>
              <w:t> </w:t>
            </w:r>
          </w:p>
        </w:tc>
      </w:tr>
      <w:tr>
        <w:trPr/>
        <w:tc>
          <w:tcPr>
            <w:tcW w:w="5780"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30" w:type="dxa"/>
            <w:gridSpan w:val="2"/>
            <w:tcBorders/>
            <w:vAlign w:val="center"/>
          </w:tcPr>
          <w:p>
            <w:pPr>
              <w:pStyle w:val="TableContents"/>
              <w:bidi w:val="0"/>
              <w:spacing w:before="0" w:after="0"/>
              <w:jc w:val="center"/>
              <w:rPr>
                <w:b/>
                <w:spacing w:val="0"/>
              </w:rPr>
            </w:pPr>
            <w:r>
              <w:rPr>
                <w:b/>
                <w:spacing w:val="0"/>
              </w:rPr>
              <w:t>RMB</w:t>
            </w:r>
          </w:p>
        </w:tc>
        <w:tc>
          <w:tcPr>
            <w:tcW w:w="85" w:type="dxa"/>
            <w:tcBorders/>
            <w:vAlign w:val="center"/>
          </w:tcPr>
          <w:p>
            <w:pPr>
              <w:pStyle w:val="TableContents"/>
              <w:bidi w:val="0"/>
              <w:spacing w:before="0" w:after="0"/>
              <w:jc w:val="left"/>
              <w:rPr>
                <w:spacing w:val="0"/>
              </w:rPr>
            </w:pPr>
            <w:r>
              <w:rPr>
                <w:spacing w:val="0"/>
              </w:rPr>
              <w:t> </w:t>
            </w:r>
          </w:p>
        </w:tc>
        <w:tc>
          <w:tcPr>
            <w:tcW w:w="171" w:type="dxa"/>
            <w:tcBorders/>
            <w:vAlign w:val="center"/>
          </w:tcPr>
          <w:p>
            <w:pPr>
              <w:pStyle w:val="TableContents"/>
              <w:bidi w:val="0"/>
              <w:spacing w:before="0" w:after="0"/>
              <w:jc w:val="left"/>
              <w:rPr>
                <w:spacing w:val="0"/>
              </w:rPr>
            </w:pPr>
            <w:r>
              <w:rPr>
                <w:spacing w:val="0"/>
              </w:rPr>
              <w:t>  </w:t>
            </w:r>
          </w:p>
        </w:tc>
        <w:tc>
          <w:tcPr>
            <w:tcW w:w="123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0"/>
              <w:jc w:val="left"/>
              <w:rPr>
                <w:spacing w:val="0"/>
              </w:rPr>
            </w:pPr>
            <w:r>
              <w:rPr>
                <w:spacing w:val="0"/>
              </w:rPr>
              <w:t> </w:t>
            </w:r>
          </w:p>
        </w:tc>
      </w:tr>
      <w:tr>
        <w:trPr/>
        <w:tc>
          <w:tcPr>
            <w:tcW w:w="57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paid for amounts included in the measurement of lease liabilities:</w:t>
            </w:r>
          </w:p>
        </w:tc>
        <w:tc>
          <w:tcPr>
            <w:tcW w:w="12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sz w:val="4"/>
                <w:szCs w:val="4"/>
              </w:rPr>
            </w:pPr>
            <w:r>
              <w:rPr>
                <w:sz w:val="4"/>
                <w:szCs w:val="4"/>
              </w:rPr>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Operating cash flows for operating leases</w:t>
            </w:r>
          </w:p>
        </w:tc>
        <w:tc>
          <w:tcPr>
            <w:tcW w:w="12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165,828</w:t>
            </w:r>
          </w:p>
        </w:tc>
        <w:tc>
          <w:tcPr>
            <w:tcW w:w="8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109,552</w:t>
            </w:r>
          </w:p>
        </w:tc>
        <w:tc>
          <w:tcPr>
            <w:tcW w:w="75" w:type="dxa"/>
            <w:tcBorders/>
            <w:vAlign w:val="center"/>
          </w:tcPr>
          <w:p>
            <w:pPr>
              <w:pStyle w:val="TableContents"/>
              <w:bidi w:val="0"/>
              <w:spacing w:before="0" w:after="283"/>
              <w:jc w:val="left"/>
              <w:rPr/>
            </w:pPr>
            <w:r>
              <w:rPr/>
              <w:t>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following table provides the maturities of lease liabilities on December 31, 2024: </w:t>
      </w:r>
    </w:p>
    <w:p>
      <w:pPr>
        <w:pStyle w:val="TextBody"/>
        <w:bidi w:val="0"/>
        <w:spacing w:before="120" w:after="0"/>
        <w:jc w:val="left"/>
        <w:rPr>
          <w:rFonts w:ascii="Times New Roman" w:hAnsi="Times New Roman"/>
          <w:sz w:val="20"/>
        </w:rPr>
      </w:pPr>
      <w:r>
        <w:rPr>
          <w:rFonts w:ascii="Times New Roman" w:hAnsi="Times New Roman"/>
          <w:sz w:val="20"/>
        </w:rPr>
      </w:r>
    </w:p>
    <w:p>
      <w:pPr>
        <w:pStyle w:val="TextBody"/>
        <w:bidi w:val="0"/>
        <w:spacing w:before="0" w:after="0"/>
        <w:ind w:left="0" w:right="0" w:hanging="0"/>
        <w:jc w:val="left"/>
        <w:rPr>
          <w:sz w:val="16"/>
        </w:rPr>
      </w:pPr>
      <w:r>
        <w:rPr>
          <w:sz w:val="16"/>
        </w:rPr>
      </w:r>
    </w:p>
    <w:tbl>
      <w:tblPr>
        <w:tblW w:w="4975" w:type="dxa"/>
        <w:jc w:val="left"/>
        <w:tblInd w:w="0" w:type="dxa"/>
        <w:tblLayout w:type="fixed"/>
        <w:tblCellMar>
          <w:top w:w="0" w:type="dxa"/>
          <w:left w:w="0" w:type="dxa"/>
          <w:bottom w:w="0" w:type="dxa"/>
          <w:right w:w="0" w:type="dxa"/>
        </w:tblCellMar>
      </w:tblPr>
      <w:tblGrid>
        <w:gridCol w:w="3725"/>
        <w:gridCol w:w="120"/>
        <w:gridCol w:w="73"/>
        <w:gridCol w:w="982"/>
        <w:gridCol w:w="75"/>
      </w:tblGrid>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25"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Maturities of lease liabilities on December 31, 2024</w:t>
            </w:r>
          </w:p>
        </w:tc>
        <w:tc>
          <w:tcPr>
            <w:tcW w:w="120" w:type="dxa"/>
            <w:tcBorders/>
            <w:vAlign w:val="center"/>
          </w:tcPr>
          <w:p>
            <w:pPr>
              <w:pStyle w:val="TableContents"/>
              <w:bidi w:val="0"/>
              <w:spacing w:before="0" w:after="0"/>
              <w:jc w:val="left"/>
              <w:rPr>
                <w:spacing w:val="0"/>
              </w:rPr>
            </w:pPr>
            <w:r>
              <w:rPr>
                <w:spacing w:val="0"/>
              </w:rPr>
              <w:t>  </w:t>
            </w:r>
          </w:p>
        </w:tc>
        <w:tc>
          <w:tcPr>
            <w:tcW w:w="1055" w:type="dxa"/>
            <w:gridSpan w:val="2"/>
            <w:tcBorders/>
            <w:vAlign w:val="center"/>
          </w:tcPr>
          <w:p>
            <w:pPr>
              <w:pStyle w:val="TableContents"/>
              <w:bidi w:val="0"/>
              <w:spacing w:before="0" w:after="0"/>
              <w:jc w:val="center"/>
              <w:rPr>
                <w:b/>
                <w:spacing w:val="0"/>
              </w:rPr>
            </w:pPr>
            <w:r>
              <w:rPr>
                <w:b/>
                <w:spacing w:val="0"/>
              </w:rPr>
              <w:t>Operating</w:t>
            </w:r>
          </w:p>
          <w:p>
            <w:pPr>
              <w:pStyle w:val="TableContents"/>
              <w:bidi w:val="0"/>
              <w:spacing w:before="0" w:after="0"/>
              <w:jc w:val="center"/>
              <w:rPr/>
            </w:pPr>
            <w:r>
              <w:rPr/>
            </w:r>
          </w:p>
          <w:p>
            <w:pPr>
              <w:pStyle w:val="TableContents"/>
              <w:bidi w:val="0"/>
              <w:spacing w:before="0" w:after="0"/>
              <w:jc w:val="center"/>
              <w:rPr>
                <w:b/>
                <w:spacing w:val="0"/>
              </w:rPr>
            </w:pPr>
            <w:r>
              <w:rPr>
                <w:b/>
                <w:spacing w:val="0"/>
              </w:rPr>
              <w:t>leases</w:t>
            </w:r>
          </w:p>
        </w:tc>
        <w:tc>
          <w:tcPr>
            <w:tcW w:w="75" w:type="dxa"/>
            <w:tcBorders/>
            <w:vAlign w:val="center"/>
          </w:tcPr>
          <w:p>
            <w:pPr>
              <w:pStyle w:val="TableContents"/>
              <w:bidi w:val="0"/>
              <w:spacing w:before="0" w:after="0"/>
              <w:jc w:val="left"/>
              <w:rPr>
                <w:spacing w:val="0"/>
              </w:rPr>
            </w:pPr>
            <w:r>
              <w:rPr>
                <w:spacing w:val="0"/>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2025</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86,876</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70,340</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2027</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63,502</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2028</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78,147</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2029</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81,141</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2030 and thereafter</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465,432</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98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future undiscounted lease payments</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845,438</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82" w:type="dxa"/>
            <w:tcBorders/>
            <w:vAlign w:val="center"/>
          </w:tcPr>
          <w:p>
            <w:pPr>
              <w:pStyle w:val="TableContents"/>
              <w:bidi w:val="0"/>
              <w:spacing w:before="0" w:after="283"/>
              <w:jc w:val="right"/>
              <w:rPr/>
            </w:pPr>
            <w:r>
              <w:rPr/>
              <w:t>196,219</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single" w:sz="2" w:space="1" w:color="000000"/>
              </w:rPr>
            </w:pPr>
            <w:r>
              <w:rPr>
                <w:bdr w:val="single" w:sz="2" w:space="1" w:color="000000"/>
              </w:rPr>
              <w:t> </w:t>
            </w:r>
          </w:p>
        </w:tc>
        <w:tc>
          <w:tcPr>
            <w:tcW w:w="982"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present value of lease liabilities</w:t>
            </w:r>
          </w:p>
        </w:tc>
        <w:tc>
          <w:tcPr>
            <w:tcW w:w="12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649,219</w:t>
            </w:r>
          </w:p>
        </w:tc>
        <w:tc>
          <w:tcPr>
            <w:tcW w:w="7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0"/>
              <w:jc w:val="left"/>
              <w:rPr>
                <w:bdr w:val="double" w:sz="6" w:space="1" w:color="000000"/>
              </w:rPr>
            </w:pPr>
            <w:r>
              <w:rPr>
                <w:bdr w:val="double" w:sz="6" w:space="1" w:color="000000"/>
              </w:rPr>
              <w:t> </w:t>
            </w:r>
          </w:p>
        </w:tc>
        <w:tc>
          <w:tcPr>
            <w:tcW w:w="982"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2022, 2023 and 2024, nil, RMB135,657 and nil impairment loss was recorded in general and administrative expenses related to ROU assets of city </w:t>
      </w:r>
    </w:p>
    <w:p>
      <w:pPr>
        <w:pStyle w:val="TextBody"/>
        <w:bidi w:val="0"/>
        <w:spacing w:before="120" w:after="0"/>
        <w:jc w:val="left"/>
        <w:rPr>
          <w:rFonts w:ascii="Times New Roman" w:hAnsi="Times New Roman"/>
          <w:spacing w:val="0"/>
          <w:sz w:val="20"/>
        </w:rPr>
      </w:pPr>
      <w:r>
        <w:rPr>
          <w:rFonts w:ascii="Times New Roman" w:hAnsi="Times New Roman"/>
          <w:spacing w:val="0"/>
          <w:sz w:val="20"/>
        </w:rPr>
        <w:t>outlets.</w:t>
      </w:r>
    </w:p>
    <w:p>
      <w:pPr>
        <w:pStyle w:val="TextBody"/>
        <w:bidi w:val="0"/>
        <w:spacing w:before="160" w:after="0"/>
        <w:ind w:left="0" w:right="0" w:hanging="0"/>
        <w:jc w:val="left"/>
        <w:rPr>
          <w:rFonts w:ascii="Times New Roman" w:hAnsi="Times New Roman"/>
          <w:spacing w:val="0"/>
          <w:sz w:val="20"/>
        </w:rPr>
      </w:pPr>
      <w:r>
        <w:rPr>
          <w:rFonts w:ascii="Times New Roman" w:hAnsi="Times New Roman"/>
          <w:spacing w:val="0"/>
          <w:sz w:val="20"/>
        </w:rPr>
        <w:t xml:space="preserve">Lessor arrangement - Operating lease: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 generates lease income from Shan Shan Outlets and warehouses. The variable lease payments related to Shan Shan Outlets are determined based on the lessee’s sales amounts and a rate specified in the lease contract. The Group’s lease arrangements do not include options for the lessee to purchase the underlying assets or to extend or terminate the lease. Additionally, the Group’s agreements typically include clauses that may restrict the use of the asset or require specific actions by the lessee to ensure proper maintenance of the asset for its continued performance.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As of December 31, 2024, the undiscounted minimum lease payments expected to be received over the remaining lease terms are as follows: RMB581.5 million for 2025, RMB235.5 million for 2026, and RMB369.3 million for 2027 and thereafter.</w:t>
      </w:r>
    </w:p>
    <w:p>
      <w:pPr>
        <w:pStyle w:val="TextBody"/>
        <w:bidi w:val="0"/>
        <w:spacing w:before="0" w:after="0"/>
        <w:ind w:left="0" w:right="0" w:hanging="0"/>
        <w:jc w:val="left"/>
        <w:rPr>
          <w:sz w:val="24"/>
        </w:rPr>
      </w:pPr>
      <w:r>
        <w:rPr>
          <w:sz w:val="24"/>
        </w:rPr>
      </w:r>
    </w:p>
    <w:tbl>
      <w:tblPr>
        <w:tblW w:w="2170" w:type="dxa"/>
        <w:jc w:val="left"/>
        <w:tblInd w:w="0" w:type="dxa"/>
        <w:tblLayout w:type="fixed"/>
        <w:tblCellMar>
          <w:top w:w="0" w:type="dxa"/>
          <w:left w:w="0" w:type="dxa"/>
          <w:bottom w:w="0" w:type="dxa"/>
          <w:right w:w="0" w:type="dxa"/>
        </w:tblCellMar>
      </w:tblPr>
      <w:tblGrid>
        <w:gridCol w:w="335"/>
        <w:gridCol w:w="1835"/>
      </w:tblGrid>
      <w:tr>
        <w:trPr/>
        <w:tc>
          <w:tcPr>
            <w:tcW w:w="335" w:type="dxa"/>
            <w:tcBorders/>
            <w:vAlign w:val="center"/>
          </w:tcPr>
          <w:p>
            <w:pPr>
              <w:pStyle w:val="TableContents"/>
              <w:bidi w:val="0"/>
              <w:spacing w:before="0" w:after="0"/>
              <w:jc w:val="left"/>
              <w:rPr>
                <w:b/>
                <w:spacing w:val="0"/>
              </w:rPr>
            </w:pPr>
            <w:r>
              <w:rPr>
                <w:b/>
                <w:spacing w:val="0"/>
              </w:rPr>
              <w:t>16.</w:t>
            </w:r>
          </w:p>
        </w:tc>
        <w:tc>
          <w:tcPr>
            <w:tcW w:w="18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Distribution of profit </w:t>
            </w:r>
          </w:p>
        </w:tc>
      </w:tr>
    </w:tbl>
    <w:p>
      <w:pPr>
        <w:pStyle w:val="TextBody"/>
        <w:bidi w:val="0"/>
        <w:spacing w:before="120" w:after="0"/>
        <w:jc w:val="left"/>
        <w:rPr>
          <w:rFonts w:ascii="Times New Roman" w:hAnsi="Times New Roman"/>
          <w:sz w:val="20"/>
        </w:rPr>
      </w:pPr>
      <w:r>
        <w:rPr>
          <w:rFonts w:ascii="Times New Roman" w:hAnsi="Times New Roman"/>
          <w:sz w:val="20"/>
        </w:rPr>
        <w:t xml:space="preserve">Pursuant to the laws applicable to entities incorporated in the PRC, the PRC entities are prohibited from distributing their statutory capital and are required to appropriate from profit after tax, under accounting principles generally accepted in the PRC, to other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non-distributable</w:t>
      </w:r>
    </w:p>
    <w:p>
      <w:pPr>
        <w:pStyle w:val="TextBody"/>
        <w:bidi w:val="0"/>
        <w:spacing w:before="120" w:after="0"/>
        <w:jc w:val="left"/>
        <w:rPr>
          <w:rFonts w:ascii="Times New Roman" w:hAnsi="Times New Roman"/>
          <w:sz w:val="20"/>
        </w:rPr>
      </w:pPr>
      <w:r>
        <w:rPr>
          <w:rFonts w:ascii="Times New Roman" w:hAnsi="Times New Roman"/>
          <w:sz w:val="20"/>
        </w:rPr>
        <w:t xml:space="preserve">reserve funds after offsetting accumulated losses from prior years, until the cumulative amount of such reserve fund reaches 50% of the registered capital. These reserve funds include one or more of the following: (i) a general reserve, (ii) an enterprise expansion fund and (iii) a staff bonus and welfare fund. Subject to certain cumulative limits, the general reserve fund requires annual appropriation at 10%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of after-tax profit (as determined under accounting principles generally accepted in the PRC at each </w:t>
      </w:r>
    </w:p>
    <w:p>
      <w:pPr>
        <w:pStyle w:val="TextBody"/>
        <w:bidi w:val="0"/>
        <w:spacing w:before="120" w:after="0"/>
        <w:jc w:val="left"/>
        <w:rPr>
          <w:rFonts w:ascii="Times New Roman" w:hAnsi="Times New Roman"/>
          <w:spacing w:val="0"/>
          <w:sz w:val="20"/>
        </w:rPr>
      </w:pPr>
      <w:r>
        <w:rPr>
          <w:rFonts w:ascii="Times New Roman" w:hAnsi="Times New Roman"/>
          <w:spacing w:val="0"/>
          <w:sz w:val="20"/>
        </w:rPr>
        <w:t>year-end);</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the appropriation to the other fund is at the discretion of the subsidiaries. The PRC entities are also subject to certain restrictions with respect to transfers of any of their net assets to the Company and the Company does not have legal ownership in VIEs and VIEs’ subsidiaries.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general reserve is used to offset future extraordinary losses. PRC entities may, upon a resolution passed by the shareholders, convert the general reserve into capital. The staff welfare and bonus reserve are used for the collective welfare of the employees of the subsidiary. The enterprise expansion reserve is for the expansion of the subsidiary’s operations and can be converted to capital subject to approval by the relevant authorities. These reserves represent appropriations of the retained earnings determined in accordance with Chinese law and are not distributable as cash dividends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Relevant PRC statutory laws and regulations permit payment of dividends by the Company’s PRC entities only out of their retained earnings, if any, as determined in accordance with PRC accounting standards and regulations. The Company’s PRC entities transferred RMB133,629, RMB150,120 and RMB193,491 from current year’s net income to the general reserve during the years ended December 31, 2022, 2023 and 2024, respectively. </w:t>
      </w:r>
    </w:p>
    <w:p>
      <w:pPr>
        <w:pStyle w:val="TextBody"/>
        <w:bidi w:val="0"/>
        <w:spacing w:before="120" w:after="0"/>
        <w:jc w:val="left"/>
        <w:rPr>
          <w:rFonts w:ascii="Times New Roman" w:hAnsi="Times New Roman"/>
          <w:sz w:val="20"/>
        </w:rPr>
      </w:pPr>
      <w:r>
        <w:rPr>
          <w:rFonts w:ascii="Times New Roman" w:hAnsi="Times New Roman"/>
          <w:sz w:val="20"/>
        </w:rPr>
        <w:t xml:space="preserve">The balance of restricted net assets was RMB16.20 billion as of December 31, 2024.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ind w:left="0" w:right="0" w:hanging="0"/>
        <w:jc w:val="left"/>
        <w:rPr/>
      </w:pPr>
      <w:r>
        <w:rPr/>
        <w:t> </w:t>
      </w:r>
    </w:p>
    <w:tbl>
      <w:tblPr>
        <w:tblW w:w="1855" w:type="dxa"/>
        <w:jc w:val="left"/>
        <w:tblInd w:w="0" w:type="dxa"/>
        <w:tblLayout w:type="fixed"/>
        <w:tblCellMar>
          <w:top w:w="0" w:type="dxa"/>
          <w:left w:w="0" w:type="dxa"/>
          <w:bottom w:w="0" w:type="dxa"/>
          <w:right w:w="0" w:type="dxa"/>
        </w:tblCellMar>
      </w:tblPr>
      <w:tblGrid>
        <w:gridCol w:w="335"/>
        <w:gridCol w:w="1520"/>
      </w:tblGrid>
      <w:tr>
        <w:trPr/>
        <w:tc>
          <w:tcPr>
            <w:tcW w:w="335" w:type="dxa"/>
            <w:tcBorders/>
            <w:vAlign w:val="center"/>
          </w:tcPr>
          <w:p>
            <w:pPr>
              <w:pStyle w:val="TableContents"/>
              <w:bidi w:val="0"/>
              <w:spacing w:before="0" w:after="0"/>
              <w:jc w:val="left"/>
              <w:rPr>
                <w:b/>
                <w:spacing w:val="0"/>
              </w:rPr>
            </w:pPr>
            <w:r>
              <w:rPr>
                <w:b/>
                <w:spacing w:val="0"/>
              </w:rPr>
              <w:t>17.</w:t>
            </w:r>
          </w:p>
        </w:tc>
        <w:tc>
          <w:tcPr>
            <w:tcW w:w="15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Capital structure </w:t>
            </w:r>
          </w:p>
        </w:tc>
      </w:tr>
    </w:tbl>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Dual-class share structure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On September 15, 2014, the Company’s shareholders voted in favor of a proposal to adopt a dual-class share structure, pursuant to which the Company’s authorized share capital was reclassified and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re-designated</w:t>
      </w:r>
    </w:p>
    <w:p>
      <w:pPr>
        <w:pStyle w:val="TextBody"/>
        <w:bidi w:val="0"/>
        <w:spacing w:before="120" w:after="0"/>
        <w:jc w:val="left"/>
        <w:rPr>
          <w:rFonts w:ascii="Times New Roman" w:hAnsi="Times New Roman"/>
          <w:sz w:val="20"/>
        </w:rPr>
      </w:pPr>
      <w:r>
        <w:rPr>
          <w:rFonts w:ascii="Times New Roman" w:hAnsi="Times New Roman"/>
          <w:sz w:val="20"/>
        </w:rPr>
        <w:t xml:space="preserve">into Class A ordinary shares and Class B ordinary shares, with each Class A ordinary share being entitled to one vote and each Class B ordinary share being entitled to ten votes on all matters that are subject to shareholder vote. Both Class A and Class B ordinary shares are entitled to the same dividend right. The holders of the Group’s ordinary shares are entitled to such dividends as may be declared by the board of directors subject to the Companies Law. As of December 31, 2023 and 2024, all Class B ordinary shares were held by the Chairman of the Company.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ADS ratio change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Effective November 3, 2014, the Group changed its ADS to Class A ordinary share ratio from one ADS representing two Class A ordinary shares to five ADSs representing one Class A ordinary share.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Exercise of share options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During the years ended December 31, 2022, 2023 and 2024, nil, nil and 14,000 Class A ordinary shares were issued respectively, as a result of exercise of share options by employees.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Vesting of shares awards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During the years ended December 31, 2022, 2023 and 2024, 1,084,205, 1,034,612 and 1,118,228 Class A ordinary shares were issued respectively as a result of vesting of shares awards granted to employees.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Repurchase of ordinary shares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During the year ended December 31, 2022, the Group repurchased approximately US$952.3 million (RMB6,424.8 million) of ADS representing 19,695,770 Class A ordinary shares in accordance with the US$500 million and US$1 billion share repurchase program the Company’s board of directors authorized in March 2021 and March 2022.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During the year ended December 31, 2023, the Group repurchased approximately US$713.3 million (RMB4,968.5 million) of ADS representing 9,755,695 class A ordinary shares in accordance with the US$1 billion, US$500 million and US$500 million share repurchase program the Company’s board of directors authorized in March 2022, March 2023 and May 2023. </w:t>
      </w:r>
    </w:p>
    <w:p>
      <w:pPr>
        <w:pStyle w:val="TextBody"/>
        <w:bidi w:val="0"/>
        <w:spacing w:before="120" w:after="0"/>
        <w:ind w:left="0" w:right="0" w:hanging="0"/>
        <w:jc w:val="left"/>
        <w:rPr>
          <w:rFonts w:ascii="Times New Roman" w:hAnsi="Times New Roman"/>
          <w:sz w:val="20"/>
        </w:rPr>
      </w:pPr>
      <w:r>
        <w:rPr>
          <w:rFonts w:ascii="Times New Roman" w:hAnsi="Times New Roman"/>
          <w:sz w:val="20"/>
        </w:rPr>
        <w:t>During the year ended December 31, 2024, the Group repurchased approximately US$536.1 million (RMB3,852.4 million) of ADS representing 7,668,435 class A ordinary shares in accordance with the US$500 million and US$500 million share repurchase program the Company’s board of directors authorized in March 2023 and May 2023.</w:t>
      </w:r>
    </w:p>
    <w:p>
      <w:pPr>
        <w:pStyle w:val="TextBody"/>
        <w:bidi w:val="0"/>
        <w:spacing w:before="12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In addition, during the same period, the Group repurchased 12,249 class A ordinary shares that had been issued to employees in prior years and were already vested, with no consideration paid by the Group.</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Cancellation of ordinary shares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During the year ended December 31, 2023, the Group canceled 26,216,773 class A ordinary shares, out of treasury shares, with carrying value approximately US$1,426.8 million (RMB9,696.3 million).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Reissuance of Treasury Shares </w:t>
      </w:r>
    </w:p>
    <w:p>
      <w:pPr>
        <w:pStyle w:val="TextBody"/>
        <w:bidi w:val="0"/>
        <w:spacing w:before="120" w:after="0"/>
        <w:ind w:left="0" w:right="0" w:hanging="0"/>
        <w:jc w:val="left"/>
        <w:rPr>
          <w:rFonts w:ascii="Times New Roman" w:hAnsi="Times New Roman"/>
          <w:sz w:val="20"/>
        </w:rPr>
      </w:pPr>
      <w:r>
        <w:rPr>
          <w:rFonts w:ascii="Times New Roman" w:hAnsi="Times New Roman"/>
          <w:sz w:val="20"/>
        </w:rPr>
        <w:t>During the year ended December 31, 2024,</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630,353</w:t>
      </w:r>
    </w:p>
    <w:p>
      <w:pPr>
        <w:pStyle w:val="TextBody"/>
        <w:bidi w:val="0"/>
        <w:spacing w:before="120" w:after="0"/>
        <w:jc w:val="left"/>
        <w:rPr>
          <w:rFonts w:ascii="Times New Roman" w:hAnsi="Times New Roman"/>
          <w:sz w:val="20"/>
        </w:rPr>
      </w:pPr>
      <w:r>
        <w:rPr>
          <w:rFonts w:ascii="Times New Roman" w:hAnsi="Times New Roman"/>
          <w:sz w:val="20"/>
        </w:rPr>
        <w:t xml:space="preserve">of the treasury </w:t>
      </w:r>
    </w:p>
    <w:p>
      <w:pPr>
        <w:pStyle w:val="TextBody"/>
        <w:bidi w:val="0"/>
        <w:spacing w:before="120" w:after="0"/>
        <w:jc w:val="left"/>
        <w:rPr>
          <w:rFonts w:ascii="Times New Roman" w:hAnsi="Times New Roman"/>
          <w:sz w:val="20"/>
        </w:rPr>
      </w:pPr>
      <w:r>
        <w:rPr>
          <w:rFonts w:ascii="Times New Roman" w:hAnsi="Times New Roman"/>
          <w:sz w:val="20"/>
        </w:rPr>
        <w:t>shares were</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re-issued</w:t>
      </w:r>
    </w:p>
    <w:p>
      <w:pPr>
        <w:pStyle w:val="TextBody"/>
        <w:bidi w:val="0"/>
        <w:spacing w:before="120" w:after="0"/>
        <w:jc w:val="left"/>
        <w:rPr>
          <w:rFonts w:ascii="Times New Roman" w:hAnsi="Times New Roman"/>
          <w:sz w:val="20"/>
        </w:rPr>
      </w:pPr>
      <w:r>
        <w:rPr>
          <w:rFonts w:ascii="Times New Roman" w:hAnsi="Times New Roman"/>
          <w:sz w:val="20"/>
        </w:rPr>
        <w:t xml:space="preserve">to employees of the Group for the purpose of share awards. </w:t>
      </w:r>
    </w:p>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Dividend </w:t>
      </w:r>
    </w:p>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On February 22, 2024, the Company announced that the Board of Directors approved a cash dividend of US$2.15 per ordinary share, or US$0.43 per ADS, to the holders of ordinary shares and ADSs, respectively, as of the close of business on March 15, 2024. Dividends are recognized when declared. The cash dividends amounted to US$233.3 million </w:t>
      </w:r>
    </w:p>
    <w:p>
      <w:pPr>
        <w:pStyle w:val="TextBody"/>
        <w:bidi w:val="0"/>
        <w:spacing w:before="120" w:after="0"/>
        <w:jc w:val="left"/>
        <w:rPr>
          <w:rFonts w:ascii="Times New Roman" w:hAnsi="Times New Roman"/>
          <w:sz w:val="20"/>
        </w:rPr>
      </w:pPr>
      <w:r>
        <w:rPr>
          <w:rFonts w:ascii="Times New Roman" w:hAnsi="Times New Roman"/>
          <w:sz w:val="20"/>
        </w:rPr>
        <w:t>(RMB1.68 billion) </w:t>
      </w:r>
    </w:p>
    <w:p>
      <w:pPr>
        <w:pStyle w:val="TextBody"/>
        <w:bidi w:val="0"/>
        <w:spacing w:before="120" w:after="0"/>
        <w:jc w:val="left"/>
        <w:rPr>
          <w:rFonts w:ascii="Times New Roman" w:hAnsi="Times New Roman"/>
          <w:sz w:val="20"/>
        </w:rPr>
      </w:pPr>
      <w:r>
        <w:rPr>
          <w:rFonts w:ascii="Times New Roman" w:hAnsi="Times New Roman"/>
          <w:sz w:val="20"/>
        </w:rPr>
        <w:t xml:space="preserve">were paid in April 2024. No dividends had been paid or declared by the Company for the year ended December 31, 2022 and 2023.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F-44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ind w:left="0" w:right="0" w:hanging="0"/>
        <w:jc w:val="left"/>
        <w:rPr/>
      </w:pPr>
      <w:r>
        <w:rPr/>
        <w:t> </w:t>
      </w:r>
    </w:p>
    <w:tbl>
      <w:tblPr>
        <w:tblW w:w="1720" w:type="dxa"/>
        <w:jc w:val="left"/>
        <w:tblInd w:w="0" w:type="dxa"/>
        <w:tblLayout w:type="fixed"/>
        <w:tblCellMar>
          <w:top w:w="0" w:type="dxa"/>
          <w:left w:w="0" w:type="dxa"/>
          <w:bottom w:w="0" w:type="dxa"/>
          <w:right w:w="0" w:type="dxa"/>
        </w:tblCellMar>
      </w:tblPr>
      <w:tblGrid>
        <w:gridCol w:w="335"/>
        <w:gridCol w:w="1385"/>
      </w:tblGrid>
      <w:tr>
        <w:trPr/>
        <w:tc>
          <w:tcPr>
            <w:tcW w:w="335" w:type="dxa"/>
            <w:tcBorders/>
            <w:vAlign w:val="center"/>
          </w:tcPr>
          <w:p>
            <w:pPr>
              <w:pStyle w:val="TableContents"/>
              <w:bidi w:val="0"/>
              <w:spacing w:before="0" w:after="0"/>
              <w:jc w:val="left"/>
              <w:rPr>
                <w:b/>
                <w:spacing w:val="0"/>
              </w:rPr>
            </w:pPr>
            <w:r>
              <w:rPr>
                <w:b/>
                <w:spacing w:val="0"/>
              </w:rPr>
              <w:t>18.</w:t>
            </w:r>
          </w:p>
        </w:tc>
        <w:tc>
          <w:tcPr>
            <w:tcW w:w="138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Non-controlling</w:t>
            </w:r>
          </w:p>
          <w:p>
            <w:pPr>
              <w:pStyle w:val="TableContents"/>
              <w:bidi w:val="0"/>
              <w:spacing w:before="0" w:after="0"/>
              <w:jc w:val="left"/>
              <w:rPr>
                <w:rFonts w:ascii="Times New Roman" w:hAnsi="Times New Roman"/>
                <w:b/>
                <w:sz w:val="20"/>
              </w:rPr>
            </w:pPr>
            <w:r>
              <w:rPr>
                <w:rFonts w:ascii="Times New Roman" w:hAnsi="Times New Roman"/>
                <w:b/>
                <w:sz w:val="20"/>
              </w:rPr>
              <w:t>interests</w:t>
            </w:r>
          </w:p>
        </w:tc>
      </w:tr>
    </w:tbl>
    <w:p>
      <w:pPr>
        <w:pStyle w:val="TextBody"/>
        <w:bidi w:val="0"/>
        <w:spacing w:before="0" w:after="0"/>
        <w:ind w:left="0" w:right="0" w:hanging="0"/>
        <w:jc w:val="left"/>
        <w:rPr/>
      </w:pPr>
      <w:r>
        <w:rPr/>
        <w:t> </w:t>
      </w:r>
    </w:p>
    <w:tbl>
      <w:tblPr>
        <w:tblW w:w="6555" w:type="dxa"/>
        <w:jc w:val="left"/>
        <w:tblInd w:w="0" w:type="dxa"/>
        <w:tblLayout w:type="fixed"/>
        <w:tblCellMar>
          <w:top w:w="0" w:type="dxa"/>
          <w:left w:w="0" w:type="dxa"/>
          <w:bottom w:w="0" w:type="dxa"/>
          <w:right w:w="0" w:type="dxa"/>
        </w:tblCellMar>
      </w:tblPr>
      <w:tblGrid>
        <w:gridCol w:w="4640"/>
        <w:gridCol w:w="120"/>
        <w:gridCol w:w="93"/>
        <w:gridCol w:w="1532"/>
        <w:gridCol w:w="170"/>
      </w:tblGrid>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Non-controlling</w:t>
            </w:r>
          </w:p>
          <w:p>
            <w:pPr>
              <w:pStyle w:val="TableContents"/>
              <w:bidi w:val="0"/>
              <w:spacing w:before="0" w:after="0"/>
              <w:jc w:val="center"/>
              <w:rPr/>
            </w:pPr>
            <w:r>
              <w:rPr/>
            </w:r>
          </w:p>
          <w:p>
            <w:pPr>
              <w:pStyle w:val="TableContents"/>
              <w:bidi w:val="0"/>
              <w:spacing w:before="0" w:after="0"/>
              <w:jc w:val="center"/>
              <w:rPr>
                <w:b/>
                <w:spacing w:val="0"/>
              </w:rPr>
            </w:pPr>
            <w:r>
              <w:rPr>
                <w:b/>
                <w:spacing w:val="0"/>
              </w:rPr>
              <w:t>interests</w:t>
            </w:r>
          </w:p>
        </w:tc>
        <w:tc>
          <w:tcPr>
            <w:tcW w:w="17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25"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2022</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1,321,006</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income attributable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84,675</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Acquisition of additional equity interests in subsidiaries </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(64,268</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Dividend distribution to </w:t>
            </w:r>
          </w:p>
          <w:p>
            <w:pPr>
              <w:pStyle w:val="TableContents"/>
              <w:bidi w:val="0"/>
              <w:spacing w:before="0" w:after="0"/>
              <w:jc w:val="left"/>
              <w:rPr>
                <w:rFonts w:ascii="Times New Roman" w:hAnsi="Times New Roman"/>
                <w:sz w:val="20"/>
              </w:rPr>
            </w:pPr>
            <w:r>
              <w:rPr>
                <w:rFonts w:ascii="Times New Roman" w:hAnsi="Times New Roman"/>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shareholders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(39,107</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Deregistration of a subsidiary</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(32</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Capital contribution from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 xml:space="preserve">interests shareholders </w:t>
            </w:r>
          </w:p>
          <w:p>
            <w:pPr>
              <w:pStyle w:val="TableContents"/>
              <w:bidi w:val="0"/>
              <w:spacing w:before="0" w:after="0"/>
              <w:jc w:val="left"/>
              <w:rPr>
                <w:rFonts w:ascii="Times New Roman" w:hAnsi="Times New Roman"/>
                <w:sz w:val="12"/>
              </w:rPr>
            </w:pPr>
            <w:r>
              <w:rPr>
                <w:rFonts w:ascii="Times New Roman" w:hAnsi="Times New Roman"/>
                <w:sz w:val="12"/>
              </w:rPr>
              <w:t>(i</w:t>
            </w:r>
          </w:p>
          <w:p>
            <w:pPr>
              <w:pStyle w:val="TableContents"/>
              <w:bidi w:val="0"/>
              <w:spacing w:before="0" w:after="0"/>
              <w:jc w:val="left"/>
              <w:rPr>
                <w:rFonts w:ascii="Times New Roman" w:hAnsi="Times New Roman"/>
                <w:sz w:val="12"/>
              </w:rPr>
            </w:pPr>
            <w:r>
              <w:rPr>
                <w:rFonts w:ascii="Times New Roman" w:hAnsi="Times New Roman"/>
                <w:sz w:val="12"/>
              </w:rPr>
              <w:t>i</w:t>
            </w:r>
          </w:p>
          <w:p>
            <w:pPr>
              <w:pStyle w:val="TableContents"/>
              <w:bidi w:val="0"/>
              <w:spacing w:before="0" w:after="0"/>
              <w:jc w:val="left"/>
              <w:rPr>
                <w:rFonts w:ascii="Times New Roman" w:hAnsi="Times New Roman"/>
                <w:sz w:val="12"/>
              </w:rPr>
            </w:pPr>
            <w:r>
              <w:rPr>
                <w:rFonts w:ascii="Times New Roman" w:hAnsi="Times New Roman"/>
                <w:sz w:val="12"/>
              </w:rPr>
              <w:t>)</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296,080</w:t>
            </w:r>
          </w:p>
        </w:tc>
        <w:tc>
          <w:tcPr>
            <w:tcW w:w="17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153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2023</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1,598,354</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income attributable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99,010</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Acquisition of additional equity interests in subsidiaries </w:t>
            </w:r>
          </w:p>
          <w:p>
            <w:pPr>
              <w:pStyle w:val="TableContents"/>
              <w:bidi w:val="0"/>
              <w:spacing w:before="0" w:after="0"/>
              <w:jc w:val="left"/>
              <w:rPr>
                <w:rFonts w:ascii="Times New Roman" w:hAnsi="Times New Roman"/>
                <w:sz w:val="12"/>
              </w:rPr>
            </w:pPr>
            <w:r>
              <w:rPr>
                <w:rFonts w:ascii="Times New Roman" w:hAnsi="Times New Roman"/>
                <w:sz w:val="12"/>
              </w:rPr>
              <w:t>(i)</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(228,345</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Dividend distribution to </w:t>
            </w:r>
          </w:p>
          <w:p>
            <w:pPr>
              <w:pStyle w:val="TableContents"/>
              <w:bidi w:val="0"/>
              <w:spacing w:before="0" w:after="0"/>
              <w:jc w:val="left"/>
              <w:rPr>
                <w:rFonts w:ascii="Times New Roman" w:hAnsi="Times New Roman"/>
                <w:sz w:val="20"/>
              </w:rPr>
            </w:pPr>
            <w:r>
              <w:rPr>
                <w:rFonts w:ascii="Times New Roman" w:hAnsi="Times New Roman"/>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shareholders</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(42,891</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Deregistration of a subsidiary</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(1,275</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Capital contribution from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shareholders</w:t>
            </w:r>
          </w:p>
          <w:p>
            <w:pPr>
              <w:pStyle w:val="TableContents"/>
              <w:bidi w:val="0"/>
              <w:spacing w:before="0" w:after="0"/>
              <w:jc w:val="left"/>
              <w:rPr>
                <w:rFonts w:ascii="Times New Roman" w:hAnsi="Times New Roman"/>
                <w:sz w:val="12"/>
              </w:rPr>
            </w:pPr>
            <w:r>
              <w:rPr>
                <w:rFonts w:ascii="Times New Roman" w:hAnsi="Times New Roman"/>
                <w:sz w:val="12"/>
              </w:rPr>
              <w:t>(i</w:t>
            </w:r>
          </w:p>
          <w:p>
            <w:pPr>
              <w:pStyle w:val="TableContents"/>
              <w:bidi w:val="0"/>
              <w:spacing w:before="0" w:after="0"/>
              <w:jc w:val="left"/>
              <w:rPr>
                <w:rFonts w:ascii="Times New Roman" w:hAnsi="Times New Roman"/>
                <w:sz w:val="12"/>
              </w:rPr>
            </w:pPr>
            <w:r>
              <w:rPr>
                <w:rFonts w:ascii="Times New Roman" w:hAnsi="Times New Roman"/>
                <w:sz w:val="12"/>
              </w:rPr>
              <w:t>i</w:t>
            </w:r>
          </w:p>
          <w:p>
            <w:pPr>
              <w:pStyle w:val="TableContents"/>
              <w:bidi w:val="0"/>
              <w:spacing w:before="0" w:after="0"/>
              <w:jc w:val="left"/>
              <w:rPr>
                <w:rFonts w:ascii="Times New Roman" w:hAnsi="Times New Roman"/>
                <w:sz w:val="12"/>
              </w:rPr>
            </w:pPr>
            <w:r>
              <w:rPr>
                <w:rFonts w:ascii="Times New Roman" w:hAnsi="Times New Roman"/>
                <w:sz w:val="12"/>
              </w:rPr>
              <w:t>)</w:t>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532" w:type="dxa"/>
            <w:tcBorders/>
            <w:vAlign w:val="center"/>
          </w:tcPr>
          <w:p>
            <w:pPr>
              <w:pStyle w:val="TableContents"/>
              <w:bidi w:val="0"/>
              <w:spacing w:before="0" w:after="283"/>
              <w:jc w:val="right"/>
              <w:rPr/>
            </w:pPr>
            <w:r>
              <w:rPr/>
              <w:t>155,563</w:t>
            </w:r>
          </w:p>
        </w:tc>
        <w:tc>
          <w:tcPr>
            <w:tcW w:w="17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single" w:sz="2" w:space="1" w:color="000000"/>
              </w:rPr>
            </w:pPr>
            <w:r>
              <w:rPr>
                <w:bdr w:val="single" w:sz="2" w:space="1" w:color="000000"/>
              </w:rPr>
              <w:t> </w:t>
            </w:r>
          </w:p>
        </w:tc>
        <w:tc>
          <w:tcPr>
            <w:tcW w:w="1532"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Balance as of December 31, 2024</w:t>
            </w:r>
          </w:p>
        </w:tc>
        <w:tc>
          <w:tcPr>
            <w:tcW w:w="12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1,580,416</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0"/>
              <w:jc w:val="left"/>
              <w:rPr>
                <w:bdr w:val="double" w:sz="6" w:space="1" w:color="000000"/>
              </w:rPr>
            </w:pPr>
            <w:r>
              <w:rPr>
                <w:bdr w:val="double" w:sz="6" w:space="1" w:color="000000"/>
              </w:rPr>
              <w:t> </w:t>
            </w:r>
          </w:p>
        </w:tc>
        <w:tc>
          <w:tcPr>
            <w:tcW w:w="1532"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3"/>
        <w:gridCol w:w="9917"/>
      </w:tblGrid>
      <w:tr>
        <w:trPr/>
        <w:tc>
          <w:tcPr>
            <w:tcW w:w="75"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283"/>
              <w:jc w:val="left"/>
              <w:rPr/>
            </w:pPr>
            <w:r>
              <w:rPr/>
              <w:t>(i)</w:t>
            </w:r>
          </w:p>
        </w:tc>
        <w:tc>
          <w:tcPr>
            <w:tcW w:w="991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During the year ended December 31, 2023, the Group made further investment of RMB73,000 to acquire the remaining shares from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w:t>
            </w:r>
          </w:p>
          <w:p>
            <w:pPr>
              <w:pStyle w:val="TableContents"/>
              <w:bidi w:val="0"/>
              <w:spacing w:before="0" w:after="0"/>
              <w:jc w:val="left"/>
              <w:rPr>
                <w:rFonts w:ascii="Times New Roman" w:hAnsi="Times New Roman"/>
                <w:sz w:val="20"/>
              </w:rPr>
            </w:pPr>
            <w:r>
              <w:rPr>
                <w:rFonts w:ascii="Times New Roman" w:hAnsi="Times New Roman"/>
                <w:sz w:val="20"/>
              </w:rPr>
              <w:t xml:space="preserve">shareholder of Xinjiang Shanshan Outlets Shopping Plaza Co., Ltd. The transaction is recorded as a debit of RMB64,268 based on the book value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 xml:space="preserve">interests and the remaining amount of RMB8,732 is recorded to 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 xml:space="preserve">capital. </w:t>
            </w:r>
          </w:p>
        </w:tc>
      </w:tr>
    </w:tbl>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During the year ended December 31, 2024, the Group made further investment of RMB512,031 to acquire the remaining shares from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interests </w:t>
      </w:r>
    </w:p>
    <w:p>
      <w:pPr>
        <w:pStyle w:val="TextBody"/>
        <w:bidi w:val="0"/>
        <w:spacing w:before="120" w:after="0"/>
        <w:jc w:val="left"/>
        <w:rPr>
          <w:rFonts w:ascii="Times New Roman" w:hAnsi="Times New Roman"/>
          <w:sz w:val="20"/>
        </w:rPr>
      </w:pPr>
      <w:r>
        <w:rPr>
          <w:rFonts w:ascii="Times New Roman" w:hAnsi="Times New Roman"/>
          <w:sz w:val="20"/>
        </w:rPr>
        <w:t xml:space="preserve">shareholder of Shan Jing Commercial Management (Ningbo) Co., Ltd. The transaction is recorded as a debit of RMB228,139 based on the book value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 xml:space="preserve">interests and the remaining amount of RMB283,892 is recorded to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w:t>
      </w:r>
    </w:p>
    <w:p>
      <w:pPr>
        <w:pStyle w:val="TextBody"/>
        <w:bidi w:val="0"/>
        <w:spacing w:before="0" w:after="0"/>
        <w:ind w:left="0" w:right="0" w:hanging="0"/>
        <w:jc w:val="left"/>
        <w:rPr/>
      </w:pPr>
      <w:r>
        <w:rPr/>
        <w:t> </w:t>
      </w:r>
    </w:p>
    <w:tbl>
      <w:tblPr>
        <w:tblW w:w="9790" w:type="dxa"/>
        <w:jc w:val="left"/>
        <w:tblInd w:w="0" w:type="dxa"/>
        <w:tblLayout w:type="fixed"/>
        <w:tblCellMar>
          <w:top w:w="0" w:type="dxa"/>
          <w:left w:w="0" w:type="dxa"/>
          <w:bottom w:w="0" w:type="dxa"/>
          <w:right w:w="0" w:type="dxa"/>
        </w:tblCellMar>
      </w:tblPr>
      <w:tblGrid>
        <w:gridCol w:w="75"/>
        <w:gridCol w:w="290"/>
        <w:gridCol w:w="942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(ii)</w:t>
            </w:r>
          </w:p>
        </w:tc>
        <w:tc>
          <w:tcPr>
            <w:tcW w:w="94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During the year ended December 31, 2023, a total capital contribution of RMB285,450 was received from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w:t>
            </w:r>
          </w:p>
          <w:p>
            <w:pPr>
              <w:pStyle w:val="TableContents"/>
              <w:bidi w:val="0"/>
              <w:spacing w:before="0" w:after="0"/>
              <w:jc w:val="left"/>
              <w:rPr>
                <w:rFonts w:ascii="Times New Roman" w:hAnsi="Times New Roman"/>
                <w:sz w:val="20"/>
              </w:rPr>
            </w:pPr>
            <w:r>
              <w:rPr>
                <w:rFonts w:ascii="Times New Roman" w:hAnsi="Times New Roman"/>
                <w:sz w:val="20"/>
              </w:rPr>
              <w:t xml:space="preserve">shareholders of several subsidiaries of Shan Shan Outlets in which RMB296,080 and RMB(10,630) was recorded in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 xml:space="preserve">interests and 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 xml:space="preserve">capital, respectively. </w:t>
            </w:r>
          </w:p>
        </w:tc>
      </w:tr>
    </w:tbl>
    <w:p>
      <w:pPr>
        <w:pStyle w:val="TextBody"/>
        <w:bidi w:val="0"/>
        <w:spacing w:before="120" w:after="0"/>
        <w:ind w:left="0" w:right="0" w:hanging="0"/>
        <w:jc w:val="left"/>
        <w:rPr>
          <w:rFonts w:ascii="Times New Roman" w:hAnsi="Times New Roman"/>
          <w:sz w:val="20"/>
        </w:rPr>
      </w:pPr>
      <w:r>
        <w:rPr>
          <w:rFonts w:ascii="Times New Roman" w:hAnsi="Times New Roman"/>
          <w:sz w:val="20"/>
        </w:rPr>
        <w:t xml:space="preserve">During the year ended December 31, 2024, a total capital contribution of RMB163,860 was received from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interests </w:t>
      </w:r>
    </w:p>
    <w:p>
      <w:pPr>
        <w:pStyle w:val="TextBody"/>
        <w:bidi w:val="0"/>
        <w:spacing w:before="120" w:after="0"/>
        <w:jc w:val="left"/>
        <w:rPr>
          <w:rFonts w:ascii="Times New Roman" w:hAnsi="Times New Roman"/>
          <w:sz w:val="20"/>
        </w:rPr>
      </w:pPr>
      <w:r>
        <w:rPr>
          <w:rFonts w:ascii="Times New Roman" w:hAnsi="Times New Roman"/>
          <w:sz w:val="20"/>
        </w:rPr>
        <w:t xml:space="preserve">shareholders of several subsidiaries of Shan Shan Outlets in which RMB155,563 and RMB8,297 was recorded 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non-controlling</w:t>
      </w:r>
    </w:p>
    <w:p>
      <w:pPr>
        <w:pStyle w:val="TextBody"/>
        <w:bidi w:val="0"/>
        <w:spacing w:before="120" w:after="0"/>
        <w:jc w:val="left"/>
        <w:rPr>
          <w:rFonts w:ascii="Times New Roman" w:hAnsi="Times New Roman"/>
          <w:sz w:val="20"/>
        </w:rPr>
      </w:pPr>
      <w:r>
        <w:rPr>
          <w:rFonts w:ascii="Times New Roman" w:hAnsi="Times New Roman"/>
          <w:sz w:val="20"/>
        </w:rPr>
        <w:t xml:space="preserve">interests and additional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paid-in</w:t>
      </w:r>
    </w:p>
    <w:p>
      <w:pPr>
        <w:pStyle w:val="TextBody"/>
        <w:bidi w:val="0"/>
        <w:spacing w:before="120" w:after="0"/>
        <w:jc w:val="left"/>
        <w:rPr>
          <w:rFonts w:ascii="Times New Roman" w:hAnsi="Times New Roman"/>
          <w:sz w:val="20"/>
        </w:rPr>
      </w:pPr>
      <w:r>
        <w:rPr>
          <w:rFonts w:ascii="Times New Roman" w:hAnsi="Times New Roman"/>
          <w:sz w:val="20"/>
        </w:rPr>
        <w:t xml:space="preserve">capital, </w:t>
      </w:r>
    </w:p>
    <w:p>
      <w:pPr>
        <w:pStyle w:val="TextBody"/>
        <w:bidi w:val="0"/>
        <w:spacing w:before="120" w:after="0"/>
        <w:jc w:val="left"/>
        <w:rPr>
          <w:rFonts w:ascii="Times New Roman" w:hAnsi="Times New Roman"/>
          <w:spacing w:val="0"/>
          <w:sz w:val="20"/>
        </w:rPr>
      </w:pPr>
      <w:r>
        <w:rPr>
          <w:rFonts w:ascii="Times New Roman" w:hAnsi="Times New Roman"/>
          <w:spacing w:val="0"/>
          <w:sz w:val="20"/>
        </w:rPr>
        <w:t>respectively</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The schedule below discloses the effect of changes in the Company’s ownership interests in subsidiaries on the Company’s equity: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340"/>
        <w:gridCol w:w="120"/>
        <w:gridCol w:w="60"/>
        <w:gridCol w:w="980"/>
        <w:gridCol w:w="60"/>
        <w:gridCol w:w="120"/>
        <w:gridCol w:w="60"/>
        <w:gridCol w:w="980"/>
        <w:gridCol w:w="155"/>
        <w:gridCol w:w="120"/>
        <w:gridCol w:w="60"/>
        <w:gridCol w:w="980"/>
        <w:gridCol w:w="170"/>
      </w:tblGrid>
      <w:tr>
        <w:trPr/>
        <w:tc>
          <w:tcPr>
            <w:tcW w:w="6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7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6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63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6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Vipshop Holdings Limited’s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6,298,816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8,116,624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7,739,935</w:t>
            </w:r>
          </w:p>
        </w:tc>
        <w:tc>
          <w:tcPr>
            <w:tcW w:w="170" w:type="dxa"/>
            <w:tcBorders/>
            <w:shd w:fill="CCEEFF" w:val="clear"/>
            <w:vAlign w:val="center"/>
          </w:tcPr>
          <w:p>
            <w:pPr>
              <w:pStyle w:val="TableContents"/>
              <w:bidi w:val="0"/>
              <w:spacing w:before="0" w:after="283"/>
              <w:jc w:val="left"/>
              <w:rPr/>
            </w:pPr>
            <w:r>
              <w:rPr/>
              <w:t> </w:t>
            </w:r>
          </w:p>
        </w:tc>
      </w:tr>
      <w:tr>
        <w:trPr/>
        <w:tc>
          <w:tcPr>
            <w:tcW w:w="6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Transfers from (to)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Increase(decrease) in the Company’s 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 in relation to the acquisition of additional equity interests in subsidiaries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(8,732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(283,892</w:t>
            </w:r>
          </w:p>
        </w:tc>
        <w:tc>
          <w:tcPr>
            <w:tcW w:w="170" w:type="dxa"/>
            <w:tcBorders/>
            <w:shd w:fill="CCEEFF" w:val="clear"/>
            <w:vAlign w:val="center"/>
          </w:tcPr>
          <w:p>
            <w:pPr>
              <w:pStyle w:val="TableContents"/>
              <w:bidi w:val="0"/>
              <w:spacing w:before="0" w:after="283"/>
              <w:jc w:val="left"/>
              <w:rPr/>
            </w:pPr>
            <w:r>
              <w:rPr/>
              <w:t>) </w:t>
            </w:r>
          </w:p>
        </w:tc>
      </w:tr>
      <w:tr>
        <w:trPr/>
        <w:tc>
          <w:tcPr>
            <w:tcW w:w="6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Capital contributions from(to) </w:t>
            </w:r>
          </w:p>
          <w:p>
            <w:pPr>
              <w:pStyle w:val="TableContents"/>
              <w:bidi w:val="0"/>
              <w:spacing w:before="0" w:after="0"/>
              <w:jc w:val="left"/>
              <w:rPr>
                <w:rFonts w:ascii="Times New Roman" w:hAnsi="Times New Roman"/>
                <w:sz w:val="20"/>
              </w:rPr>
            </w:pPr>
            <w:r>
              <w:rPr>
                <w:rFonts w:ascii="Times New Roman" w:hAnsi="Times New Roman"/>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shareholders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6,761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(10,630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8,297</w:t>
            </w:r>
          </w:p>
        </w:tc>
        <w:tc>
          <w:tcPr>
            <w:tcW w:w="170" w:type="dxa"/>
            <w:tcBorders/>
            <w:vAlign w:val="center"/>
          </w:tcPr>
          <w:p>
            <w:pPr>
              <w:pStyle w:val="TableContents"/>
              <w:bidi w:val="0"/>
              <w:spacing w:before="0" w:after="283"/>
              <w:jc w:val="left"/>
              <w:rPr/>
            </w:pPr>
            <w:r>
              <w:rPr/>
              <w:t> </w:t>
            </w:r>
          </w:p>
        </w:tc>
      </w:tr>
      <w:tr>
        <w:trPr/>
        <w:tc>
          <w:tcPr>
            <w:tcW w:w="6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Net transfers from(to) </w:t>
            </w:r>
          </w:p>
          <w:p>
            <w:pPr>
              <w:pStyle w:val="TableContents"/>
              <w:bidi w:val="0"/>
              <w:spacing w:before="0" w:after="0"/>
              <w:jc w:val="left"/>
              <w:rPr>
                <w:rFonts w:ascii="Times New Roman" w:hAnsi="Times New Roman"/>
                <w:sz w:val="20"/>
              </w:rPr>
            </w:pPr>
            <w:r>
              <w:rPr>
                <w:rFonts w:ascii="Times New Roman" w:hAnsi="Times New Roman"/>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9,214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(19,362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(275,595</w:t>
            </w:r>
          </w:p>
        </w:tc>
        <w:tc>
          <w:tcPr>
            <w:tcW w:w="170" w:type="dxa"/>
            <w:tcBorders/>
            <w:shd w:fill="CCEEFF" w:val="clear"/>
            <w:vAlign w:val="center"/>
          </w:tcPr>
          <w:p>
            <w:pPr>
              <w:pStyle w:val="TableContents"/>
              <w:bidi w:val="0"/>
              <w:spacing w:before="0" w:after="283"/>
              <w:jc w:val="left"/>
              <w:rPr/>
            </w:pPr>
            <w:r>
              <w:rPr/>
              <w:t>) </w:t>
            </w:r>
          </w:p>
        </w:tc>
      </w:tr>
      <w:tr>
        <w:trPr/>
        <w:tc>
          <w:tcPr>
            <w:tcW w:w="6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Changes to net income attributable to Vipshop Holdings Limited’s shareholders, transfers from(to)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non-controlling</w:t>
            </w:r>
          </w:p>
          <w:p>
            <w:pPr>
              <w:pStyle w:val="TableContents"/>
              <w:bidi w:val="0"/>
              <w:spacing w:before="0" w:after="0"/>
              <w:jc w:val="left"/>
              <w:rPr>
                <w:rFonts w:ascii="Times New Roman" w:hAnsi="Times New Roman"/>
                <w:sz w:val="20"/>
              </w:rPr>
            </w:pPr>
            <w:r>
              <w:rPr>
                <w:rFonts w:ascii="Times New Roman" w:hAnsi="Times New Roman"/>
                <w:sz w:val="20"/>
              </w:rPr>
              <w:t>interests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6,308,030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8,097,262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7,464,340</w:t>
            </w:r>
          </w:p>
        </w:tc>
        <w:tc>
          <w:tcPr>
            <w:tcW w:w="170" w:type="dxa"/>
            <w:tcBorders/>
            <w:vAlign w:val="center"/>
          </w:tcPr>
          <w:p>
            <w:pPr>
              <w:pStyle w:val="TableContents"/>
              <w:bidi w:val="0"/>
              <w:spacing w:before="0" w:after="283"/>
              <w:jc w:val="left"/>
              <w:rPr/>
            </w:pPr>
            <w:r>
              <w:rPr/>
              <w:t> </w:t>
            </w:r>
          </w:p>
        </w:tc>
      </w:tr>
      <w:tr>
        <w:trPr/>
        <w:tc>
          <w:tcPr>
            <w:tcW w:w="63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F-45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335"/>
        <w:gridCol w:w="2105"/>
      </w:tblGrid>
      <w:tr>
        <w:trPr/>
        <w:tc>
          <w:tcPr>
            <w:tcW w:w="335" w:type="dxa"/>
            <w:tcBorders/>
            <w:vAlign w:val="center"/>
          </w:tcPr>
          <w:p>
            <w:pPr>
              <w:pStyle w:val="TableContents"/>
              <w:bidi w:val="0"/>
              <w:spacing w:before="0" w:after="0"/>
              <w:jc w:val="left"/>
              <w:rPr>
                <w:b/>
                <w:spacing w:val="0"/>
              </w:rPr>
            </w:pPr>
            <w:r>
              <w:rPr>
                <w:b/>
                <w:spacing w:val="0"/>
              </w:rPr>
              <w:t>19.</w:t>
            </w:r>
          </w:p>
        </w:tc>
        <w:tc>
          <w:tcPr>
            <w:tcW w:w="21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operating income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Other operating income consists of government grants, claims income and other miscellaneous income. Government grants related to depreciable assets are recognized in statement of income over the periods in which depreciation expense on those assets is recognized, corresponding to the useful lives of the assets. Claims income represents settlements received from insurance claims against suppliers who breached the contractual terms. </w:t>
      </w:r>
    </w:p>
    <w:p>
      <w:pPr>
        <w:pStyle w:val="TextBody"/>
        <w:bidi w:val="0"/>
        <w:spacing w:before="120" w:after="0"/>
        <w:jc w:val="left"/>
        <w:rPr>
          <w:rFonts w:ascii="Times New Roman" w:hAnsi="Times New Roman"/>
          <w:sz w:val="20"/>
        </w:rPr>
      </w:pPr>
      <w:r>
        <w:rPr>
          <w:rFonts w:ascii="Times New Roman" w:hAnsi="Times New Roman"/>
          <w:sz w:val="20"/>
        </w:rPr>
        <w:t xml:space="preserve">Other operating income is comprised of: </w:t>
      </w:r>
    </w:p>
    <w:p>
      <w:pPr>
        <w:pStyle w:val="TextBody"/>
        <w:bidi w:val="0"/>
        <w:spacing w:before="0" w:after="0"/>
        <w:jc w:val="left"/>
        <w:rPr/>
      </w:pPr>
      <w:r>
        <w:rPr/>
        <w:t> </w:t>
      </w:r>
    </w:p>
    <w:tbl>
      <w:tblPr>
        <w:tblW w:w="5540" w:type="dxa"/>
        <w:jc w:val="left"/>
        <w:tblInd w:w="0" w:type="dxa"/>
        <w:tblLayout w:type="fixed"/>
        <w:tblCellMar>
          <w:top w:w="0" w:type="dxa"/>
          <w:left w:w="0" w:type="dxa"/>
          <w:bottom w:w="0" w:type="dxa"/>
          <w:right w:w="0" w:type="dxa"/>
        </w:tblCellMar>
      </w:tblPr>
      <w:tblGrid>
        <w:gridCol w:w="2405"/>
        <w:gridCol w:w="120"/>
        <w:gridCol w:w="60"/>
        <w:gridCol w:w="800"/>
        <w:gridCol w:w="60"/>
        <w:gridCol w:w="120"/>
        <w:gridCol w:w="60"/>
        <w:gridCol w:w="800"/>
        <w:gridCol w:w="60"/>
        <w:gridCol w:w="120"/>
        <w:gridCol w:w="60"/>
        <w:gridCol w:w="800"/>
        <w:gridCol w:w="75"/>
      </w:tblGrid>
      <w:tr>
        <w:trPr/>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4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Government grants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451,664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495,078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635,673</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Claims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202,649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168,940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177,924</w:t>
            </w:r>
          </w:p>
        </w:tc>
        <w:tc>
          <w:tcPr>
            <w:tcW w:w="75" w:type="dxa"/>
            <w:tcBorders/>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70,519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137,542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101,611</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other operating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724,832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801,560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915,208</w:t>
            </w:r>
          </w:p>
        </w:tc>
        <w:tc>
          <w:tcPr>
            <w:tcW w:w="75" w:type="dxa"/>
            <w:tcBorders/>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335"/>
        <w:gridCol w:w="1730"/>
      </w:tblGrid>
      <w:tr>
        <w:trPr/>
        <w:tc>
          <w:tcPr>
            <w:tcW w:w="335" w:type="dxa"/>
            <w:tcBorders/>
            <w:vAlign w:val="center"/>
          </w:tcPr>
          <w:p>
            <w:pPr>
              <w:pStyle w:val="TableContents"/>
              <w:bidi w:val="0"/>
              <w:spacing w:before="0" w:after="0"/>
              <w:jc w:val="left"/>
              <w:rPr>
                <w:b/>
                <w:spacing w:val="0"/>
              </w:rPr>
            </w:pPr>
            <w:r>
              <w:rPr>
                <w:b/>
                <w:spacing w:val="0"/>
              </w:rPr>
              <w:t>20.</w:t>
            </w:r>
          </w:p>
        </w:tc>
        <w:tc>
          <w:tcPr>
            <w:tcW w:w="17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Income tax expense </w:t>
            </w:r>
          </w:p>
        </w:tc>
      </w:tr>
    </w:tbl>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Cayman Islands </w:t>
      </w:r>
    </w:p>
    <w:p>
      <w:pPr>
        <w:pStyle w:val="TextBody"/>
        <w:bidi w:val="0"/>
        <w:spacing w:before="120" w:after="0"/>
        <w:jc w:val="left"/>
        <w:rPr>
          <w:rFonts w:ascii="Times New Roman" w:hAnsi="Times New Roman"/>
          <w:sz w:val="20"/>
        </w:rPr>
      </w:pPr>
      <w:r>
        <w:rPr>
          <w:rFonts w:ascii="Times New Roman" w:hAnsi="Times New Roman"/>
          <w:sz w:val="20"/>
        </w:rPr>
        <w:t xml:space="preserve">Under the current laws of the Cayman Islands, Vipshop Holdings Limited is not subject to tax on its income or capital gains. In addition, upon payments of dividends by Vipshop Holdings Limited to its shareholders, no Cayman Islands withholding tax will be imposed.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The Group’s subsidiaries operating in Hong Kong are subject to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two-tiered</w:t>
      </w:r>
    </w:p>
    <w:p>
      <w:pPr>
        <w:pStyle w:val="TextBody"/>
        <w:bidi w:val="0"/>
        <w:spacing w:before="120" w:after="0"/>
        <w:jc w:val="left"/>
        <w:rPr>
          <w:rFonts w:ascii="Times New Roman" w:hAnsi="Times New Roman"/>
          <w:sz w:val="20"/>
        </w:rPr>
      </w:pPr>
      <w:r>
        <w:rPr>
          <w:rFonts w:ascii="Times New Roman" w:hAnsi="Times New Roman"/>
          <w:sz w:val="20"/>
        </w:rPr>
        <w:t xml:space="preserve">income tax rate for taxable income earned in Hong Kong effectively since April 1, 2018. The first 2.0 million Hong Kong dollars of profits earned by a company are subject to be taxed at an income tax rate at 8.25%, while the remaining profits will continue to be taxed at the existing tax rate, 16.5%.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The Company’s wholly owned subsidiaries incorporated in Singapore are subject to Singapore corporate tax at a rate of 17% on the assessable profits arising from Singapore. Vipshop Singapore Pte. is entitled to enjoy the beneficial tax rate at 10% from July 1, 2022 to December 31, 2024, and to enjoy the beneficial tax rate at </w:t>
      </w:r>
    </w:p>
    <w:p>
      <w:pPr>
        <w:pStyle w:val="TextBody"/>
        <w:bidi w:val="0"/>
        <w:spacing w:before="120" w:after="0"/>
        <w:jc w:val="left"/>
        <w:rPr>
          <w:rFonts w:ascii="Times New Roman" w:hAnsi="Times New Roman"/>
          <w:spacing w:val="0"/>
          <w:sz w:val="20"/>
        </w:rPr>
      </w:pPr>
      <w:r>
        <w:rPr>
          <w:rFonts w:ascii="Times New Roman" w:hAnsi="Times New Roman"/>
          <w:spacing w:val="0"/>
          <w:sz w:val="20"/>
        </w:rPr>
        <w:t>15</w:t>
      </w:r>
    </w:p>
    <w:p>
      <w:pPr>
        <w:pStyle w:val="TextBody"/>
        <w:bidi w:val="0"/>
        <w:spacing w:before="120" w:after="0"/>
        <w:jc w:val="left"/>
        <w:rPr>
          <w:rFonts w:ascii="Times New Roman" w:hAnsi="Times New Roman"/>
          <w:sz w:val="20"/>
        </w:rPr>
      </w:pPr>
      <w:r>
        <w:rPr>
          <w:rFonts w:ascii="Times New Roman" w:hAnsi="Times New Roman"/>
          <w:sz w:val="20"/>
        </w:rPr>
        <w:t xml:space="preserve">% from January 1, 2025 to June 30, 2027.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People’s Republic of China </w:t>
      </w:r>
    </w:p>
    <w:p>
      <w:pPr>
        <w:pStyle w:val="TextBody"/>
        <w:bidi w:val="0"/>
        <w:spacing w:before="120" w:after="0"/>
        <w:jc w:val="left"/>
        <w:rPr>
          <w:rFonts w:ascii="Times New Roman" w:hAnsi="Times New Roman"/>
          <w:sz w:val="20"/>
        </w:rPr>
      </w:pPr>
      <w:r>
        <w:rPr>
          <w:rFonts w:ascii="Times New Roman" w:hAnsi="Times New Roman"/>
          <w:sz w:val="20"/>
        </w:rPr>
        <w:t xml:space="preserve">Under the Law of the People’s Republic of China on Enterprise Income Tax (“EIT Law”), PRC enterprises are subject to a tax rate at 25%. Besides, preferential tax treatment may continue to be given to companies in certain encouraged sectors and to entities classified as high and new technology companies. </w:t>
      </w:r>
    </w:p>
    <w:p>
      <w:pPr>
        <w:pStyle w:val="TextBody"/>
        <w:bidi w:val="0"/>
        <w:spacing w:before="120" w:after="0"/>
        <w:jc w:val="left"/>
        <w:rPr>
          <w:rFonts w:ascii="Times New Roman" w:hAnsi="Times New Roman"/>
          <w:sz w:val="20"/>
        </w:rPr>
      </w:pPr>
      <w:r>
        <w:rPr>
          <w:rFonts w:ascii="Times New Roman" w:hAnsi="Times New Roman"/>
          <w:sz w:val="20"/>
        </w:rPr>
        <w:t xml:space="preserve">In accordance with the State Administration of Taxation Announcement 2018 No. 23: the Administrative Measures on Corporate Income Tax Preferential Policies (Revision 2018), the enterprise shall voluntarily assess and apply the relevant preferential tax rate according to the de facto operating situation and relevant tax regulations, the relevant supporting documents of which shall be retained for any examination by the tax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335"/>
        <w:gridCol w:w="1730"/>
      </w:tblGrid>
      <w:tr>
        <w:trPr/>
        <w:tc>
          <w:tcPr>
            <w:tcW w:w="335" w:type="dxa"/>
            <w:tcBorders/>
            <w:vAlign w:val="center"/>
          </w:tcPr>
          <w:p>
            <w:pPr>
              <w:pStyle w:val="TableContents"/>
              <w:bidi w:val="0"/>
              <w:spacing w:before="0" w:after="0"/>
              <w:jc w:val="left"/>
              <w:rPr>
                <w:b/>
                <w:spacing w:val="0"/>
              </w:rPr>
            </w:pPr>
            <w:r>
              <w:rPr>
                <w:b/>
                <w:spacing w:val="0"/>
              </w:rPr>
              <w:t>20.</w:t>
            </w:r>
          </w:p>
        </w:tc>
        <w:tc>
          <w:tcPr>
            <w:tcW w:w="17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Income tax expense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People’s Republic of China </w:t>
      </w:r>
    </w:p>
    <w:p>
      <w:pPr>
        <w:pStyle w:val="TextBody"/>
        <w:bidi w:val="0"/>
        <w:spacing w:before="0" w:after="0"/>
        <w:jc w:val="left"/>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The Group’s subsidiaries and the VIEs in the PRC are all subject to the tax rate at </w:t>
      </w:r>
    </w:p>
    <w:p>
      <w:pPr>
        <w:pStyle w:val="TextBody"/>
        <w:bidi w:val="0"/>
        <w:spacing w:before="0" w:after="0"/>
        <w:jc w:val="left"/>
        <w:rPr>
          <w:rFonts w:ascii="Times New Roman" w:hAnsi="Times New Roman"/>
          <w:sz w:val="20"/>
        </w:rPr>
      </w:pPr>
      <w:r>
        <w:rPr>
          <w:rFonts w:ascii="Times New Roman" w:hAnsi="Times New Roman"/>
          <w:sz w:val="20"/>
        </w:rPr>
        <w:t xml:space="preserve">25% for the periods presented except for some principal subsidiaries that were entitled to the following preferential tax treatment, based on the Group’s assessment and relevant tax regulations: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Guangzhou Pinwei Software Co., Ltd. (“Pinwei Software”) was qualified as High and New Technology Enterprises (“HNTE”) and is entitled to a favorable tax rate at 15%. The HNTE qualification was received and approved in December 2020 and need to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re-apply</w:t>
            </w:r>
          </w:p>
          <w:p>
            <w:pPr>
              <w:pStyle w:val="TableContents"/>
              <w:bidi w:val="0"/>
              <w:spacing w:before="0" w:after="0"/>
              <w:jc w:val="left"/>
              <w:rPr>
                <w:rFonts w:ascii="Times New Roman" w:hAnsi="Times New Roman"/>
                <w:sz w:val="20"/>
              </w:rPr>
            </w:pPr>
            <w:r>
              <w:rPr>
                <w:rFonts w:ascii="Times New Roman" w:hAnsi="Times New Roman"/>
                <w:sz w:val="20"/>
              </w:rPr>
              <w:t xml:space="preserve">every three years, and the HNTE qualification was renewed in December 2023. Pinwei Software is entitled to enjoy the beneficial tax rate at 15% as an HNTE for the years 2022, 2023 and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Vipshop (Guangzhou) Software Co., Ltd. (“Guangzhou Software”) was granted the Software Enterprise status and was thereby entitled to an income tax exemption for two years beginning from its first profitable taxation year of 2021, and 50% reduction of income tax (i.e. entitled to a favorable tax rate at 12.5%) for the subsequent three consecutive years started from the taxation year of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Vipshop (Jianyang)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E-Commerce</w:t>
            </w:r>
          </w:p>
          <w:p>
            <w:pPr>
              <w:pStyle w:val="TableContents"/>
              <w:bidi w:val="0"/>
              <w:spacing w:before="0" w:after="0"/>
              <w:jc w:val="left"/>
              <w:rPr>
                <w:rFonts w:ascii="Times New Roman" w:hAnsi="Times New Roman"/>
                <w:sz w:val="20"/>
              </w:rPr>
            </w:pPr>
            <w:r>
              <w:rPr>
                <w:rFonts w:ascii="Times New Roman" w:hAnsi="Times New Roman"/>
                <w:sz w:val="20"/>
              </w:rPr>
              <w:t xml:space="preserve">Co., Ltd. (“Vipshop Jianyang”), Chongqing Vipshop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E-Commerce</w:t>
            </w:r>
          </w:p>
          <w:p>
            <w:pPr>
              <w:pStyle w:val="TableContents"/>
              <w:bidi w:val="0"/>
              <w:spacing w:before="0" w:after="0"/>
              <w:jc w:val="left"/>
              <w:rPr>
                <w:rFonts w:ascii="Times New Roman" w:hAnsi="Times New Roman"/>
                <w:sz w:val="20"/>
              </w:rPr>
            </w:pPr>
            <w:r>
              <w:rPr>
                <w:rFonts w:ascii="Times New Roman" w:hAnsi="Times New Roman"/>
                <w:sz w:val="20"/>
              </w:rPr>
              <w:t xml:space="preserve">Co., Ltd. (“Vipshop Chongqing”) have been recognized as “encouraged enterprises in an industry sector encouraged by the PRC government” in the Western Region, and are entitled to a preferential tax rate at 15% for the years ended 2022, 2023 and 2024.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evaluates the level of authority for each uncertain tax position (including the potential application of interest and penalties) based on the technical merits, and measures the unrecognized benefits associated with the tax positions. As of December 31, 2022, 2023 and 2024, the Group had no unrecognized tax benefits. The Group does not anticipate any significant increase to its liability for unrecognized tax benefit within the next 12 months. The Group will classify interest and penalties related to income tax matters, if any, in income tax expense. </w:t>
      </w:r>
    </w:p>
    <w:p>
      <w:pPr>
        <w:pStyle w:val="TextBody"/>
        <w:bidi w:val="0"/>
        <w:spacing w:before="120" w:after="0"/>
        <w:jc w:val="left"/>
        <w:rPr>
          <w:rFonts w:ascii="Times New Roman" w:hAnsi="Times New Roman"/>
          <w:sz w:val="20"/>
        </w:rPr>
      </w:pPr>
      <w:r>
        <w:rPr>
          <w:rFonts w:ascii="Times New Roman" w:hAnsi="Times New Roman"/>
          <w:sz w:val="20"/>
        </w:rPr>
        <w:t xml:space="preserve">According to the PRC Tax Administration and Collection Law, the statute of limitations is three years if the underpayment of income taxes is due to computational errors made by the taxpayer. The statute of limitations will be extended to five years under special circumstances, which are not clearly defined, but an underpayment of income tax liability exceeding RMB100 (US$13.70) is specifically listed as a special circumstance. In the case of a transfer pricing related adjustment, the statute of limitations is ten years. There is no statute of limitations in the case of tax evasion, refusal to pay tax and tax fraud. </w:t>
      </w:r>
    </w:p>
    <w:p>
      <w:pPr>
        <w:pStyle w:val="TextBody"/>
        <w:bidi w:val="0"/>
        <w:spacing w:before="120" w:after="0"/>
        <w:jc w:val="left"/>
        <w:rPr>
          <w:rFonts w:ascii="Times New Roman" w:hAnsi="Times New Roman"/>
          <w:sz w:val="20"/>
        </w:rPr>
      </w:pPr>
      <w:r>
        <w:rPr>
          <w:rFonts w:ascii="Times New Roman" w:hAnsi="Times New Roman"/>
          <w:sz w:val="20"/>
        </w:rPr>
        <w:t xml:space="preserve">Income by tax jurisdictions: </w:t>
      </w:r>
    </w:p>
    <w:p>
      <w:pPr>
        <w:pStyle w:val="TextBody"/>
        <w:bidi w:val="0"/>
        <w:spacing w:before="0" w:after="0"/>
        <w:jc w:val="left"/>
        <w:rPr/>
      </w:pPr>
      <w:r>
        <w:rPr/>
        <w:t> </w:t>
      </w:r>
    </w:p>
    <w:tbl>
      <w:tblPr>
        <w:tblW w:w="10145" w:type="dxa"/>
        <w:jc w:val="left"/>
        <w:tblInd w:w="0" w:type="dxa"/>
        <w:tblLayout w:type="fixed"/>
        <w:tblCellMar>
          <w:top w:w="0" w:type="dxa"/>
          <w:left w:w="0" w:type="dxa"/>
          <w:bottom w:w="0" w:type="dxa"/>
          <w:right w:w="0" w:type="dxa"/>
        </w:tblCellMar>
      </w:tblPr>
      <w:tblGrid>
        <w:gridCol w:w="6470"/>
        <w:gridCol w:w="120"/>
        <w:gridCol w:w="60"/>
        <w:gridCol w:w="980"/>
        <w:gridCol w:w="60"/>
        <w:gridCol w:w="120"/>
        <w:gridCol w:w="60"/>
        <w:gridCol w:w="980"/>
        <w:gridCol w:w="60"/>
        <w:gridCol w:w="120"/>
        <w:gridCol w:w="60"/>
        <w:gridCol w:w="980"/>
        <w:gridCol w:w="75"/>
      </w:tblGrid>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8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from China operations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7,254,315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9,825,456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9,788,828</w:t>
            </w:r>
          </w:p>
        </w:tc>
        <w:tc>
          <w:tcPr>
            <w:tcW w:w="75"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Income from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non-China</w:t>
            </w:r>
          </w:p>
          <w:p>
            <w:pPr>
              <w:pStyle w:val="TableContents"/>
              <w:bidi w:val="0"/>
              <w:spacing w:before="0" w:after="0"/>
              <w:jc w:val="left"/>
              <w:rPr>
                <w:rFonts w:ascii="Times New Roman" w:hAnsi="Times New Roman"/>
                <w:sz w:val="20"/>
              </w:rPr>
            </w:pPr>
            <w:r>
              <w:rPr>
                <w:rFonts w:ascii="Times New Roman" w:hAnsi="Times New Roman"/>
                <w:sz w:val="20"/>
              </w:rPr>
              <w:t>operations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822,889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161,546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198,652</w:t>
            </w:r>
          </w:p>
        </w:tc>
        <w:tc>
          <w:tcPr>
            <w:tcW w:w="75" w:type="dxa"/>
            <w:tcBorders/>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64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income before taxes and share of income(loss) of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8,077,204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9,987,002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9,987,480</w:t>
            </w:r>
          </w:p>
        </w:tc>
        <w:tc>
          <w:tcPr>
            <w:tcW w:w="75" w:type="dxa"/>
            <w:tcBorders/>
            <w:shd w:fill="CCEEFF" w:val="clear"/>
            <w:vAlign w:val="center"/>
          </w:tcPr>
          <w:p>
            <w:pPr>
              <w:pStyle w:val="TableContents"/>
              <w:bidi w:val="0"/>
              <w:spacing w:before="0" w:after="283"/>
              <w:jc w:val="left"/>
              <w:rPr/>
            </w:pPr>
            <w:r>
              <w:rPr/>
              <w:t> </w:t>
            </w:r>
          </w:p>
        </w:tc>
      </w:tr>
      <w:tr>
        <w:trPr/>
        <w:tc>
          <w:tcPr>
            <w:tcW w:w="6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315" w:type="dxa"/>
        <w:jc w:val="left"/>
        <w:tblInd w:w="0" w:type="dxa"/>
        <w:tblLayout w:type="fixed"/>
        <w:tblCellMar>
          <w:top w:w="0" w:type="dxa"/>
          <w:left w:w="0" w:type="dxa"/>
          <w:bottom w:w="0" w:type="dxa"/>
          <w:right w:w="0" w:type="dxa"/>
        </w:tblCellMar>
      </w:tblPr>
      <w:tblGrid>
        <w:gridCol w:w="1640"/>
        <w:gridCol w:w="120"/>
        <w:gridCol w:w="60"/>
        <w:gridCol w:w="980"/>
        <w:gridCol w:w="60"/>
        <w:gridCol w:w="120"/>
        <w:gridCol w:w="60"/>
        <w:gridCol w:w="980"/>
        <w:gridCol w:w="60"/>
        <w:gridCol w:w="120"/>
        <w:gridCol w:w="60"/>
        <w:gridCol w:w="980"/>
        <w:gridCol w:w="75"/>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8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Current tax</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1,709,300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1,750,493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2,220,156</w:t>
            </w:r>
          </w:p>
        </w:tc>
        <w:tc>
          <w:tcPr>
            <w:tcW w:w="75" w:type="dxa"/>
            <w:tcBorders/>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49,510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115,511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95,359</w:t>
            </w:r>
          </w:p>
        </w:tc>
        <w:tc>
          <w:tcPr>
            <w:tcW w:w="75" w:type="dxa"/>
            <w:tcBorders/>
            <w:shd w:fill="CCEEFF" w:val="clear"/>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tax expense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1,758,810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1,866,004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2,315,515</w:t>
            </w:r>
          </w:p>
        </w:tc>
        <w:tc>
          <w:tcPr>
            <w:tcW w:w="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335"/>
        <w:gridCol w:w="1730"/>
      </w:tblGrid>
      <w:tr>
        <w:trPr/>
        <w:tc>
          <w:tcPr>
            <w:tcW w:w="335" w:type="dxa"/>
            <w:tcBorders/>
            <w:vAlign w:val="center"/>
          </w:tcPr>
          <w:p>
            <w:pPr>
              <w:pStyle w:val="TableContents"/>
              <w:bidi w:val="0"/>
              <w:spacing w:before="0" w:after="0"/>
              <w:jc w:val="left"/>
              <w:rPr>
                <w:b/>
                <w:spacing w:val="0"/>
              </w:rPr>
            </w:pPr>
            <w:r>
              <w:rPr>
                <w:b/>
                <w:spacing w:val="0"/>
              </w:rPr>
              <w:t>20.</w:t>
            </w:r>
          </w:p>
        </w:tc>
        <w:tc>
          <w:tcPr>
            <w:tcW w:w="17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Income tax expense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People’s Republic of China </w:t>
      </w:r>
    </w:p>
    <w:p>
      <w:pPr>
        <w:pStyle w:val="TextBody"/>
        <w:bidi w:val="0"/>
        <w:spacing w:before="0" w:after="0"/>
        <w:jc w:val="left"/>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Current tax was mainly related to income tax in mainland China. </w:t>
      </w:r>
    </w:p>
    <w:p>
      <w:pPr>
        <w:pStyle w:val="TextBody"/>
        <w:bidi w:val="0"/>
        <w:spacing w:before="120" w:after="0"/>
        <w:jc w:val="left"/>
        <w:rPr>
          <w:rFonts w:ascii="Times New Roman" w:hAnsi="Times New Roman"/>
          <w:sz w:val="20"/>
        </w:rPr>
      </w:pPr>
      <w:r>
        <w:rPr>
          <w:rFonts w:ascii="Times New Roman" w:hAnsi="Times New Roman"/>
          <w:sz w:val="20"/>
        </w:rPr>
        <w:t xml:space="preserve">Under the EIT Law, enterprises are classified as either resident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non-resident.</w:t>
      </w:r>
    </w:p>
    <w:p>
      <w:pPr>
        <w:pStyle w:val="TextBody"/>
        <w:bidi w:val="0"/>
        <w:spacing w:before="120" w:after="0"/>
        <w:jc w:val="left"/>
        <w:rPr>
          <w:rFonts w:ascii="Times New Roman" w:hAnsi="Times New Roman"/>
          <w:sz w:val="20"/>
        </w:rPr>
      </w:pPr>
      <w:r>
        <w:rPr>
          <w:rFonts w:ascii="Times New Roman" w:hAnsi="Times New Roman"/>
          <w:sz w:val="20"/>
        </w:rPr>
        <w:t xml:space="preserve">A resident enterprise refers to one that is incorporated under the PRC law or under the law of a jurisdiction outside the PRC with its “de facto management organization” located within the PRC.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Non-residential</w:t>
      </w:r>
    </w:p>
    <w:p>
      <w:pPr>
        <w:pStyle w:val="TextBody"/>
        <w:bidi w:val="0"/>
        <w:spacing w:before="120" w:after="0"/>
        <w:jc w:val="left"/>
        <w:rPr>
          <w:rFonts w:ascii="Times New Roman" w:hAnsi="Times New Roman"/>
          <w:sz w:val="20"/>
        </w:rPr>
      </w:pPr>
      <w:r>
        <w:rPr>
          <w:rFonts w:ascii="Times New Roman" w:hAnsi="Times New Roman"/>
          <w:sz w:val="20"/>
        </w:rPr>
        <w:t xml:space="preserve">enterprise refers to one that is incorporated under the law of a jurisdiction outside the PRC with its “de facto management organization” located also outside the PRC, but which has either set up institutions or establishments in the PRC or has income originating from the PRC without setting up any institution or establishments in the PRC. </w:t>
      </w:r>
    </w:p>
    <w:p>
      <w:pPr>
        <w:pStyle w:val="TextBody"/>
        <w:bidi w:val="0"/>
        <w:spacing w:before="120" w:after="0"/>
        <w:jc w:val="left"/>
        <w:rPr>
          <w:rFonts w:ascii="Times New Roman" w:hAnsi="Times New Roman"/>
          <w:sz w:val="20"/>
        </w:rPr>
      </w:pPr>
      <w:r>
        <w:rPr>
          <w:rFonts w:ascii="Times New Roman" w:hAnsi="Times New Roman"/>
          <w:sz w:val="20"/>
        </w:rPr>
        <w:t xml:space="preserve">Due to the present uncertainties resulting from the limited PRC tax guidance on this issue, it is unclear that the legal entities organized outside of PRC should be treated as residents for New Tax Law purposes. Nevertheless, even if one or more of its legal entities organized outside of the PRC were characterized as PRC tax residents, no significant underpayment of income taxes would be expected. </w:t>
      </w:r>
    </w:p>
    <w:p>
      <w:pPr>
        <w:pStyle w:val="TextBody"/>
        <w:bidi w:val="0"/>
        <w:spacing w:before="120" w:after="0"/>
        <w:jc w:val="left"/>
        <w:rPr>
          <w:rFonts w:ascii="Times New Roman" w:hAnsi="Times New Roman"/>
          <w:sz w:val="20"/>
        </w:rPr>
      </w:pPr>
      <w:r>
        <w:rPr>
          <w:rFonts w:ascii="Times New Roman" w:hAnsi="Times New Roman"/>
          <w:sz w:val="20"/>
        </w:rPr>
        <w:t xml:space="preserve">If the entity were to be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non-resident</w:t>
      </w:r>
    </w:p>
    <w:p>
      <w:pPr>
        <w:pStyle w:val="TextBody"/>
        <w:bidi w:val="0"/>
        <w:spacing w:before="120" w:after="0"/>
        <w:jc w:val="left"/>
        <w:rPr>
          <w:rFonts w:ascii="Times New Roman" w:hAnsi="Times New Roman"/>
          <w:sz w:val="20"/>
        </w:rPr>
      </w:pPr>
      <w:r>
        <w:rPr>
          <w:rFonts w:ascii="Times New Roman" w:hAnsi="Times New Roman"/>
          <w:sz w:val="20"/>
        </w:rPr>
        <w:t xml:space="preserve">for PRC tax purpose, dividends paid out of profits earned after January 1, 2008 would be subject to a withholding tax. In the case of dividends paid by PRC entities the withholding tax would be 10% and in the case of a subsidiary 25% or more directly owned by residents which meet the criteria of beneficial owner in the Hong Kong Special Administrative Region (“Hong Kong SAR”), the withholding tax would be 5%. </w:t>
      </w:r>
    </w:p>
    <w:p>
      <w:pPr>
        <w:pStyle w:val="TextBody"/>
        <w:bidi w:val="0"/>
        <w:spacing w:before="120" w:after="0"/>
        <w:jc w:val="left"/>
        <w:rPr>
          <w:rFonts w:ascii="Times New Roman" w:hAnsi="Times New Roman"/>
          <w:sz w:val="20"/>
        </w:rPr>
      </w:pPr>
      <w:r>
        <w:rPr>
          <w:rFonts w:ascii="Times New Roman" w:hAnsi="Times New Roman"/>
          <w:sz w:val="20"/>
        </w:rPr>
        <w:t xml:space="preserve">During the year ended December 31, 2023 and 2024, the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Group</w:t>
      </w:r>
    </w:p>
    <w:p>
      <w:pPr>
        <w:pStyle w:val="TextBody"/>
        <w:bidi w:val="0"/>
        <w:spacing w:before="120" w:after="0"/>
        <w:jc w:val="left"/>
        <w:rPr>
          <w:rFonts w:ascii="Times New Roman" w:hAnsi="Times New Roman"/>
          <w:sz w:val="20"/>
        </w:rPr>
      </w:pPr>
      <w:r>
        <w:rPr>
          <w:rFonts w:ascii="Times New Roman" w:hAnsi="Times New Roman"/>
          <w:sz w:val="20"/>
        </w:rPr>
        <w:t>accrued RMB148.8 million and RMB649.9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million withholding tax expenses associated with its earnings distributed or expected to be distributed to the holding company located outside mainland China in Hong Kong SAR respectively. During the year ended December 31, 2024, RMB</w:t>
      </w:r>
    </w:p>
    <w:p>
      <w:pPr>
        <w:pStyle w:val="TextBody"/>
        <w:bidi w:val="0"/>
        <w:spacing w:before="120" w:after="0"/>
        <w:jc w:val="left"/>
        <w:rPr>
          <w:rFonts w:ascii="Times New Roman" w:hAnsi="Times New Roman"/>
          <w:sz w:val="20"/>
        </w:rPr>
      </w:pPr>
      <w:r>
        <w:rPr>
          <w:rFonts w:ascii="Times New Roman" w:hAnsi="Times New Roman"/>
          <w:sz w:val="20"/>
        </w:rPr>
        <w:t>499.9 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million was paid and RMB</w:t>
      </w:r>
    </w:p>
    <w:p>
      <w:pPr>
        <w:pStyle w:val="TextBody"/>
        <w:bidi w:val="0"/>
        <w:spacing w:before="120" w:after="0"/>
        <w:jc w:val="left"/>
        <w:rPr>
          <w:rFonts w:ascii="Times New Roman" w:hAnsi="Times New Roman"/>
          <w:sz w:val="20"/>
        </w:rPr>
      </w:pPr>
      <w:r>
        <w:rPr>
          <w:rFonts w:ascii="Times New Roman" w:hAnsi="Times New Roman"/>
          <w:sz w:val="20"/>
        </w:rPr>
        <w:t>300.0 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million is expected to be paid in 2025. The remaining undistributed earnings of the Group’s subsidiaries in the PRC that are available for distribution to the Group amount to approximately RMB</w:t>
      </w:r>
    </w:p>
    <w:p>
      <w:pPr>
        <w:pStyle w:val="TextBody"/>
        <w:bidi w:val="0"/>
        <w:spacing w:before="120" w:after="0"/>
        <w:jc w:val="left"/>
        <w:rPr>
          <w:rFonts w:ascii="Times New Roman" w:hAnsi="Times New Roman"/>
          <w:sz w:val="20"/>
        </w:rPr>
      </w:pPr>
      <w:r>
        <w:rPr>
          <w:rFonts w:ascii="Times New Roman" w:hAnsi="Times New Roman"/>
          <w:sz w:val="20"/>
        </w:rPr>
        <w:t>12.41 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billion as of December 31, 2024, which are considered to be indefinitely reinvested under ASC </w:t>
      </w:r>
    </w:p>
    <w:p>
      <w:pPr>
        <w:pStyle w:val="TextBody"/>
        <w:bidi w:val="0"/>
        <w:spacing w:before="120" w:after="0"/>
        <w:jc w:val="left"/>
        <w:rPr>
          <w:rFonts w:ascii="Times New Roman" w:hAnsi="Times New Roman"/>
          <w:spacing w:val="0"/>
          <w:sz w:val="20"/>
        </w:rPr>
      </w:pPr>
      <w:r>
        <w:rPr>
          <w:rFonts w:ascii="Times New Roman" w:hAnsi="Times New Roman"/>
          <w:spacing w:val="0"/>
          <w:sz w:val="20"/>
        </w:rPr>
        <w:t>740-30,</w:t>
      </w:r>
    </w:p>
    <w:p>
      <w:pPr>
        <w:pStyle w:val="TextBody"/>
        <w:bidi w:val="0"/>
        <w:spacing w:before="120" w:after="0"/>
        <w:jc w:val="left"/>
        <w:rPr>
          <w:rFonts w:ascii="Times New Roman" w:hAnsi="Times New Roman"/>
          <w:spacing w:val="0"/>
          <w:sz w:val="20"/>
        </w:rPr>
      </w:pPr>
      <w:r>
        <w:rPr>
          <w:rFonts w:ascii="Times New Roman" w:hAnsi="Times New Roman"/>
          <w:spacing w:val="0"/>
          <w:sz w:val="20"/>
        </w:rPr>
        <w:t>Accounting for Income Taxes—Special Areas, and accordingly,</w:t>
      </w:r>
    </w:p>
    <w:p>
      <w:pPr>
        <w:pStyle w:val="TextBody"/>
        <w:bidi w:val="0"/>
        <w:spacing w:before="120" w:after="0"/>
        <w:jc w:val="left"/>
        <w:rPr/>
      </w:pPr>
      <w:r>
        <w:rPr/>
        <w:t> </w:t>
      </w:r>
      <w:r>
        <w:rPr>
          <w:rFonts w:ascii="Times New Roman" w:hAnsi="Times New Roman"/>
          <w:sz w:val="20"/>
        </w:rPr>
        <w:t xml:space="preserve">no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provision has been made for the Chinese dividend withholding taxes. If those earnings were to be distributed or they were determined to be no longer permanently reinvested, the Group would have to record a deferred income tax liability in respect of those undistributed earnings of approximately RMB</w:t>
      </w:r>
    </w:p>
    <w:p>
      <w:pPr>
        <w:pStyle w:val="TextBody"/>
        <w:bidi w:val="0"/>
        <w:spacing w:before="120" w:after="0"/>
        <w:jc w:val="left"/>
        <w:rPr>
          <w:rFonts w:ascii="Times New Roman" w:hAnsi="Times New Roman"/>
          <w:sz w:val="20"/>
        </w:rPr>
      </w:pPr>
      <w:r>
        <w:rPr>
          <w:rFonts w:ascii="Times New Roman" w:hAnsi="Times New Roman"/>
          <w:sz w:val="20"/>
        </w:rPr>
        <w:t>620.7 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million as of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the income tax expense to income before income tax expense and share of income(loss) of equity method investees computed by applying the PRC statutory income tax rate of 25% per the consolidated statements of income and comprehensive income is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45"/>
        <w:gridCol w:w="120"/>
        <w:gridCol w:w="60"/>
        <w:gridCol w:w="980"/>
        <w:gridCol w:w="155"/>
        <w:gridCol w:w="120"/>
        <w:gridCol w:w="60"/>
        <w:gridCol w:w="980"/>
        <w:gridCol w:w="155"/>
        <w:gridCol w:w="120"/>
        <w:gridCol w:w="60"/>
        <w:gridCol w:w="980"/>
        <w:gridCol w:w="170"/>
      </w:tblGrid>
      <w:tr>
        <w:trPr/>
        <w:tc>
          <w:tcPr>
            <w:tcW w:w="6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7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 and share of income(loss) of equity method investees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8,077,204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9,987,002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9,987,480</w:t>
            </w:r>
          </w:p>
        </w:tc>
        <w:tc>
          <w:tcPr>
            <w:tcW w:w="170"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Computed income tax expense at PRC EIT tax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2,019,301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2,496,751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2,496,870</w:t>
            </w:r>
          </w:p>
        </w:tc>
        <w:tc>
          <w:tcPr>
            <w:tcW w:w="170"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non-deductible</w:t>
            </w:r>
          </w:p>
          <w:p>
            <w:pPr>
              <w:pStyle w:val="TableContents"/>
              <w:bidi w:val="0"/>
              <w:spacing w:before="0" w:after="0"/>
              <w:jc w:val="left"/>
              <w:rPr>
                <w:rFonts w:ascii="Times New Roman" w:hAnsi="Times New Roman"/>
                <w:sz w:val="20"/>
              </w:rPr>
            </w:pPr>
            <w:r>
              <w:rPr>
                <w:rFonts w:ascii="Times New Roman" w:hAnsi="Times New Roman"/>
                <w:sz w:val="20"/>
              </w:rPr>
              <w:t>expenses, including: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74,676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153,469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123,223</w:t>
            </w:r>
          </w:p>
        </w:tc>
        <w:tc>
          <w:tcPr>
            <w:tcW w:w="170"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-Other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non-deductible</w:t>
            </w:r>
          </w:p>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42,960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14,653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20,660</w:t>
            </w:r>
          </w:p>
        </w:tc>
        <w:tc>
          <w:tcPr>
            <w:tcW w:w="170"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Effect of different tax rates of subsidiaries operating in other jurisdictions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(236,479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(53,121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(73,738</w:t>
            </w:r>
          </w:p>
        </w:tc>
        <w:tc>
          <w:tcPr>
            <w:tcW w:w="170"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Effect of tax holidays and preferential tax rates granted to PRC entities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(927,595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(824,300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(851,865</w:t>
            </w:r>
          </w:p>
        </w:tc>
        <w:tc>
          <w:tcPr>
            <w:tcW w:w="170"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 of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non-taxable</w:t>
            </w:r>
          </w:p>
          <w:p>
            <w:pPr>
              <w:pStyle w:val="TableContents"/>
              <w:bidi w:val="0"/>
              <w:spacing w:before="0" w:after="0"/>
              <w:jc w:val="left"/>
              <w:rPr>
                <w:rFonts w:ascii="Times New Roman" w:hAnsi="Times New Roman"/>
                <w:sz w:val="20"/>
              </w:rPr>
            </w:pPr>
            <w:r>
              <w:rPr>
                <w:rFonts w:ascii="Times New Roman" w:hAnsi="Times New Roman"/>
                <w:sz w:val="20"/>
              </w:rPr>
              <w:t>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(162,051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(20,279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(60,717</w:t>
            </w:r>
          </w:p>
        </w:tc>
        <w:tc>
          <w:tcPr>
            <w:tcW w:w="170"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Change in valuation allowance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198,761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(49,919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11,222</w:t>
            </w:r>
          </w:p>
        </w:tc>
        <w:tc>
          <w:tcPr>
            <w:tcW w:w="170"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Tax on dividends and undistributed earnings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749,237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148,750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649,860</w:t>
            </w:r>
          </w:p>
        </w:tc>
        <w:tc>
          <w:tcPr>
            <w:tcW w:w="170" w:type="dxa"/>
            <w:tcBorders/>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2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1,758,810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1,866,004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2,315,515</w:t>
            </w:r>
          </w:p>
        </w:tc>
        <w:tc>
          <w:tcPr>
            <w:tcW w:w="170" w:type="dxa"/>
            <w:tcBorders/>
            <w:shd w:fill="CCEEFF" w:val="clear"/>
            <w:vAlign w:val="center"/>
          </w:tcPr>
          <w:p>
            <w:pPr>
              <w:pStyle w:val="TableContents"/>
              <w:bidi w:val="0"/>
              <w:spacing w:before="0" w:after="283"/>
              <w:jc w:val="left"/>
              <w:rPr/>
            </w:pPr>
            <w:r>
              <w:rPr/>
              <w:t> </w:t>
            </w:r>
          </w:p>
        </w:tc>
      </w:tr>
      <w:tr>
        <w:trPr/>
        <w:tc>
          <w:tcPr>
            <w:tcW w:w="62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065" w:type="dxa"/>
        <w:jc w:val="left"/>
        <w:tblInd w:w="0" w:type="dxa"/>
        <w:tblLayout w:type="fixed"/>
        <w:tblCellMar>
          <w:top w:w="0" w:type="dxa"/>
          <w:left w:w="0" w:type="dxa"/>
          <w:bottom w:w="0" w:type="dxa"/>
          <w:right w:w="0" w:type="dxa"/>
        </w:tblCellMar>
      </w:tblPr>
      <w:tblGrid>
        <w:gridCol w:w="335"/>
        <w:gridCol w:w="1730"/>
      </w:tblGrid>
      <w:tr>
        <w:trPr/>
        <w:tc>
          <w:tcPr>
            <w:tcW w:w="335" w:type="dxa"/>
            <w:tcBorders/>
            <w:vAlign w:val="center"/>
          </w:tcPr>
          <w:p>
            <w:pPr>
              <w:pStyle w:val="TableContents"/>
              <w:bidi w:val="0"/>
              <w:spacing w:before="0" w:after="0"/>
              <w:jc w:val="left"/>
              <w:rPr>
                <w:b/>
                <w:spacing w:val="0"/>
              </w:rPr>
            </w:pPr>
            <w:r>
              <w:rPr>
                <w:b/>
                <w:spacing w:val="0"/>
              </w:rPr>
              <w:t>20.</w:t>
            </w:r>
          </w:p>
        </w:tc>
        <w:tc>
          <w:tcPr>
            <w:tcW w:w="173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Income tax expense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The People’s Republic of China </w:t>
      </w:r>
    </w:p>
    <w:p>
      <w:pPr>
        <w:pStyle w:val="TextBody"/>
        <w:bidi w:val="0"/>
        <w:spacing w:before="0" w:after="0"/>
        <w:jc w:val="left"/>
        <w:rPr>
          <w:rFonts w:ascii="Times New Roman" w:hAnsi="Times New Roman"/>
          <w:sz w:val="20"/>
        </w:rPr>
      </w:pPr>
      <w:r>
        <w:rPr>
          <w:rFonts w:ascii="Times New Roman" w:hAnsi="Times New Roman"/>
          <w:sz w:val="20"/>
        </w:rPr>
        <w:t xml:space="preserve">(Continued)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aggregate amount and per share effect of the tax holidays and tax concessions are as follows: </w:t>
      </w:r>
    </w:p>
    <w:p>
      <w:pPr>
        <w:pStyle w:val="TextBody"/>
        <w:bidi w:val="0"/>
        <w:spacing w:before="0" w:after="0"/>
        <w:jc w:val="left"/>
        <w:rPr/>
      </w:pPr>
      <w:r>
        <w:rPr/>
        <w:t> </w:t>
      </w:r>
    </w:p>
    <w:tbl>
      <w:tblPr>
        <w:tblW w:w="6830" w:type="dxa"/>
        <w:jc w:val="left"/>
        <w:tblInd w:w="0" w:type="dxa"/>
        <w:tblLayout w:type="fixed"/>
        <w:tblCellMar>
          <w:top w:w="0" w:type="dxa"/>
          <w:left w:w="0" w:type="dxa"/>
          <w:bottom w:w="0" w:type="dxa"/>
          <w:right w:w="0" w:type="dxa"/>
        </w:tblCellMar>
      </w:tblPr>
      <w:tblGrid>
        <w:gridCol w:w="2915"/>
        <w:gridCol w:w="120"/>
        <w:gridCol w:w="60"/>
        <w:gridCol w:w="965"/>
        <w:gridCol w:w="155"/>
        <w:gridCol w:w="120"/>
        <w:gridCol w:w="60"/>
        <w:gridCol w:w="965"/>
        <w:gridCol w:w="155"/>
        <w:gridCol w:w="120"/>
        <w:gridCol w:w="60"/>
        <w:gridCol w:w="965"/>
        <w:gridCol w:w="170"/>
      </w:tblGrid>
      <w:tr>
        <w:trPr/>
        <w:tc>
          <w:tcPr>
            <w:tcW w:w="2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62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The aggregate effect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r>
              <w:rPr/>
              <w:t>927,595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r>
              <w:rPr/>
              <w:t>824,300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  </w:t>
            </w:r>
            <w:r>
              <w:rPr/>
              <w:t>851,865</w:t>
            </w:r>
          </w:p>
        </w:tc>
        <w:tc>
          <w:tcPr>
            <w:tcW w:w="170"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Per share effect: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9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A and Class B ordinary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915" w:type="dxa"/>
            <w:tcBorders/>
            <w:vAlign w:val="center"/>
          </w:tcPr>
          <w:p>
            <w:pPr>
              <w:pStyle w:val="TableContents"/>
              <w:bidi w:val="0"/>
              <w:spacing w:before="0" w:after="0"/>
              <w:jc w:val="left"/>
              <w:rPr/>
            </w:pPr>
            <w:r>
              <w:rPr/>
              <w:t>—</w:t>
            </w:r>
            <w:r>
              <w:rPr>
                <w:rFonts w:ascii="Times New Roman" w:hAnsi="Times New Roman"/>
                <w:sz w:val="20"/>
              </w:rPr>
              <w:t>basic</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7.29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7.45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8.03</w:t>
            </w:r>
          </w:p>
        </w:tc>
        <w:tc>
          <w:tcPr>
            <w:tcW w:w="17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jc w:val="left"/>
              <w:rPr/>
            </w:pPr>
            <w:r>
              <w:rPr/>
              <w:t>—</w:t>
            </w:r>
            <w:r>
              <w:rPr>
                <w:rFonts w:ascii="Times New Roman" w:hAnsi="Times New Roman"/>
                <w:sz w:val="20"/>
              </w:rPr>
              <w:t>diluted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7.24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7.32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7.90</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principal components of deferred tax assets and liabilities are as follows: </w:t>
      </w:r>
    </w:p>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2690"/>
        <w:gridCol w:w="120"/>
        <w:gridCol w:w="60"/>
        <w:gridCol w:w="875"/>
        <w:gridCol w:w="155"/>
        <w:gridCol w:w="120"/>
        <w:gridCol w:w="60"/>
        <w:gridCol w:w="875"/>
        <w:gridCol w:w="110"/>
      </w:tblGrid>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1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1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1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operating loss carry forwards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450,280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455,594</w:t>
            </w:r>
          </w:p>
        </w:tc>
        <w:tc>
          <w:tcPr>
            <w:tcW w:w="11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Allowance for doubtful debts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25,022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23,802</w:t>
            </w:r>
          </w:p>
        </w:tc>
        <w:tc>
          <w:tcPr>
            <w:tcW w:w="11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investments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21,197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18,774</w:t>
            </w:r>
          </w:p>
        </w:tc>
        <w:tc>
          <w:tcPr>
            <w:tcW w:w="11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Inventory write-down</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174,547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123,762</w:t>
            </w:r>
          </w:p>
        </w:tc>
        <w:tc>
          <w:tcPr>
            <w:tcW w:w="11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438,494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528,094</w:t>
            </w:r>
          </w:p>
        </w:tc>
        <w:tc>
          <w:tcPr>
            <w:tcW w:w="11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Impairment of long-lived 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179,153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176,607</w:t>
            </w:r>
          </w:p>
        </w:tc>
        <w:tc>
          <w:tcPr>
            <w:tcW w:w="110" w:type="dxa"/>
            <w:tcBorders/>
            <w:shd w:fill="CCEEFF" w:val="clear"/>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8,873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7,763</w:t>
            </w:r>
          </w:p>
        </w:tc>
        <w:tc>
          <w:tcPr>
            <w:tcW w:w="110" w:type="dxa"/>
            <w:tcBorders/>
            <w:vAlign w:val="center"/>
          </w:tcPr>
          <w:p>
            <w:pPr>
              <w:pStyle w:val="TableContents"/>
              <w:bidi w:val="0"/>
              <w:spacing w:before="0" w:after="283"/>
              <w:jc w:val="left"/>
              <w:rPr/>
            </w:pPr>
            <w:r>
              <w:rPr/>
              <w:t> </w:t>
            </w:r>
          </w:p>
        </w:tc>
      </w:tr>
      <w:tr>
        <w:trPr/>
        <w:tc>
          <w:tcPr>
            <w:tcW w:w="26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 valuation allowance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(612,549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(653,367</w:t>
            </w:r>
          </w:p>
        </w:tc>
        <w:tc>
          <w:tcPr>
            <w:tcW w:w="110" w:type="dxa"/>
            <w:tcBorders/>
            <w:shd w:fill="CCEEFF" w:val="clear"/>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1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deferred tax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assets-non-current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685,017</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681,029</w:t>
            </w:r>
          </w:p>
        </w:tc>
        <w:tc>
          <w:tcPr>
            <w:tcW w:w="110" w:type="dxa"/>
            <w:tcBorders/>
            <w:vAlign w:val="center"/>
          </w:tcPr>
          <w:p>
            <w:pPr>
              <w:pStyle w:val="TableContents"/>
              <w:bidi w:val="0"/>
              <w:spacing w:before="0" w:after="283"/>
              <w:jc w:val="left"/>
              <w:rPr/>
            </w:pPr>
            <w:r>
              <w:rPr/>
              <w:t> </w:t>
            </w:r>
          </w:p>
        </w:tc>
      </w:tr>
      <w:tr>
        <w:trPr/>
        <w:tc>
          <w:tcPr>
            <w:tcW w:w="2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1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5600"/>
        <w:gridCol w:w="120"/>
        <w:gridCol w:w="60"/>
        <w:gridCol w:w="875"/>
        <w:gridCol w:w="155"/>
        <w:gridCol w:w="120"/>
        <w:gridCol w:w="60"/>
        <w:gridCol w:w="875"/>
        <w:gridCol w:w="170"/>
      </w:tblGrid>
      <w:tr>
        <w:trPr/>
        <w:tc>
          <w:tcPr>
            <w:tcW w:w="5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45"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5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Fair value adjustments of long-lived assets from business acquisition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r>
              <w:rPr/>
              <w:t>508,669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r>
              <w:rPr/>
              <w:t>482,128</w:t>
            </w:r>
          </w:p>
        </w:tc>
        <w:tc>
          <w:tcPr>
            <w:tcW w:w="170"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Withholding tax on undistributed earnings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150,000</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300,000</w:t>
            </w:r>
          </w:p>
        </w:tc>
        <w:tc>
          <w:tcPr>
            <w:tcW w:w="170" w:type="dxa"/>
            <w:tcBorders/>
            <w:shd w:fill="CCEEFF" w:val="clear"/>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33,823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1,735</w:t>
            </w:r>
          </w:p>
        </w:tc>
        <w:tc>
          <w:tcPr>
            <w:tcW w:w="170"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deferred tax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liabilities-non-current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692,492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783,863</w:t>
            </w:r>
          </w:p>
        </w:tc>
        <w:tc>
          <w:tcPr>
            <w:tcW w:w="170" w:type="dxa"/>
            <w:tcBorders/>
            <w:shd w:fill="CCEEFF" w:val="clear"/>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of December 31, 2023 and 2024, the amount of tax loss carried forward was RMB301.7 million and RMB470.6 million, respectively, for the Group’s subsidiary incorporated in Hong Kong and Singapore, which can be carried forward indefinitely to offset future taxable income if there is no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change</w:t>
      </w:r>
    </w:p>
    <w:p>
      <w:pPr>
        <w:pStyle w:val="TextBody"/>
        <w:bidi w:val="0"/>
        <w:spacing w:before="240" w:after="0"/>
        <w:jc w:val="left"/>
        <w:rPr>
          <w:rFonts w:ascii="Times New Roman" w:hAnsi="Times New Roman"/>
          <w:sz w:val="20"/>
        </w:rPr>
      </w:pPr>
      <w:r>
        <w:rPr>
          <w:rFonts w:ascii="Times New Roman" w:hAnsi="Times New Roman"/>
          <w:sz w:val="20"/>
        </w:rPr>
        <w:t xml:space="preserve">in shareholding of the Group’s subsidiary. The remaining amount of tax loss of RMB1.90 billion and RMB1.75 billion, mainly arose from the Group’s certain subsidiaries established in the PRC, which can be carried forward to offset future taxable income and will expire during the period from 2025 to 2029.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December 31, 2023, and 2024, respectively, the Group recognized a valuation allowance against deferred tax assets associated with the future benefits of net operating loss carryforwards and other deferred tax assets of certain subsidiaries. This was because management cannot conclude that the realization of these deferred tax assets is more likely than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F-49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335"/>
        <w:gridCol w:w="1700"/>
      </w:tblGrid>
      <w:tr>
        <w:trPr/>
        <w:tc>
          <w:tcPr>
            <w:tcW w:w="335" w:type="dxa"/>
            <w:tcBorders/>
            <w:vAlign w:val="center"/>
          </w:tcPr>
          <w:p>
            <w:pPr>
              <w:pStyle w:val="TableContents"/>
              <w:bidi w:val="0"/>
              <w:spacing w:before="0" w:after="0"/>
              <w:jc w:val="left"/>
              <w:rPr>
                <w:b/>
                <w:spacing w:val="0"/>
              </w:rPr>
            </w:pPr>
            <w:r>
              <w:rPr>
                <w:b/>
                <w:spacing w:val="0"/>
              </w:rPr>
              <w:t>21.</w:t>
            </w:r>
          </w:p>
        </w:tc>
        <w:tc>
          <w:tcPr>
            <w:tcW w:w="17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Earnings per share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Basic net earnings per share is calculated based on the weighted average number of ordinary shares outstanding during each period. Diluted net earnings per share is calculated based on the weighted average number of ordinary shares outstanding and incremental weighted average number of ordinary shares from assumed vesting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shares and exercise of share options during each period. </w:t>
      </w:r>
    </w:p>
    <w:p>
      <w:pPr>
        <w:pStyle w:val="TextBody"/>
        <w:bidi w:val="0"/>
        <w:spacing w:before="120" w:after="0"/>
        <w:jc w:val="left"/>
        <w:rPr>
          <w:rFonts w:ascii="Times New Roman" w:hAnsi="Times New Roman"/>
          <w:sz w:val="20"/>
        </w:rPr>
      </w:pPr>
      <w:r>
        <w:rPr>
          <w:rFonts w:ascii="Times New Roman" w:hAnsi="Times New Roman"/>
          <w:sz w:val="20"/>
        </w:rPr>
        <w:t xml:space="preserve">As economic rights and obligations are applied equally to both Class A and Class B ordinary shares, earnings are allocated between the two classes of ordinary shares evenly with the same allocation on a per share basis.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2022, 2023 and 2024, there are 6,456,160, 518,401 and 181,734 employee share options or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ordinary shares, respectively, which could potentially dilute basic net earnings per share in the future, but which were excluded from the computation of diluted net earnings per share in the periods presented, as their effects would have been anti-dilutive. </w:t>
      </w:r>
    </w:p>
    <w:p>
      <w:pPr>
        <w:pStyle w:val="TextBody"/>
        <w:bidi w:val="0"/>
        <w:spacing w:before="120" w:after="0"/>
        <w:jc w:val="left"/>
        <w:rPr>
          <w:rFonts w:ascii="Times New Roman" w:hAnsi="Times New Roman"/>
          <w:sz w:val="20"/>
        </w:rPr>
      </w:pPr>
      <w:r>
        <w:rPr>
          <w:rFonts w:ascii="Times New Roman" w:hAnsi="Times New Roman"/>
          <w:sz w:val="20"/>
        </w:rPr>
        <w:t xml:space="preserve">Basic earnings per share and diluted earnings per share have been calculated for the years ended December 31, 2022, 2023 and 2024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10"/>
        <w:gridCol w:w="120"/>
        <w:gridCol w:w="60"/>
        <w:gridCol w:w="1220"/>
        <w:gridCol w:w="60"/>
        <w:gridCol w:w="120"/>
        <w:gridCol w:w="60"/>
        <w:gridCol w:w="1220"/>
        <w:gridCol w:w="60"/>
        <w:gridCol w:w="120"/>
        <w:gridCol w:w="60"/>
        <w:gridCol w:w="1220"/>
        <w:gridCol w:w="75"/>
      </w:tblGrid>
      <w:tr>
        <w:trPr/>
        <w:tc>
          <w:tcPr>
            <w:tcW w:w="5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0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Basic earnings per share attributable to Vipshop Holdings Limited’s ordinary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attributable to Class A and Class B ordinary shareholders for computing basic earnings per Class A and Class B ordinary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6,298,816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8,116,624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7,739,935</w:t>
            </w:r>
          </w:p>
        </w:tc>
        <w:tc>
          <w:tcPr>
            <w:tcW w:w="7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Class A and Class B ordinary shares outstanding for computing basic earnings per Class A and Class B ordinary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127,235,048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110,695,778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106,074,914</w:t>
            </w:r>
          </w:p>
        </w:tc>
        <w:tc>
          <w:tcPr>
            <w:tcW w:w="7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Basic earnings per Class A and Class B ordinary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49.51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73.32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72.97</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Diluted earnings per share for the years ended December 31, 2022, 2023 and 2024 are calculated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810"/>
        <w:gridCol w:w="120"/>
        <w:gridCol w:w="60"/>
        <w:gridCol w:w="1220"/>
        <w:gridCol w:w="60"/>
        <w:gridCol w:w="120"/>
        <w:gridCol w:w="60"/>
        <w:gridCol w:w="1220"/>
        <w:gridCol w:w="60"/>
        <w:gridCol w:w="120"/>
        <w:gridCol w:w="60"/>
        <w:gridCol w:w="1220"/>
        <w:gridCol w:w="75"/>
      </w:tblGrid>
      <w:tr>
        <w:trPr/>
        <w:tc>
          <w:tcPr>
            <w:tcW w:w="5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20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Diluted earnings per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Numerator: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Earnings attributable to Class A and Class B ordinary shareholders for computing diluted earnings per Class A and Class B ordinary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6,298,816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8,116,624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7,739,935</w:t>
            </w:r>
          </w:p>
        </w:tc>
        <w:tc>
          <w:tcPr>
            <w:tcW w:w="7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Denominator: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Class A and Class B ordinary shares outstanding for computing basic earnings per Class A and Class B ordinary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127,235,048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110,695,778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106,074,914</w:t>
            </w:r>
          </w:p>
        </w:tc>
        <w:tc>
          <w:tcPr>
            <w:tcW w:w="7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Dilutive employee share options and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ordinary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922,256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1,856,620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1,780,892</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Weighted average number of Class A and Class B ordinary shares outstanding for computing diluted earnings per Class A and Class B ordinary share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128,157,304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112,552,398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107,855,806</w:t>
            </w:r>
          </w:p>
        </w:tc>
        <w:tc>
          <w:tcPr>
            <w:tcW w:w="75" w:type="dxa"/>
            <w:tcBorders/>
            <w:shd w:fill="CCEEFF" w:val="clear"/>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Diluted earnings per Class A and Class B ordinary shares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49.15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72.11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71.76</w:t>
            </w:r>
          </w:p>
        </w:tc>
        <w:tc>
          <w:tcPr>
            <w:tcW w:w="75" w:type="dxa"/>
            <w:tcBorders/>
            <w:vAlign w:val="center"/>
          </w:tcPr>
          <w:p>
            <w:pPr>
              <w:pStyle w:val="TableContents"/>
              <w:bidi w:val="0"/>
              <w:spacing w:before="0" w:after="283"/>
              <w:jc w:val="left"/>
              <w:rPr/>
            </w:pPr>
            <w:r>
              <w:rPr/>
              <w:t> </w:t>
            </w:r>
          </w:p>
        </w:tc>
      </w:tr>
      <w:tr>
        <w:trPr/>
        <w:tc>
          <w:tcPr>
            <w:tcW w:w="5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335"/>
        <w:gridCol w:w="2810"/>
      </w:tblGrid>
      <w:tr>
        <w:trPr/>
        <w:tc>
          <w:tcPr>
            <w:tcW w:w="335" w:type="dxa"/>
            <w:tcBorders/>
            <w:vAlign w:val="center"/>
          </w:tcPr>
          <w:p>
            <w:pPr>
              <w:pStyle w:val="TableContents"/>
              <w:bidi w:val="0"/>
              <w:spacing w:before="0" w:after="0"/>
              <w:jc w:val="left"/>
              <w:rPr>
                <w:b/>
                <w:spacing w:val="0"/>
              </w:rPr>
            </w:pPr>
            <w:r>
              <w:rPr>
                <w:b/>
                <w:spacing w:val="0"/>
              </w:rPr>
              <w:t>22.</w:t>
            </w:r>
          </w:p>
        </w:tc>
        <w:tc>
          <w:tcPr>
            <w:tcW w:w="2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Commitments and contingencies </w:t>
            </w:r>
          </w:p>
        </w:tc>
      </w:tr>
    </w:tbl>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Capital commitments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and 2024, the Group has contracted for capital expenditures of RMB1,060,084 and RMB1,199,691, respectively.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Other commitments </w:t>
      </w:r>
    </w:p>
    <w:p>
      <w:pPr>
        <w:pStyle w:val="TextBody"/>
        <w:bidi w:val="0"/>
        <w:spacing w:before="120" w:after="0"/>
        <w:jc w:val="left"/>
        <w:rPr>
          <w:rFonts w:ascii="Times New Roman" w:hAnsi="Times New Roman"/>
          <w:sz w:val="20"/>
        </w:rPr>
      </w:pPr>
      <w:r>
        <w:rPr>
          <w:rFonts w:ascii="Times New Roman" w:hAnsi="Times New Roman"/>
          <w:sz w:val="20"/>
        </w:rPr>
        <w:t xml:space="preserve">The Group has the following commitments: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As of December 31, 2023 and 2024, the Group has investment commitment of RMB</w:t>
      </w:r>
    </w:p>
    <w:p>
      <w:pPr>
        <w:pStyle w:val="TextBody"/>
        <w:bidi w:val="0"/>
        <w:spacing w:before="120" w:after="0"/>
        <w:jc w:val="left"/>
        <w:rPr>
          <w:rFonts w:ascii="Times New Roman" w:hAnsi="Times New Roman"/>
          <w:sz w:val="20"/>
        </w:rPr>
      </w:pPr>
      <w:r>
        <w:rPr>
          <w:rFonts w:ascii="Times New Roman" w:hAnsi="Times New Roman"/>
          <w:sz w:val="20"/>
        </w:rPr>
        <w:t xml:space="preserve">799.5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million and RMB</w:t>
      </w:r>
    </w:p>
    <w:p>
      <w:pPr>
        <w:pStyle w:val="TextBody"/>
        <w:bidi w:val="0"/>
        <w:spacing w:before="120" w:after="0"/>
        <w:jc w:val="left"/>
        <w:rPr>
          <w:rFonts w:ascii="Times New Roman" w:hAnsi="Times New Roman"/>
          <w:sz w:val="20"/>
        </w:rPr>
      </w:pPr>
      <w:r>
        <w:rPr>
          <w:rFonts w:ascii="Times New Roman" w:hAnsi="Times New Roman"/>
          <w:sz w:val="20"/>
        </w:rPr>
        <w:t>654.0 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million, respectively.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Contingencies </w:t>
      </w:r>
    </w:p>
    <w:p>
      <w:pPr>
        <w:pStyle w:val="TextBody"/>
        <w:bidi w:val="0"/>
        <w:spacing w:before="120" w:after="0"/>
        <w:jc w:val="left"/>
        <w:rPr>
          <w:rFonts w:ascii="Times New Roman" w:hAnsi="Times New Roman"/>
          <w:sz w:val="20"/>
        </w:rPr>
      </w:pPr>
      <w:r>
        <w:rPr>
          <w:rFonts w:ascii="Times New Roman" w:hAnsi="Times New Roman"/>
          <w:sz w:val="20"/>
        </w:rPr>
        <w:t xml:space="preserve">The Group is subject to periodic legal or administrative proceedings in the ordinary course of business. The Group does not believe that any currently pending legal proceeding to which the Group is a party will have a material effect on its business, results of operations or cash flows.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335"/>
        <w:gridCol w:w="2315"/>
      </w:tblGrid>
      <w:tr>
        <w:trPr/>
        <w:tc>
          <w:tcPr>
            <w:tcW w:w="335" w:type="dxa"/>
            <w:tcBorders/>
            <w:vAlign w:val="center"/>
          </w:tcPr>
          <w:p>
            <w:pPr>
              <w:pStyle w:val="TableContents"/>
              <w:bidi w:val="0"/>
              <w:spacing w:before="0" w:after="0"/>
              <w:jc w:val="left"/>
              <w:rPr>
                <w:b/>
                <w:spacing w:val="0"/>
              </w:rPr>
            </w:pPr>
            <w:r>
              <w:rPr>
                <w:b/>
                <w:spacing w:val="0"/>
              </w:rPr>
              <w:t>23.</w:t>
            </w:r>
          </w:p>
        </w:tc>
        <w:tc>
          <w:tcPr>
            <w:tcW w:w="23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party transactions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2022, 2023 and 2024, the Group entered into the following material related party transactions: </w:t>
      </w:r>
    </w:p>
    <w:p>
      <w:pPr>
        <w:pStyle w:val="TextBody"/>
        <w:bidi w:val="0"/>
        <w:spacing w:before="0" w:after="0"/>
        <w:jc w:val="left"/>
        <w:rPr/>
      </w:pPr>
      <w:r>
        <w:rPr/>
        <w:t> </w:t>
      </w:r>
    </w:p>
    <w:tbl>
      <w:tblPr>
        <w:tblW w:w="4850" w:type="dxa"/>
        <w:jc w:val="left"/>
        <w:tblInd w:w="0" w:type="dxa"/>
        <w:tblLayout w:type="fixed"/>
        <w:tblCellMar>
          <w:top w:w="0" w:type="dxa"/>
          <w:left w:w="0" w:type="dxa"/>
          <w:bottom w:w="0" w:type="dxa"/>
          <w:right w:w="0" w:type="dxa"/>
        </w:tblCellMar>
      </w:tblPr>
      <w:tblGrid>
        <w:gridCol w:w="1715"/>
        <w:gridCol w:w="120"/>
        <w:gridCol w:w="60"/>
        <w:gridCol w:w="800"/>
        <w:gridCol w:w="60"/>
        <w:gridCol w:w="120"/>
        <w:gridCol w:w="60"/>
        <w:gridCol w:w="800"/>
        <w:gridCol w:w="60"/>
        <w:gridCol w:w="120"/>
        <w:gridCol w:w="60"/>
        <w:gridCol w:w="800"/>
        <w:gridCol w:w="75"/>
      </w:tblGrid>
      <w:tr>
        <w:trPr/>
        <w:tc>
          <w:tcPr>
            <w:tcW w:w="17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94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Purchase of goods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414,809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373,864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294,963</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Purchase of services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696,987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838,609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823,372</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Provision of services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21,416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17,689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30,952</w:t>
            </w:r>
          </w:p>
        </w:tc>
        <w:tc>
          <w:tcPr>
            <w:tcW w:w="75" w:type="dxa"/>
            <w:tcBorders/>
            <w:shd w:fill="CCEEFF" w:val="clear"/>
            <w:vAlign w:val="center"/>
          </w:tcPr>
          <w:p>
            <w:pPr>
              <w:pStyle w:val="TableContents"/>
              <w:bidi w:val="0"/>
              <w:spacing w:before="0" w:after="283"/>
              <w:jc w:val="left"/>
              <w:rPr/>
            </w:pPr>
            <w:r>
              <w:rPr/>
              <w:t> </w:t>
            </w:r>
          </w:p>
        </w:tc>
      </w:tr>
      <w:tr>
        <w:trPr/>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of product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90,405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73,608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295</w:t>
            </w:r>
          </w:p>
        </w:tc>
        <w:tc>
          <w:tcPr>
            <w:tcW w:w="75" w:type="dxa"/>
            <w:tcBorders/>
            <w:vAlign w:val="center"/>
          </w:tcPr>
          <w:p>
            <w:pPr>
              <w:pStyle w:val="TableContents"/>
              <w:bidi w:val="0"/>
              <w:spacing w:before="0" w:after="283"/>
              <w:jc w:val="left"/>
              <w:rPr/>
            </w:pPr>
            <w:r>
              <w:rPr/>
              <w:t> </w:t>
            </w:r>
          </w:p>
        </w:tc>
      </w:tr>
      <w:tr>
        <w:trPr/>
        <w:tc>
          <w:tcPr>
            <w:tcW w:w="17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31,753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24,011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17,460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goods and services were purchased from or provided to companies either controlled by its shareholders or directors and equity method investees of the Group. </w:t>
      </w:r>
    </w:p>
    <w:p>
      <w:pPr>
        <w:pStyle w:val="TextBody"/>
        <w:bidi w:val="0"/>
        <w:spacing w:before="120" w:after="0"/>
        <w:jc w:val="left"/>
        <w:rPr>
          <w:rFonts w:ascii="Times New Roman" w:hAnsi="Times New Roman"/>
          <w:sz w:val="20"/>
        </w:rPr>
      </w:pPr>
      <w:r>
        <w:rPr>
          <w:rFonts w:ascii="Times New Roman" w:hAnsi="Times New Roman"/>
          <w:sz w:val="20"/>
        </w:rPr>
        <w:t xml:space="preserve">Details of the balances with related parties are as follows: </w:t>
      </w:r>
    </w:p>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290"/>
        <w:gridCol w:w="326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32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Amounts due from related parties, net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As of December 31, 2024, amounts due from related parties amounted to RMB548,145. Of this total, RMB39,618 represented interest-bearing loans to Gansu Shan Shan, an equity method investee, carrying an annual interest rate of 2.85% and RMB11,887 represented interest-free loans to another equity method investee. The remaining amount consisted of RMB403,037 loan to VipFubon at 3.3% annual interest, renewed during the year, and RMB93,603 primarily for prepayments related to purchases of goods and other services.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Amounts due from related parties as of December 31, 2023 amounted to RMB</w:t>
      </w:r>
    </w:p>
    <w:p>
      <w:pPr>
        <w:pStyle w:val="TextBody"/>
        <w:bidi w:val="0"/>
        <w:spacing w:before="120" w:after="0"/>
        <w:jc w:val="left"/>
        <w:rPr>
          <w:rFonts w:ascii="Times New Roman" w:hAnsi="Times New Roman"/>
          <w:sz w:val="20"/>
        </w:rPr>
      </w:pPr>
      <w:r>
        <w:rPr>
          <w:rFonts w:ascii="Times New Roman" w:hAnsi="Times New Roman"/>
          <w:sz w:val="20"/>
        </w:rPr>
        <w:t xml:space="preserve">553,502,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mainly includes RMB</w:t>
      </w:r>
    </w:p>
    <w:p>
      <w:pPr>
        <w:pStyle w:val="TextBody"/>
        <w:bidi w:val="0"/>
        <w:spacing w:before="120" w:after="0"/>
        <w:jc w:val="left"/>
        <w:rPr>
          <w:rFonts w:ascii="Times New Roman" w:hAnsi="Times New Roman"/>
          <w:sz w:val="20"/>
        </w:rPr>
      </w:pPr>
      <w:r>
        <w:rPr>
          <w:rFonts w:ascii="Times New Roman" w:hAnsi="Times New Roman"/>
          <w:sz w:val="20"/>
        </w:rPr>
        <w:t xml:space="preserve">84,209 </w:t>
      </w:r>
    </w:p>
    <w:p>
      <w:pPr>
        <w:pStyle w:val="TextBody"/>
        <w:bidi w:val="0"/>
        <w:spacing w:before="120" w:after="0"/>
        <w:jc w:val="left"/>
        <w:rPr>
          <w:rFonts w:ascii="Times New Roman" w:hAnsi="Times New Roman"/>
          <w:spacing w:val="0"/>
          <w:sz w:val="20"/>
        </w:rPr>
      </w:pPr>
      <w:r>
        <w:rPr>
          <w:rFonts w:ascii="Times New Roman" w:hAnsi="Times New Roman"/>
          <w:spacing w:val="0"/>
          <w:sz w:val="20"/>
        </w:rPr>
        <w:t>of interest-bearing loans lent to Gansu Shan Shan, which was an equity method investment, with interest at</w:t>
      </w:r>
    </w:p>
    <w:p>
      <w:pPr>
        <w:pStyle w:val="TextBody"/>
        <w:bidi w:val="0"/>
        <w:spacing w:before="120" w:after="0"/>
        <w:jc w:val="left"/>
        <w:rPr/>
      </w:pPr>
      <w:r>
        <w:rPr/>
        <w:t> </w:t>
      </w:r>
      <w:r>
        <w:rPr>
          <w:rFonts w:ascii="Times New Roman" w:hAnsi="Times New Roman"/>
          <w:sz w:val="20"/>
        </w:rPr>
        <w:t xml:space="preserve">3.45% </w:t>
      </w:r>
    </w:p>
    <w:p>
      <w:pPr>
        <w:pStyle w:val="TextBody"/>
        <w:bidi w:val="0"/>
        <w:spacing w:before="120" w:after="0"/>
        <w:jc w:val="left"/>
        <w:rPr>
          <w:rFonts w:ascii="Times New Roman" w:hAnsi="Times New Roman"/>
          <w:spacing w:val="0"/>
          <w:sz w:val="20"/>
        </w:rPr>
      </w:pPr>
      <w:r>
        <w:rPr>
          <w:rFonts w:ascii="Times New Roman" w:hAnsi="Times New Roman"/>
          <w:spacing w:val="0"/>
          <w:sz w:val="20"/>
        </w:rPr>
        <w:t>per annum, RMB</w:t>
      </w:r>
    </w:p>
    <w:p>
      <w:pPr>
        <w:pStyle w:val="TextBody"/>
        <w:bidi w:val="0"/>
        <w:spacing w:before="120" w:after="0"/>
        <w:jc w:val="left"/>
        <w:rPr>
          <w:rFonts w:ascii="Times New Roman" w:hAnsi="Times New Roman"/>
          <w:sz w:val="20"/>
        </w:rPr>
      </w:pPr>
      <w:r>
        <w:rPr>
          <w:rFonts w:ascii="Times New Roman" w:hAnsi="Times New Roman"/>
          <w:sz w:val="20"/>
        </w:rPr>
        <w:t xml:space="preserve">409,051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of deposits to VipFubon at </w:t>
      </w:r>
    </w:p>
    <w:p>
      <w:pPr>
        <w:pStyle w:val="TextBody"/>
        <w:bidi w:val="0"/>
        <w:spacing w:before="120" w:after="0"/>
        <w:jc w:val="left"/>
        <w:rPr>
          <w:rFonts w:ascii="Times New Roman" w:hAnsi="Times New Roman"/>
          <w:sz w:val="20"/>
        </w:rPr>
      </w:pPr>
      <w:r>
        <w:rPr>
          <w:rFonts w:ascii="Times New Roman" w:hAnsi="Times New Roman"/>
          <w:sz w:val="20"/>
        </w:rPr>
        <w:t xml:space="preserve">4.9%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per annum as shareholder deposits, which are renewed during the year ended December 31, 2023, and the remaining of RMB</w:t>
      </w:r>
    </w:p>
    <w:p>
      <w:pPr>
        <w:pStyle w:val="TextBody"/>
        <w:bidi w:val="0"/>
        <w:spacing w:before="120" w:after="0"/>
        <w:jc w:val="left"/>
        <w:rPr>
          <w:rFonts w:ascii="Times New Roman" w:hAnsi="Times New Roman"/>
          <w:sz w:val="20"/>
        </w:rPr>
      </w:pPr>
      <w:r>
        <w:rPr>
          <w:rFonts w:ascii="Times New Roman" w:hAnsi="Times New Roman"/>
          <w:sz w:val="20"/>
        </w:rPr>
        <w:t xml:space="preserve">60,242 </w:t>
      </w:r>
    </w:p>
    <w:p>
      <w:pPr>
        <w:pStyle w:val="TextBody"/>
        <w:bidi w:val="0"/>
        <w:spacing w:before="120" w:after="0"/>
        <w:jc w:val="left"/>
        <w:rPr>
          <w:rFonts w:ascii="Times New Roman" w:hAnsi="Times New Roman"/>
          <w:spacing w:val="0"/>
          <w:sz w:val="20"/>
        </w:rPr>
      </w:pPr>
      <w:r>
        <w:rPr>
          <w:rFonts w:ascii="Times New Roman" w:hAnsi="Times New Roman"/>
          <w:spacing w:val="0"/>
          <w:sz w:val="20"/>
        </w:rPr>
        <w:t xml:space="preserve">mainly includes prepayments related to purchases of goods.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335"/>
        <w:gridCol w:w="2315"/>
      </w:tblGrid>
      <w:tr>
        <w:trPr/>
        <w:tc>
          <w:tcPr>
            <w:tcW w:w="335" w:type="dxa"/>
            <w:tcBorders/>
            <w:vAlign w:val="center"/>
          </w:tcPr>
          <w:p>
            <w:pPr>
              <w:pStyle w:val="TableContents"/>
              <w:bidi w:val="0"/>
              <w:spacing w:before="0" w:after="0"/>
              <w:jc w:val="left"/>
              <w:rPr>
                <w:b/>
                <w:spacing w:val="0"/>
              </w:rPr>
            </w:pPr>
            <w:r>
              <w:rPr>
                <w:b/>
                <w:spacing w:val="0"/>
              </w:rPr>
              <w:t>23.</w:t>
            </w:r>
          </w:p>
        </w:tc>
        <w:tc>
          <w:tcPr>
            <w:tcW w:w="231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Related party transactions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tbl>
      <w:tblPr>
        <w:tblW w:w="3040" w:type="dxa"/>
        <w:jc w:val="left"/>
        <w:tblInd w:w="0" w:type="dxa"/>
        <w:tblLayout w:type="fixed"/>
        <w:tblCellMar>
          <w:top w:w="0" w:type="dxa"/>
          <w:left w:w="0" w:type="dxa"/>
          <w:bottom w:w="0" w:type="dxa"/>
          <w:right w:w="0" w:type="dxa"/>
        </w:tblCellMar>
      </w:tblPr>
      <w:tblGrid>
        <w:gridCol w:w="75"/>
        <w:gridCol w:w="305"/>
        <w:gridCol w:w="2660"/>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26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Amounts due to related parties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Amounts due to related parties as of December 31, 2024 amounted to RMB104,187, mainly includes payables for purchases of goods and other services. </w:t>
      </w:r>
    </w:p>
    <w:p>
      <w:pPr>
        <w:pStyle w:val="TextBody"/>
        <w:bidi w:val="0"/>
        <w:spacing w:before="120" w:after="0"/>
        <w:jc w:val="left"/>
        <w:rPr>
          <w:rFonts w:ascii="Times New Roman" w:hAnsi="Times New Roman"/>
          <w:sz w:val="20"/>
        </w:rPr>
      </w:pPr>
      <w:r>
        <w:rPr>
          <w:rFonts w:ascii="Times New Roman" w:hAnsi="Times New Roman"/>
          <w:sz w:val="20"/>
        </w:rPr>
        <w:t xml:space="preserve">Amounts due to related parties as of December 31, 2023 amounted to RMB150,373, include payables for purchases of goods and other services of RMB106,673 and an interest-free loan of RMB43,700 from Shanxi Shan Shan Outlets, which was an equity method investment, for operating use.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335"/>
        <w:gridCol w:w="1970"/>
      </w:tblGrid>
      <w:tr>
        <w:trPr/>
        <w:tc>
          <w:tcPr>
            <w:tcW w:w="335" w:type="dxa"/>
            <w:tcBorders/>
            <w:vAlign w:val="center"/>
          </w:tcPr>
          <w:p>
            <w:pPr>
              <w:pStyle w:val="TableContents"/>
              <w:bidi w:val="0"/>
              <w:spacing w:before="0" w:after="0"/>
              <w:jc w:val="left"/>
              <w:rPr>
                <w:b/>
                <w:spacing w:val="0"/>
              </w:rPr>
            </w:pPr>
            <w:r>
              <w:rPr>
                <w:b/>
                <w:spacing w:val="0"/>
              </w:rPr>
              <w:t>24.</w:t>
            </w:r>
          </w:p>
        </w:tc>
        <w:tc>
          <w:tcPr>
            <w:tcW w:w="19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payments </w:t>
            </w:r>
          </w:p>
        </w:tc>
      </w:tr>
    </w:tbl>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290"/>
        <w:gridCol w:w="18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 incentive plan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adopted three stock incentive plans since inception. The 2011 Stock Incentive Plan and 2012 Share Incentive Plan each terminated at the end of their respective </w:t>
      </w:r>
    </w:p>
    <w:p>
      <w:pPr>
        <w:pStyle w:val="TextBody"/>
        <w:bidi w:val="0"/>
        <w:spacing w:before="120" w:after="0"/>
        <w:jc w:val="left"/>
        <w:rPr>
          <w:rFonts w:ascii="Times New Roman" w:hAnsi="Times New Roman"/>
          <w:spacing w:val="0"/>
          <w:sz w:val="20"/>
        </w:rPr>
      </w:pPr>
      <w:r>
        <w:rPr>
          <w:rFonts w:ascii="Times New Roman" w:hAnsi="Times New Roman"/>
          <w:spacing w:val="0"/>
          <w:sz w:val="20"/>
        </w:rPr>
        <w:t>ten-year</w:t>
      </w:r>
    </w:p>
    <w:p>
      <w:pPr>
        <w:pStyle w:val="TextBody"/>
        <w:bidi w:val="0"/>
        <w:spacing w:before="120" w:after="0"/>
        <w:jc w:val="left"/>
        <w:rPr>
          <w:rFonts w:ascii="Times New Roman" w:hAnsi="Times New Roman"/>
          <w:sz w:val="20"/>
        </w:rPr>
      </w:pPr>
      <w:r>
        <w:rPr>
          <w:rFonts w:ascii="Times New Roman" w:hAnsi="Times New Roman"/>
          <w:sz w:val="20"/>
        </w:rPr>
        <w:t xml:space="preserve">terms and some grants from each of these plans are still outstanding as of December 31, 2024. </w:t>
      </w:r>
    </w:p>
    <w:p>
      <w:pPr>
        <w:pStyle w:val="TextBody"/>
        <w:bidi w:val="0"/>
        <w:spacing w:before="120" w:after="0"/>
        <w:jc w:val="left"/>
        <w:rPr>
          <w:rFonts w:ascii="Times New Roman" w:hAnsi="Times New Roman"/>
          <w:sz w:val="20"/>
        </w:rPr>
      </w:pPr>
      <w:r>
        <w:rPr>
          <w:rFonts w:ascii="Times New Roman" w:hAnsi="Times New Roman"/>
          <w:sz w:val="20"/>
        </w:rPr>
        <w:t xml:space="preserve">In July 2014, the Group adopted the 2014 Stock Incentive Plan (the “2014 Plan”), in which the maximum aggregate number of ordinary shares may be issued under the 2014 Plan is (i) 5,366,998 Class A ordinary shares, and (ii) an automatic increase on January 1 of each year after the effective date of the 2014 Plan by that number of shares representing 1.5% of the Group’s then total issued and outstanding share capital as of December 31 of the preceding year, or such less number as determined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In August 2024, the Group adopted the Amended and Restated 2014 Share Incentive Plan, which amends and restates the previously adopted 2014 Share Incentive Plan of the Company in its entirety and assumes all awards granted under the 2014 Share Incentive Plan. The maximum aggregate number of shares authorized under the Amended and Restated 2014 Share Incentive Plan was (i) 13,985,001 Class A ordinary shares, and (ii) an automatic increase on January 1 of each year after the effective date of the 2014 Amended and Restated Share Incentive Plan by that number of shares representing 1.5% of the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Company’s</w:t>
      </w:r>
    </w:p>
    <w:p>
      <w:pPr>
        <w:pStyle w:val="TextBody"/>
        <w:bidi w:val="0"/>
        <w:spacing w:before="120" w:after="0"/>
        <w:jc w:val="left"/>
        <w:rPr>
          <w:rFonts w:ascii="Times New Roman" w:hAnsi="Times New Roman"/>
          <w:sz w:val="20"/>
        </w:rPr>
      </w:pPr>
      <w:r>
        <w:rPr>
          <w:rFonts w:ascii="Times New Roman" w:hAnsi="Times New Roman"/>
          <w:sz w:val="20"/>
        </w:rPr>
        <w:t xml:space="preserve">total issued and outstanding share capital as of December 31 of the preceding year, or such less number as determined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No share incentive plan was adopted for the years ended 2022 and 2023. </w:t>
      </w:r>
    </w:p>
    <w:p>
      <w:pPr>
        <w:pStyle w:val="TextBody"/>
        <w:bidi w:val="0"/>
        <w:spacing w:before="120" w:after="0"/>
        <w:jc w:val="left"/>
        <w:rPr>
          <w:rFonts w:ascii="Times New Roman" w:hAnsi="Times New Roman"/>
          <w:sz w:val="20"/>
        </w:rPr>
      </w:pPr>
      <w:r>
        <w:rPr>
          <w:rFonts w:ascii="Times New Roman" w:hAnsi="Times New Roman"/>
          <w:sz w:val="20"/>
        </w:rPr>
        <w:t xml:space="preserve">The expiration dates of the options were 5 to 10 years from grant date, vesting is subject to the continuous services of the option holders to the Group, and post-termination exercise period ranged from 3 to 9 months. During any authorized leave of absence, the vesting of the option shall be suspended after the leave of absence exceeds a period of 90 days. Vesting of the option shall resume upon the option holders’ return to service to the Group. The vesting schedule shall be extended by the length of the suspension. </w:t>
      </w:r>
    </w:p>
    <w:p>
      <w:pPr>
        <w:pStyle w:val="TextBody"/>
        <w:bidi w:val="0"/>
        <w:spacing w:before="120" w:after="0"/>
        <w:jc w:val="left"/>
        <w:rPr>
          <w:rFonts w:ascii="Times New Roman" w:hAnsi="Times New Roman"/>
          <w:sz w:val="20"/>
        </w:rPr>
      </w:pPr>
      <w:r>
        <w:rPr>
          <w:rFonts w:ascii="Times New Roman" w:hAnsi="Times New Roman"/>
          <w:sz w:val="20"/>
        </w:rPr>
        <w:t xml:space="preserve">In the event of termination of the option holders’ continuous service for cause, the option holders’ right to exercise the option shall terminate concurrently, except otherwise determined by the plan administrator, and the Group shall have the rights to repurchase all vested options purchased by the option holders at a discount price determined by the plan administrator. The share option holders have waived any voting rights with regard to the shares and granted a power of attorney to the Board of Directors of the Group to exercise voting rights with respect to the shares. </w:t>
      </w:r>
    </w:p>
    <w:p>
      <w:pPr>
        <w:pStyle w:val="TextBody"/>
        <w:bidi w:val="0"/>
        <w:spacing w:before="120" w:after="0"/>
        <w:jc w:val="left"/>
        <w:rPr>
          <w:rFonts w:ascii="Times New Roman" w:hAnsi="Times New Roman"/>
          <w:sz w:val="20"/>
        </w:rPr>
      </w:pPr>
      <w:r>
        <w:rPr>
          <w:rFonts w:ascii="Times New Roman" w:hAnsi="Times New Roman"/>
          <w:sz w:val="20"/>
        </w:rPr>
        <w:t xml:space="preserve">The Group uses the Binomial model to determine the estimated fair value for each option granted with the assistance of an independent valuation firm. The Group estimates that the forfeiture rate for key management and employees will be nil and 26% for 2022, nil and 23% for 2023, and nil and 29% for 2024,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335"/>
        <w:gridCol w:w="1970"/>
      </w:tblGrid>
      <w:tr>
        <w:trPr/>
        <w:tc>
          <w:tcPr>
            <w:tcW w:w="335" w:type="dxa"/>
            <w:tcBorders/>
            <w:vAlign w:val="center"/>
          </w:tcPr>
          <w:p>
            <w:pPr>
              <w:pStyle w:val="TableContents"/>
              <w:bidi w:val="0"/>
              <w:spacing w:before="0" w:after="0"/>
              <w:jc w:val="left"/>
              <w:rPr>
                <w:b/>
                <w:spacing w:val="0"/>
              </w:rPr>
            </w:pPr>
            <w:r>
              <w:rPr>
                <w:b/>
                <w:spacing w:val="0"/>
              </w:rPr>
              <w:t>24.</w:t>
            </w:r>
          </w:p>
        </w:tc>
        <w:tc>
          <w:tcPr>
            <w:tcW w:w="19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Share-based payments </w:t>
            </w:r>
          </w:p>
          <w:p>
            <w:pPr>
              <w:pStyle w:val="TableContents"/>
              <w:bidi w:val="0"/>
              <w:spacing w:before="0" w:after="0"/>
              <w:jc w:val="left"/>
              <w:rPr>
                <w:rFonts w:ascii="Times New Roman" w:hAnsi="Times New Roman"/>
                <w:sz w:val="20"/>
              </w:rPr>
            </w:pPr>
            <w:r>
              <w:rPr>
                <w:rFonts w:ascii="Times New Roman" w:hAnsi="Times New Roman"/>
                <w:sz w:val="20"/>
              </w:rPr>
              <w:t xml:space="preserve">(Continued) </w:t>
            </w:r>
          </w:p>
        </w:tc>
      </w:tr>
    </w:tbl>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290"/>
        <w:gridCol w:w="180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0"/>
              <w:jc w:val="left"/>
              <w:rPr>
                <w:b/>
                <w:spacing w:val="0"/>
              </w:rPr>
            </w:pPr>
            <w:r>
              <w:rPr>
                <w:b/>
                <w:spacing w:val="0"/>
              </w:rPr>
              <w:t>(a)</w:t>
            </w:r>
          </w:p>
        </w:tc>
        <w:tc>
          <w:tcPr>
            <w:tcW w:w="180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Share incentive plan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share option as of December 31, 2024 is as follows: </w:t>
      </w:r>
    </w:p>
    <w:p>
      <w:pPr>
        <w:pStyle w:val="TextBody"/>
        <w:bidi w:val="0"/>
        <w:spacing w:before="0" w:after="0"/>
        <w:jc w:val="left"/>
        <w:rPr/>
      </w:pPr>
      <w:r>
        <w:rPr/>
        <w:t> </w:t>
      </w:r>
    </w:p>
    <w:p>
      <w:pPr>
        <w:pStyle w:val="TextBody"/>
        <w:bidi w:val="0"/>
        <w:spacing w:before="0" w:after="0"/>
        <w:jc w:val="left"/>
        <w:rPr>
          <w:sz w:val="24"/>
        </w:rPr>
      </w:pPr>
      <w:r>
        <w:rPr>
          <w:sz w:val="24"/>
        </w:rPr>
      </w:r>
    </w:p>
    <w:tbl>
      <w:tblPr>
        <w:tblW w:w="10205" w:type="dxa"/>
        <w:jc w:val="left"/>
        <w:tblInd w:w="0" w:type="dxa"/>
        <w:tblLayout w:type="fixed"/>
        <w:tblCellMar>
          <w:top w:w="0" w:type="dxa"/>
          <w:left w:w="0" w:type="dxa"/>
          <w:bottom w:w="0" w:type="dxa"/>
          <w:right w:w="0" w:type="dxa"/>
        </w:tblCellMar>
      </w:tblPr>
      <w:tblGrid>
        <w:gridCol w:w="4975"/>
        <w:gridCol w:w="120"/>
        <w:gridCol w:w="70"/>
        <w:gridCol w:w="1150"/>
        <w:gridCol w:w="155"/>
        <w:gridCol w:w="60"/>
        <w:gridCol w:w="96"/>
        <w:gridCol w:w="899"/>
        <w:gridCol w:w="60"/>
        <w:gridCol w:w="120"/>
        <w:gridCol w:w="66"/>
        <w:gridCol w:w="1109"/>
        <w:gridCol w:w="60"/>
        <w:gridCol w:w="120"/>
        <w:gridCol w:w="74"/>
        <w:gridCol w:w="996"/>
        <w:gridCol w:w="75"/>
      </w:tblGrid>
      <w:tr>
        <w:trPr/>
        <w:tc>
          <w:tcPr>
            <w:tcW w:w="4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7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Options</w:t>
            </w:r>
          </w:p>
          <w:p>
            <w:pPr>
              <w:pStyle w:val="TableContents"/>
              <w:bidi w:val="0"/>
              <w:spacing w:before="0" w:after="0"/>
              <w:jc w:val="center"/>
              <w:rPr/>
            </w:pPr>
            <w:r>
              <w:rPr/>
            </w:r>
          </w:p>
          <w:p>
            <w:pPr>
              <w:pStyle w:val="TableContents"/>
              <w:bidi w:val="0"/>
              <w:spacing w:before="0" w:after="0"/>
              <w:jc w:val="center"/>
              <w:rPr>
                <w:b/>
                <w:spacing w:val="0"/>
              </w:rPr>
            </w:pPr>
            <w:r>
              <w:rPr>
                <w:b/>
                <w:spacing w:val="0"/>
              </w:rPr>
              <w:t>outstanding</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exercise</w:t>
            </w:r>
          </w:p>
          <w:p>
            <w:pPr>
              <w:pStyle w:val="TableContents"/>
              <w:bidi w:val="0"/>
              <w:spacing w:before="0" w:after="0"/>
              <w:jc w:val="center"/>
              <w:rPr/>
            </w:pPr>
            <w:r>
              <w:rPr/>
            </w:r>
          </w:p>
          <w:p>
            <w:pPr>
              <w:pStyle w:val="TableContents"/>
              <w:bidi w:val="0"/>
              <w:spacing w:before="0" w:after="0"/>
              <w:jc w:val="center"/>
              <w:rPr>
                <w:b/>
                <w:spacing w:val="0"/>
              </w:rPr>
            </w:pPr>
            <w:r>
              <w:rPr>
                <w:b/>
                <w:spacing w:val="0"/>
              </w:rPr>
              <w:t>price per</w:t>
            </w:r>
          </w:p>
          <w:p>
            <w:pPr>
              <w:pStyle w:val="TableContents"/>
              <w:bidi w:val="0"/>
              <w:spacing w:before="0" w:after="0"/>
              <w:jc w:val="center"/>
              <w:rPr/>
            </w:pPr>
            <w:r>
              <w:rPr/>
            </w:r>
          </w:p>
          <w:p>
            <w:pPr>
              <w:pStyle w:val="TableContents"/>
              <w:bidi w:val="0"/>
              <w:spacing w:before="0" w:after="0"/>
              <w:jc w:val="center"/>
              <w:rPr>
                <w:b/>
                <w:spacing w:val="0"/>
              </w:rPr>
            </w:pPr>
            <w:r>
              <w:rPr>
                <w:b/>
                <w:spacing w:val="0"/>
              </w:rPr>
              <w:t>share</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Weighted</w:t>
            </w:r>
          </w:p>
          <w:p>
            <w:pPr>
              <w:pStyle w:val="TableContents"/>
              <w:bidi w:val="0"/>
              <w:spacing w:before="0" w:after="0"/>
              <w:jc w:val="center"/>
              <w:rPr/>
            </w:pPr>
            <w:r>
              <w:rPr/>
            </w:r>
          </w:p>
          <w:p>
            <w:pPr>
              <w:pStyle w:val="TableContents"/>
              <w:bidi w:val="0"/>
              <w:spacing w:before="0" w:after="0"/>
              <w:jc w:val="center"/>
              <w:rPr>
                <w:b/>
                <w:spacing w:val="0"/>
              </w:rPr>
            </w:pPr>
            <w:r>
              <w:rPr>
                <w:b/>
                <w:spacing w:val="0"/>
              </w:rPr>
              <w:t>average</w:t>
            </w:r>
          </w:p>
          <w:p>
            <w:pPr>
              <w:pStyle w:val="TableContents"/>
              <w:bidi w:val="0"/>
              <w:spacing w:before="0" w:after="0"/>
              <w:jc w:val="center"/>
              <w:rPr/>
            </w:pPr>
            <w:r>
              <w:rPr/>
            </w:r>
          </w:p>
          <w:p>
            <w:pPr>
              <w:pStyle w:val="TableContents"/>
              <w:bidi w:val="0"/>
              <w:spacing w:before="0" w:after="0"/>
              <w:jc w:val="center"/>
              <w:rPr>
                <w:b/>
                <w:spacing w:val="0"/>
              </w:rPr>
            </w:pPr>
            <w:r>
              <w:rPr>
                <w:b/>
                <w:spacing w:val="0"/>
              </w:rPr>
              <w:t>remaining</w:t>
            </w:r>
          </w:p>
          <w:p>
            <w:pPr>
              <w:pStyle w:val="TableContents"/>
              <w:bidi w:val="0"/>
              <w:spacing w:before="0" w:after="0"/>
              <w:jc w:val="center"/>
              <w:rPr/>
            </w:pPr>
            <w:r>
              <w:rPr/>
            </w:r>
          </w:p>
          <w:p>
            <w:pPr>
              <w:pStyle w:val="TableContents"/>
              <w:bidi w:val="0"/>
              <w:spacing w:before="0" w:after="0"/>
              <w:jc w:val="center"/>
              <w:rPr>
                <w:b/>
                <w:spacing w:val="0"/>
              </w:rPr>
            </w:pPr>
            <w:r>
              <w:rPr>
                <w:b/>
                <w:spacing w:val="0"/>
              </w:rPr>
              <w:t>contractual</w:t>
            </w:r>
          </w:p>
          <w:p>
            <w:pPr>
              <w:pStyle w:val="TableContents"/>
              <w:bidi w:val="0"/>
              <w:spacing w:before="0" w:after="0"/>
              <w:jc w:val="center"/>
              <w:rPr/>
            </w:pPr>
            <w:r>
              <w:rPr/>
            </w:r>
          </w:p>
          <w:p>
            <w:pPr>
              <w:pStyle w:val="TableContents"/>
              <w:bidi w:val="0"/>
              <w:spacing w:before="0" w:after="0"/>
              <w:jc w:val="center"/>
              <w:rPr>
                <w:b/>
                <w:spacing w:val="0"/>
              </w:rPr>
            </w:pPr>
            <w:r>
              <w:rPr>
                <w:b/>
                <w:spacing w:val="0"/>
              </w:rPr>
              <w:t>years to</w:t>
            </w:r>
          </w:p>
          <w:p>
            <w:pPr>
              <w:pStyle w:val="TableContents"/>
              <w:bidi w:val="0"/>
              <w:spacing w:before="0" w:after="0"/>
              <w:jc w:val="center"/>
              <w:rPr/>
            </w:pPr>
            <w:r>
              <w:rPr/>
            </w:r>
          </w:p>
          <w:p>
            <w:pPr>
              <w:pStyle w:val="TableContents"/>
              <w:bidi w:val="0"/>
              <w:spacing w:before="0" w:after="0"/>
              <w:jc w:val="center"/>
              <w:rPr>
                <w:b/>
                <w:spacing w:val="0"/>
              </w:rPr>
            </w:pPr>
            <w:r>
              <w:rPr>
                <w:b/>
                <w:spacing w:val="0"/>
              </w:rPr>
              <w:t>expiry</w:t>
            </w:r>
          </w:p>
          <w:p>
            <w:pPr>
              <w:pStyle w:val="TableContents"/>
              <w:bidi w:val="0"/>
              <w:spacing w:before="0" w:after="0"/>
              <w:jc w:val="center"/>
              <w:rPr/>
            </w:pPr>
            <w:r>
              <w:rPr/>
            </w:r>
          </w:p>
          <w:p>
            <w:pPr>
              <w:pStyle w:val="TableContents"/>
              <w:bidi w:val="0"/>
              <w:spacing w:before="0" w:after="0"/>
              <w:jc w:val="center"/>
              <w:rPr>
                <w:b/>
                <w:spacing w:val="0"/>
              </w:rPr>
            </w:pPr>
            <w:r>
              <w:rPr>
                <w:b/>
                <w:spacing w:val="0"/>
              </w:rPr>
              <w:t>per share</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Aggregate</w:t>
            </w:r>
          </w:p>
          <w:p>
            <w:pPr>
              <w:pStyle w:val="TableContents"/>
              <w:bidi w:val="0"/>
              <w:spacing w:before="0" w:after="0"/>
              <w:jc w:val="center"/>
              <w:rPr/>
            </w:pPr>
            <w:r>
              <w:rPr/>
            </w:r>
          </w:p>
          <w:p>
            <w:pPr>
              <w:pStyle w:val="TableContents"/>
              <w:bidi w:val="0"/>
              <w:spacing w:before="0" w:after="0"/>
              <w:jc w:val="center"/>
              <w:rPr>
                <w:b/>
                <w:spacing w:val="0"/>
              </w:rPr>
            </w:pPr>
            <w:r>
              <w:rPr>
                <w:b/>
                <w:spacing w:val="0"/>
              </w:rPr>
              <w:t>intrinsic</w:t>
            </w:r>
          </w:p>
          <w:p>
            <w:pPr>
              <w:pStyle w:val="TableContents"/>
              <w:bidi w:val="0"/>
              <w:spacing w:before="0" w:after="0"/>
              <w:jc w:val="center"/>
              <w:rPr/>
            </w:pPr>
            <w:r>
              <w:rPr/>
            </w:r>
          </w:p>
          <w:p>
            <w:pPr>
              <w:pStyle w:val="TableContents"/>
              <w:bidi w:val="0"/>
              <w:spacing w:before="0" w:after="0"/>
              <w:jc w:val="center"/>
              <w:rPr>
                <w:b/>
                <w:spacing w:val="0"/>
              </w:rPr>
            </w:pPr>
            <w:r>
              <w:rPr>
                <w:b/>
                <w:spacing w:val="0"/>
              </w:rPr>
              <w:t>value</w:t>
            </w:r>
          </w:p>
        </w:tc>
        <w:tc>
          <w:tcPr>
            <w:tcW w:w="75" w:type="dxa"/>
            <w:tcBorders/>
            <w:vAlign w:val="center"/>
          </w:tcPr>
          <w:p>
            <w:pPr>
              <w:pStyle w:val="TableContents"/>
              <w:bidi w:val="0"/>
              <w:spacing w:before="0" w:after="0"/>
              <w:jc w:val="left"/>
              <w:rPr/>
            </w:pPr>
            <w:r>
              <w:rPr/>
              <w:t> </w:t>
            </w:r>
          </w:p>
        </w:tc>
      </w:tr>
      <w:tr>
        <w:trPr/>
        <w:tc>
          <w:tcPr>
            <w:tcW w:w="4975"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220" w:type="dxa"/>
            <w:gridSpan w:val="2"/>
            <w:tcBorders/>
            <w:vAlign w:val="center"/>
          </w:tcPr>
          <w:p>
            <w:pPr>
              <w:pStyle w:val="TableContents"/>
              <w:bidi w:val="0"/>
              <w:spacing w:before="0" w:after="0"/>
              <w:jc w:val="left"/>
              <w:rPr/>
            </w:pPr>
            <w:r>
              <w:rPr/>
              <w:t> </w:t>
            </w:r>
          </w:p>
        </w:tc>
        <w:tc>
          <w:tcPr>
            <w:tcW w:w="1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995" w:type="dxa"/>
            <w:gridSpan w:val="2"/>
            <w:tcBorders/>
            <w:vAlign w:val="center"/>
          </w:tcPr>
          <w:p>
            <w:pPr>
              <w:pStyle w:val="TableContents"/>
              <w:bidi w:val="0"/>
              <w:spacing w:before="0" w:after="0"/>
              <w:jc w:val="center"/>
              <w:rPr>
                <w:b/>
                <w:spacing w:val="0"/>
              </w:rPr>
            </w:pPr>
            <w:r>
              <w:rPr>
                <w:b/>
                <w:spacing w:val="0"/>
              </w:rPr>
              <w:t>US$</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175" w:type="dxa"/>
            <w:gridSpan w:val="2"/>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070" w:type="dxa"/>
            <w:gridSpan w:val="2"/>
            <w:tcBorders/>
            <w:vAlign w:val="center"/>
          </w:tcPr>
          <w:p>
            <w:pPr>
              <w:pStyle w:val="TableContents"/>
              <w:bidi w:val="0"/>
              <w:spacing w:before="0" w:after="0"/>
              <w:jc w:val="center"/>
              <w:rPr>
                <w:b/>
                <w:spacing w:val="0"/>
              </w:rPr>
            </w:pPr>
            <w:r>
              <w:rPr>
                <w:b/>
                <w:spacing w:val="0"/>
              </w:rPr>
              <w:t>US$</w:t>
            </w:r>
          </w:p>
        </w:tc>
        <w:tc>
          <w:tcPr>
            <w:tcW w:w="75" w:type="dxa"/>
            <w:tcBorders/>
            <w:vAlign w:val="center"/>
          </w:tcPr>
          <w:p>
            <w:pPr>
              <w:pStyle w:val="TableContents"/>
              <w:bidi w:val="0"/>
              <w:spacing w:before="0" w:after="0"/>
              <w:jc w:val="left"/>
              <w:rPr/>
            </w:pPr>
            <w:r>
              <w:rPr/>
              <w:t> </w:t>
            </w:r>
          </w:p>
        </w:tc>
      </w:tr>
      <w:tr>
        <w:trPr/>
        <w:tc>
          <w:tcPr>
            <w:tcW w:w="4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2023</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5,806,691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61.51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5.49 years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158,447</w:t>
            </w:r>
          </w:p>
        </w:tc>
        <w:tc>
          <w:tcPr>
            <w:tcW w:w="75" w:type="dxa"/>
            <w:tcBorders/>
            <w:shd w:fill="CCEEFF" w:val="clear"/>
            <w:vAlign w:val="center"/>
          </w:tcPr>
          <w:p>
            <w:pPr>
              <w:pStyle w:val="TableContents"/>
              <w:bidi w:val="0"/>
              <w:spacing w:before="0" w:after="283"/>
              <w:jc w:val="left"/>
              <w:rPr/>
            </w:pPr>
            <w:r>
              <w:rPr/>
              <w:t> </w:t>
            </w:r>
          </w:p>
        </w:tc>
      </w:tr>
      <w:tr>
        <w:trPr/>
        <w:tc>
          <w:tcPr>
            <w:tcW w:w="4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bdr w:val="double" w:sz="6" w:space="1" w:color="000000"/>
              </w:rPr>
            </w:pPr>
            <w:r>
              <w:rPr>
                <w:bdr w:val="double" w:sz="6" w:space="1" w:color="000000"/>
              </w:rPr>
              <w:t> </w:t>
            </w:r>
          </w:p>
        </w:tc>
        <w:tc>
          <w:tcPr>
            <w:tcW w:w="115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Exercised</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(14,000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8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sz w:val="4"/>
                <w:szCs w:val="4"/>
              </w:rPr>
            </w:pPr>
            <w:r>
              <w:rPr>
                <w:sz w:val="4"/>
                <w:szCs w:val="4"/>
              </w:rPr>
            </w:r>
          </w:p>
        </w:tc>
        <w:tc>
          <w:tcPr>
            <w:tcW w:w="11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bdr w:val="single" w:sz="2" w:space="1" w:color="000000"/>
              </w:rPr>
            </w:pPr>
            <w:r>
              <w:rPr>
                <w:bdr w:val="single" w:sz="2" w:space="1" w:color="000000"/>
              </w:rPr>
              <w:t> </w:t>
            </w:r>
          </w:p>
        </w:tc>
        <w:tc>
          <w:tcPr>
            <w:tcW w:w="115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2024</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5,792,691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61.66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right"/>
              <w:rPr/>
            </w:pPr>
            <w:r>
              <w:rPr/>
              <w:t>4.72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32,986</w:t>
            </w:r>
          </w:p>
        </w:tc>
        <w:tc>
          <w:tcPr>
            <w:tcW w:w="75" w:type="dxa"/>
            <w:tcBorders/>
            <w:vAlign w:val="center"/>
          </w:tcPr>
          <w:p>
            <w:pPr>
              <w:pStyle w:val="TableContents"/>
              <w:bidi w:val="0"/>
              <w:spacing w:before="0" w:after="283"/>
              <w:jc w:val="left"/>
              <w:rPr/>
            </w:pPr>
            <w:r>
              <w:rPr/>
              <w:t> </w:t>
            </w:r>
          </w:p>
        </w:tc>
      </w:tr>
      <w:tr>
        <w:trPr/>
        <w:tc>
          <w:tcPr>
            <w:tcW w:w="4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0"/>
              <w:jc w:val="left"/>
              <w:rPr>
                <w:bdr w:val="double" w:sz="6" w:space="1" w:color="000000"/>
              </w:rPr>
            </w:pPr>
            <w:r>
              <w:rPr>
                <w:bdr w:val="double" w:sz="6" w:space="1" w:color="000000"/>
              </w:rPr>
              <w:t> </w:t>
            </w:r>
          </w:p>
        </w:tc>
        <w:tc>
          <w:tcPr>
            <w:tcW w:w="115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75"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Non-vested</w:t>
            </w:r>
          </w:p>
          <w:p>
            <w:pPr>
              <w:pStyle w:val="TableContents"/>
              <w:bidi w:val="0"/>
              <w:spacing w:before="0" w:after="0"/>
              <w:jc w:val="left"/>
              <w:rPr>
                <w:rFonts w:ascii="Times New Roman" w:hAnsi="Times New Roman"/>
                <w:sz w:val="20"/>
              </w:rPr>
            </w:pPr>
            <w:r>
              <w:rPr>
                <w:rFonts w:ascii="Times New Roman" w:hAnsi="Times New Roman"/>
                <w:sz w:val="20"/>
              </w:rPr>
              <w:t>as of December 31, 2024</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968,460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sz w:val="4"/>
                <w:szCs w:val="4"/>
              </w:rPr>
            </w:pPr>
            <w:r>
              <w:rPr>
                <w:sz w:val="4"/>
                <w:szCs w:val="4"/>
              </w:rPr>
            </w:r>
          </w:p>
        </w:tc>
        <w:tc>
          <w:tcPr>
            <w:tcW w:w="89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sz w:val="4"/>
                <w:szCs w:val="4"/>
              </w:rPr>
            </w:pPr>
            <w:r>
              <w:rPr>
                <w:sz w:val="4"/>
                <w:szCs w:val="4"/>
              </w:rPr>
            </w:r>
          </w:p>
        </w:tc>
        <w:tc>
          <w:tcPr>
            <w:tcW w:w="110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sz w:val="4"/>
                <w:szCs w:val="4"/>
              </w:rPr>
            </w:pPr>
            <w:r>
              <w:rPr>
                <w:sz w:val="4"/>
                <w:szCs w:val="4"/>
              </w:rPr>
            </w:r>
          </w:p>
        </w:tc>
        <w:tc>
          <w:tcPr>
            <w:tcW w:w="99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Options vested and expected to vest as of December 31, 2024</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right"/>
              <w:rPr/>
            </w:pPr>
            <w:r>
              <w:rPr/>
              <w:t>5,792,691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9" w:type="dxa"/>
            <w:tcBorders/>
            <w:vAlign w:val="center"/>
          </w:tcPr>
          <w:p>
            <w:pPr>
              <w:pStyle w:val="TableContents"/>
              <w:bidi w:val="0"/>
              <w:spacing w:before="0" w:after="283"/>
              <w:jc w:val="right"/>
              <w:rPr/>
            </w:pPr>
            <w:r>
              <w:rPr/>
              <w:t>61.66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109" w:type="dxa"/>
            <w:tcBorders/>
            <w:vAlign w:val="center"/>
          </w:tcPr>
          <w:p>
            <w:pPr>
              <w:pStyle w:val="TableContents"/>
              <w:bidi w:val="0"/>
              <w:spacing w:before="0" w:after="283"/>
              <w:jc w:val="right"/>
              <w:rPr/>
            </w:pPr>
            <w:r>
              <w:rPr/>
              <w:t>4.72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32,986</w:t>
            </w:r>
          </w:p>
        </w:tc>
        <w:tc>
          <w:tcPr>
            <w:tcW w:w="75" w:type="dxa"/>
            <w:tcBorders/>
            <w:vAlign w:val="center"/>
          </w:tcPr>
          <w:p>
            <w:pPr>
              <w:pStyle w:val="TableContents"/>
              <w:bidi w:val="0"/>
              <w:spacing w:before="0" w:after="283"/>
              <w:jc w:val="left"/>
              <w:rPr/>
            </w:pPr>
            <w:r>
              <w:rPr/>
              <w:t> </w:t>
            </w:r>
          </w:p>
        </w:tc>
      </w:tr>
      <w:tr>
        <w:trPr/>
        <w:tc>
          <w:tcPr>
            <w:tcW w:w="4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Exercisable as of December 31, 2024</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50" w:type="dxa"/>
            <w:tcBorders/>
            <w:shd w:fill="CCEEFF" w:val="clear"/>
            <w:vAlign w:val="center"/>
          </w:tcPr>
          <w:p>
            <w:pPr>
              <w:pStyle w:val="TableContents"/>
              <w:bidi w:val="0"/>
              <w:spacing w:before="0" w:after="283"/>
              <w:jc w:val="right"/>
              <w:rPr/>
            </w:pPr>
            <w:r>
              <w:rPr/>
              <w:t>4,824,231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60.61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4.66 years</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32,502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z w:val="20"/>
        </w:rPr>
      </w:pPr>
      <w:r>
        <w:rPr>
          <w:rFonts w:ascii="Times New Roman" w:hAnsi="Times New Roman"/>
          <w:sz w:val="20"/>
        </w:rPr>
        <w:t xml:space="preserve">For the years ended December 31, 2022, 2023 and 2024, the Group recognized share-based payment expenses of RMB261,869, RMB283,630 and RMB298,650 in connection with the share options granted to key management and employees, respectively. The total fair value of shares vested during the years ended December 31, 2022, 2023 and 2024 was RMB261,266, RMB283,039 and RMB298,114, respectively.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and 2024, there was RMB586,401 and RMB304,593 unrecognized compensation cost related to unvested share options granted, respectively. The unvested share options expense relating to the share options of the Group is expected to be recognized over a weighted average period of </w:t>
      </w:r>
    </w:p>
    <w:p>
      <w:pPr>
        <w:pStyle w:val="TextBody"/>
        <w:bidi w:val="0"/>
        <w:spacing w:before="120" w:after="0"/>
        <w:jc w:val="left"/>
        <w:rPr>
          <w:rFonts w:ascii="Times New Roman" w:hAnsi="Times New Roman"/>
          <w:sz w:val="20"/>
        </w:rPr>
      </w:pPr>
      <w:r>
        <w:rPr>
          <w:rFonts w:ascii="Times New Roman" w:hAnsi="Times New Roman"/>
          <w:sz w:val="20"/>
        </w:rPr>
        <w:t>one year</w:t>
      </w:r>
    </w:p>
    <w:p>
      <w:pPr>
        <w:pStyle w:val="TextBody"/>
        <w:bidi w:val="0"/>
        <w:spacing w:before="120" w:after="0"/>
        <w:jc w:val="left"/>
        <w:rPr>
          <w:rFonts w:ascii="Times New Roman" w:hAnsi="Times New Roman"/>
          <w:sz w:val="20"/>
        </w:rPr>
      </w:pPr>
      <w:r>
        <w:rPr>
          <w:rFonts w:ascii="Times New Roman" w:hAnsi="Times New Roman"/>
          <w:sz w:val="20"/>
        </w:rPr>
        <w:t xml:space="preserve">on a straight-line basis schedule as of December 31, 2024. </w:t>
      </w:r>
    </w:p>
    <w:p>
      <w:pPr>
        <w:pStyle w:val="TextBody"/>
        <w:bidi w:val="0"/>
        <w:spacing w:before="0" w:after="0"/>
        <w:jc w:val="left"/>
        <w:rPr/>
      </w:pPr>
      <w:r>
        <w:rPr/>
        <w:t> </w:t>
      </w:r>
    </w:p>
    <w:tbl>
      <w:tblPr>
        <w:tblW w:w="1345" w:type="dxa"/>
        <w:jc w:val="left"/>
        <w:tblInd w:w="0" w:type="dxa"/>
        <w:tblLayout w:type="fixed"/>
        <w:tblCellMar>
          <w:top w:w="0" w:type="dxa"/>
          <w:left w:w="0" w:type="dxa"/>
          <w:bottom w:w="0" w:type="dxa"/>
          <w:right w:w="0" w:type="dxa"/>
        </w:tblCellMar>
      </w:tblPr>
      <w:tblGrid>
        <w:gridCol w:w="75"/>
        <w:gridCol w:w="305"/>
        <w:gridCol w:w="96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9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Non-vested</w:t>
            </w:r>
          </w:p>
          <w:p>
            <w:pPr>
              <w:pStyle w:val="TableContents"/>
              <w:bidi w:val="0"/>
              <w:spacing w:before="0" w:after="0"/>
              <w:jc w:val="left"/>
              <w:rPr>
                <w:rFonts w:ascii="Times New Roman" w:hAnsi="Times New Roman"/>
                <w:b/>
                <w:sz w:val="20"/>
              </w:rPr>
            </w:pPr>
            <w:r>
              <w:rPr>
                <w:rFonts w:ascii="Times New Roman" w:hAnsi="Times New Roman"/>
                <w:b/>
                <w:sz w:val="20"/>
              </w:rPr>
              <w:t xml:space="preserve">shares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During the years ended December 31, 2022, 2023 and 2024, a total of 1,950,761, 2,894,700 and 1,794,730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shares were granted to executive officers and employees under the 2014 Plan, respectively. </w:t>
      </w:r>
    </w:p>
    <w:p>
      <w:pPr>
        <w:pStyle w:val="TextBody"/>
        <w:bidi w:val="0"/>
        <w:spacing w:before="120" w:after="0"/>
        <w:jc w:val="left"/>
        <w:rPr>
          <w:rFonts w:ascii="Times New Roman" w:hAnsi="Times New Roman"/>
          <w:sz w:val="20"/>
        </w:rPr>
      </w:pPr>
      <w:r>
        <w:rPr>
          <w:rFonts w:ascii="Times New Roman" w:hAnsi="Times New Roman"/>
          <w:sz w:val="20"/>
        </w:rPr>
        <w:t xml:space="preserve">Most of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shares granted have a vesting period of four years of employment services with the first </w:t>
      </w:r>
    </w:p>
    <w:p>
      <w:pPr>
        <w:pStyle w:val="TextBody"/>
        <w:bidi w:val="0"/>
        <w:spacing w:before="120" w:after="0"/>
        <w:jc w:val="left"/>
        <w:rPr>
          <w:rFonts w:ascii="Times New Roman" w:hAnsi="Times New Roman"/>
          <w:spacing w:val="0"/>
          <w:sz w:val="20"/>
        </w:rPr>
      </w:pPr>
      <w:r>
        <w:rPr>
          <w:rFonts w:ascii="Times New Roman" w:hAnsi="Times New Roman"/>
          <w:spacing w:val="0"/>
          <w:sz w:val="20"/>
        </w:rPr>
        <w:t>one-fourth</w:t>
      </w:r>
    </w:p>
    <w:p>
      <w:pPr>
        <w:pStyle w:val="TextBody"/>
        <w:bidi w:val="0"/>
        <w:spacing w:before="120" w:after="0"/>
        <w:jc w:val="left"/>
        <w:rPr>
          <w:rFonts w:ascii="Times New Roman" w:hAnsi="Times New Roman"/>
          <w:sz w:val="20"/>
        </w:rPr>
      </w:pPr>
      <w:r>
        <w:rPr>
          <w:rFonts w:ascii="Times New Roman" w:hAnsi="Times New Roman"/>
          <w:sz w:val="20"/>
        </w:rPr>
        <w:t xml:space="preserve">vesting on the first anniversary from grant date, and the remaining three fourth vesting on a monthly or quarterly or annually basis over a three-year period ending on the fourth anniversary of the grant date. </w:t>
      </w:r>
    </w:p>
    <w:p>
      <w:pPr>
        <w:pStyle w:val="TextBody"/>
        <w:bidi w:val="0"/>
        <w:spacing w:before="120" w:after="0"/>
        <w:jc w:val="left"/>
        <w:rPr>
          <w:rFonts w:ascii="Times New Roman" w:hAnsi="Times New Roman"/>
          <w:sz w:val="20"/>
        </w:rPr>
      </w:pPr>
      <w:r>
        <w:rPr>
          <w:rFonts w:ascii="Times New Roman" w:hAnsi="Times New Roman"/>
          <w:sz w:val="20"/>
        </w:rPr>
        <w:t xml:space="preserve">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shares are not transferable and may not be sold or pledged and the holder has no voting or dividend right on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shares. In the event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shareholder’s employment for the Group is terminated for any reason prior to the fourth anniversary of the grant date, the holder’s right to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shares will terminate effectively. The outstanding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shares shall be forfeited and automatically transferred to and reacquired by the Group without any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335"/>
        <w:gridCol w:w="1970"/>
      </w:tblGrid>
      <w:tr>
        <w:trPr/>
        <w:tc>
          <w:tcPr>
            <w:tcW w:w="335" w:type="dxa"/>
            <w:tcBorders/>
            <w:vAlign w:val="center"/>
          </w:tcPr>
          <w:p>
            <w:pPr>
              <w:pStyle w:val="TableContents"/>
              <w:bidi w:val="0"/>
              <w:spacing w:before="0" w:after="0"/>
              <w:jc w:val="left"/>
              <w:rPr>
                <w:b/>
                <w:spacing w:val="0"/>
              </w:rPr>
            </w:pPr>
            <w:r>
              <w:rPr>
                <w:b/>
                <w:spacing w:val="0"/>
              </w:rPr>
              <w:t>24.</w:t>
            </w:r>
          </w:p>
        </w:tc>
        <w:tc>
          <w:tcPr>
            <w:tcW w:w="19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Share-based payments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tbl>
      <w:tblPr>
        <w:tblW w:w="1405" w:type="dxa"/>
        <w:jc w:val="left"/>
        <w:tblInd w:w="0" w:type="dxa"/>
        <w:tblLayout w:type="fixed"/>
        <w:tblCellMar>
          <w:top w:w="0" w:type="dxa"/>
          <w:left w:w="0" w:type="dxa"/>
          <w:bottom w:w="0" w:type="dxa"/>
          <w:right w:w="0" w:type="dxa"/>
        </w:tblCellMar>
      </w:tblPr>
      <w:tblGrid>
        <w:gridCol w:w="75"/>
        <w:gridCol w:w="305"/>
        <w:gridCol w:w="102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(b)</w:t>
            </w:r>
          </w:p>
        </w:tc>
        <w:tc>
          <w:tcPr>
            <w:tcW w:w="102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Non-vested</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shares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For the years ended December 31, 2023 and 2024,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0" w:after="0"/>
        <w:jc w:val="left"/>
        <w:rPr>
          <w:rFonts w:ascii="Times New Roman" w:hAnsi="Times New Roman"/>
          <w:sz w:val="20"/>
        </w:rPr>
      </w:pPr>
      <w:r>
        <w:rPr>
          <w:rFonts w:ascii="Times New Roman" w:hAnsi="Times New Roman"/>
          <w:sz w:val="20"/>
        </w:rPr>
        <w:t xml:space="preserve">shares movement was as follows: </w:t>
      </w:r>
    </w:p>
    <w:p>
      <w:pPr>
        <w:pStyle w:val="TextBody"/>
        <w:bidi w:val="0"/>
        <w:spacing w:before="0" w:after="0"/>
        <w:jc w:val="left"/>
        <w:rPr/>
      </w:pPr>
      <w:r>
        <w:rPr/>
        <w:t> </w:t>
      </w:r>
    </w:p>
    <w:p>
      <w:pPr>
        <w:pStyle w:val="TextBody"/>
        <w:bidi w:val="0"/>
        <w:spacing w:before="0" w:after="0"/>
        <w:jc w:val="left"/>
        <w:rPr>
          <w:sz w:val="24"/>
        </w:rPr>
      </w:pPr>
      <w:r>
        <w:rPr>
          <w:sz w:val="24"/>
        </w:rPr>
      </w:r>
    </w:p>
    <w:tbl>
      <w:tblPr>
        <w:tblW w:w="5235" w:type="dxa"/>
        <w:jc w:val="left"/>
        <w:tblInd w:w="0" w:type="dxa"/>
        <w:tblLayout w:type="fixed"/>
        <w:tblCellMar>
          <w:top w:w="0" w:type="dxa"/>
          <w:left w:w="0" w:type="dxa"/>
          <w:bottom w:w="0" w:type="dxa"/>
          <w:right w:w="0" w:type="dxa"/>
        </w:tblCellMar>
      </w:tblPr>
      <w:tblGrid>
        <w:gridCol w:w="3080"/>
        <w:gridCol w:w="120"/>
        <w:gridCol w:w="100"/>
        <w:gridCol w:w="1765"/>
        <w:gridCol w:w="170"/>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0"/>
              <w:jc w:val="left"/>
              <w:rPr/>
            </w:pPr>
            <w:r>
              <w:rPr/>
              <w:t>  </w:t>
            </w:r>
          </w:p>
        </w:tc>
        <w:tc>
          <w:tcPr>
            <w:tcW w:w="1865" w:type="dxa"/>
            <w:gridSpan w:val="2"/>
            <w:tcBorders/>
            <w:vAlign w:val="center"/>
          </w:tcPr>
          <w:p>
            <w:pPr>
              <w:pStyle w:val="TableContents"/>
              <w:bidi w:val="0"/>
              <w:spacing w:before="0" w:after="0"/>
              <w:jc w:val="center"/>
              <w:rPr>
                <w:b/>
                <w:spacing w:val="0"/>
              </w:rPr>
            </w:pPr>
            <w:r>
              <w:rPr>
                <w:b/>
                <w:spacing w:val="0"/>
              </w:rPr>
              <w:t>Non-vested shares</w:t>
            </w:r>
          </w:p>
          <w:p>
            <w:pPr>
              <w:pStyle w:val="TableContents"/>
              <w:bidi w:val="0"/>
              <w:spacing w:before="0" w:after="0"/>
              <w:jc w:val="center"/>
              <w:rPr>
                <w:b/>
                <w:spacing w:val="0"/>
              </w:rPr>
            </w:pPr>
            <w:r>
              <w:rPr>
                <w:b/>
                <w:spacing w:val="0"/>
              </w:rPr>
              <w:br/>
              <w:t>outstanding</w:t>
            </w:r>
          </w:p>
        </w:tc>
        <w:tc>
          <w:tcPr>
            <w:tcW w:w="170" w:type="dxa"/>
            <w:tcBorders/>
            <w:vAlign w:val="center"/>
          </w:tcPr>
          <w:p>
            <w:pPr>
              <w:pStyle w:val="TableContents"/>
              <w:bidi w:val="0"/>
              <w:spacing w:before="0" w:after="0"/>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2023</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4,325,365</w:t>
            </w:r>
          </w:p>
        </w:tc>
        <w:tc>
          <w:tcPr>
            <w:tcW w:w="170"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Granted</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right"/>
              <w:rPr/>
            </w:pPr>
            <w:r>
              <w:rPr/>
              <w:t>1,794,730</w:t>
            </w:r>
          </w:p>
        </w:tc>
        <w:tc>
          <w:tcPr>
            <w:tcW w:w="17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Vested</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(1,748,581</w:t>
            </w:r>
          </w:p>
        </w:tc>
        <w:tc>
          <w:tcPr>
            <w:tcW w:w="170"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Forfeited</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765" w:type="dxa"/>
            <w:tcBorders/>
            <w:vAlign w:val="center"/>
          </w:tcPr>
          <w:p>
            <w:pPr>
              <w:pStyle w:val="TableContents"/>
              <w:bidi w:val="0"/>
              <w:spacing w:before="0" w:after="283"/>
              <w:jc w:val="right"/>
              <w:rPr/>
            </w:pPr>
            <w:r>
              <w:rPr/>
              <w:t>(647,535</w:t>
            </w:r>
          </w:p>
        </w:tc>
        <w:tc>
          <w:tcPr>
            <w:tcW w:w="17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76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as of December 31, 2024</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765" w:type="dxa"/>
            <w:tcBorders/>
            <w:shd w:fill="CCEEFF" w:val="clear"/>
            <w:vAlign w:val="center"/>
          </w:tcPr>
          <w:p>
            <w:pPr>
              <w:pStyle w:val="TableContents"/>
              <w:bidi w:val="0"/>
              <w:spacing w:before="0" w:after="283"/>
              <w:jc w:val="right"/>
              <w:rPr/>
            </w:pPr>
            <w:r>
              <w:rPr/>
              <w:t>3,723,979</w:t>
            </w:r>
          </w:p>
        </w:tc>
        <w:tc>
          <w:tcPr>
            <w:tcW w:w="170"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76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The Group recognized compensation expense over the four-year service</w:t>
      </w:r>
    </w:p>
    <w:p>
      <w:pPr>
        <w:pStyle w:val="TextBody"/>
        <w:bidi w:val="0"/>
        <w:spacing w:before="240" w:after="0"/>
        <w:jc w:val="left"/>
        <w:rPr/>
      </w:pPr>
      <w:r>
        <w:rPr/>
        <w:t> </w:t>
      </w:r>
      <w:r>
        <w:rPr>
          <w:rFonts w:ascii="Times New Roman" w:hAnsi="Times New Roman"/>
          <w:sz w:val="20"/>
        </w:rPr>
        <w:t>periods on a straight-line</w:t>
      </w:r>
    </w:p>
    <w:p>
      <w:pPr>
        <w:pStyle w:val="TextBody"/>
        <w:bidi w:val="0"/>
        <w:spacing w:before="240" w:after="0"/>
        <w:jc w:val="left"/>
        <w:rPr>
          <w:rFonts w:ascii="Times New Roman" w:hAnsi="Times New Roman"/>
          <w:spacing w:val="0"/>
          <w:sz w:val="20"/>
        </w:rPr>
      </w:pPr>
      <w:r>
        <w:rPr>
          <w:rFonts w:ascii="Times New Roman" w:hAnsi="Times New Roman"/>
          <w:spacing w:val="0"/>
          <w:sz w:val="20"/>
        </w:rPr>
        <w:t>b</w:t>
      </w:r>
    </w:p>
    <w:p>
      <w:pPr>
        <w:pStyle w:val="TextBody"/>
        <w:bidi w:val="0"/>
        <w:spacing w:before="240" w:after="0"/>
        <w:jc w:val="left"/>
        <w:rPr>
          <w:rFonts w:ascii="Times New Roman" w:hAnsi="Times New Roman"/>
          <w:sz w:val="20"/>
        </w:rPr>
      </w:pPr>
      <w:r>
        <w:rPr>
          <w:rFonts w:ascii="Times New Roman" w:hAnsi="Times New Roman"/>
          <w:sz w:val="20"/>
        </w:rPr>
        <w:t xml:space="preserve">asis, and applied a forfeiture rate of nil for key management for 2022, 2023 and 2024, while the forfeiture rate was 26%, 23% and 29% for employees for the years ended December 31, 2022, 2023 and 2024, respectively. The aggregate fair value of the restricted shares at grant dates was RMB601,010, RMB1,549,568 and RMB1,083,690 during the years ended December 31, 2022, 2023 and 2024, respectively. The fair value of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non-vested</w:t>
      </w:r>
    </w:p>
    <w:p>
      <w:pPr>
        <w:pStyle w:val="TextBody"/>
        <w:bidi w:val="0"/>
        <w:spacing w:before="240" w:after="0"/>
        <w:jc w:val="left"/>
        <w:rPr>
          <w:rFonts w:ascii="Times New Roman" w:hAnsi="Times New Roman"/>
          <w:sz w:val="20"/>
        </w:rPr>
      </w:pPr>
      <w:r>
        <w:rPr>
          <w:rFonts w:ascii="Times New Roman" w:hAnsi="Times New Roman"/>
          <w:sz w:val="20"/>
        </w:rPr>
        <w:t xml:space="preserve">shares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is</w:t>
      </w:r>
    </w:p>
    <w:p>
      <w:pPr>
        <w:pStyle w:val="TextBody"/>
        <w:bidi w:val="0"/>
        <w:spacing w:before="240" w:after="0"/>
        <w:jc w:val="left"/>
        <w:rPr>
          <w:rFonts w:ascii="Times New Roman" w:hAnsi="Times New Roman"/>
          <w:sz w:val="20"/>
        </w:rPr>
      </w:pPr>
      <w:r>
        <w:rPr>
          <w:rFonts w:ascii="Times New Roman" w:hAnsi="Times New Roman"/>
          <w:sz w:val="20"/>
        </w:rPr>
        <w:t xml:space="preserve">measured at the respective market price of the Company’s ordinary shares on the grant-dates. </w:t>
      </w:r>
    </w:p>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2022, 2023 and 2024, the Group recognized share-based payment expenses of RMB593,061, RMB784,981 and RMB879,035 in connection with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shares granted to employees, respectively.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and 2024, there was RMB1,738,793 and RMB1,541,967 unrecognized compensation cost related to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shares which is expected to be recognized over a weighted average vesting period of 2.60 years and 2.55 years, respectively. The weighted average grant date fair value per share of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non-vested</w:t>
      </w:r>
    </w:p>
    <w:p>
      <w:pPr>
        <w:pStyle w:val="TextBody"/>
        <w:bidi w:val="0"/>
        <w:spacing w:before="120" w:after="0"/>
        <w:jc w:val="left"/>
        <w:rPr>
          <w:rFonts w:ascii="Times New Roman" w:hAnsi="Times New Roman"/>
          <w:sz w:val="20"/>
        </w:rPr>
      </w:pPr>
      <w:r>
        <w:rPr>
          <w:rFonts w:ascii="Times New Roman" w:hAnsi="Times New Roman"/>
          <w:sz w:val="20"/>
        </w:rPr>
        <w:t xml:space="preserve">shares granted during the years ended December 31, 2022, 2023 and 2024 were US$46.43 (approximately RMB308.09), US$76.49 (approximately RMB535.31) and US$83.87 (approximately RMB603.82), respectively. </w:t>
      </w:r>
    </w:p>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275"/>
        <w:gridCol w:w="42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(c)</w:t>
            </w:r>
          </w:p>
        </w:tc>
        <w:tc>
          <w:tcPr>
            <w:tcW w:w="428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Share-based awards relating to Shan Shan Outlets </w:t>
            </w:r>
          </w:p>
        </w:tc>
      </w:tr>
    </w:tbl>
    <w:p>
      <w:pPr>
        <w:pStyle w:val="TextBody"/>
        <w:bidi w:val="0"/>
        <w:spacing w:before="120" w:after="0"/>
        <w:jc w:val="left"/>
        <w:rPr>
          <w:rFonts w:ascii="Times New Roman" w:hAnsi="Times New Roman"/>
          <w:sz w:val="20"/>
        </w:rPr>
      </w:pPr>
      <w:r>
        <w:rPr>
          <w:rFonts w:ascii="Times New Roman" w:hAnsi="Times New Roman"/>
          <w:sz w:val="20"/>
        </w:rPr>
        <w:t>In December 2019, Shan Shan Outlets, a wholly-owned subsidiary of the Group, adopted a Stock Incentive Plan (“the Shan Shan Plan”), which provided up to 15% of the equity interest of the Shan Shan Outlets as share-based compensation to employees, external assigned employees and other eligible personal. The maximum contractual term of the Shan Shan Plan is 10 years. </w:t>
      </w:r>
    </w:p>
    <w:p>
      <w:pPr>
        <w:pStyle w:val="TextBody"/>
        <w:bidi w:val="0"/>
        <w:spacing w:before="120" w:after="0"/>
        <w:jc w:val="left"/>
        <w:rPr>
          <w:rFonts w:ascii="Times New Roman" w:hAnsi="Times New Roman"/>
          <w:sz w:val="20"/>
        </w:rPr>
      </w:pPr>
      <w:r>
        <w:rPr>
          <w:rFonts w:ascii="Times New Roman" w:hAnsi="Times New Roman"/>
          <w:sz w:val="20"/>
        </w:rPr>
        <w:t xml:space="preserve">In December 2019, 7.5% of the equity interest of the Shan Shan Outlets share options were granted to its executive officer under the Shan Shan Plan. In August 2020, 0.1484% of the equity interest of Shan Shan Outlets were granted to key employees of Shan Shan. In February and August 2021, 0.4208% and 0.7611% of the equity interest of Shan Shan Outlets were granted to key employees of Shan Shan, respectively. In January and July 2022, 1.3538% and 1.2283% of the equity interest of Shan Shan Outlets were granted to key employees of Shan Shan, respectively. In January 2023, 0.8680 % of the equity interest of Shan Shan Outlets were granted to key employees of Shan Shan. In January 2024, 1.3472% of the equity interest of Shan Shan Outlets were granted to key employees of Shan Shan.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335"/>
        <w:gridCol w:w="1970"/>
      </w:tblGrid>
      <w:tr>
        <w:trPr/>
        <w:tc>
          <w:tcPr>
            <w:tcW w:w="335" w:type="dxa"/>
            <w:tcBorders/>
            <w:vAlign w:val="center"/>
          </w:tcPr>
          <w:p>
            <w:pPr>
              <w:pStyle w:val="TableContents"/>
              <w:bidi w:val="0"/>
              <w:spacing w:before="0" w:after="0"/>
              <w:jc w:val="left"/>
              <w:rPr>
                <w:b/>
                <w:spacing w:val="0"/>
              </w:rPr>
            </w:pPr>
            <w:r>
              <w:rPr>
                <w:b/>
                <w:spacing w:val="0"/>
              </w:rPr>
              <w:t>24.</w:t>
            </w:r>
          </w:p>
        </w:tc>
        <w:tc>
          <w:tcPr>
            <w:tcW w:w="19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Share-based payments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75"/>
        <w:gridCol w:w="275"/>
        <w:gridCol w:w="428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jc w:val="left"/>
              <w:rPr>
                <w:b/>
                <w:spacing w:val="0"/>
              </w:rPr>
            </w:pPr>
            <w:r>
              <w:rPr>
                <w:b/>
                <w:spacing w:val="0"/>
              </w:rPr>
              <w:t>(c)</w:t>
            </w:r>
          </w:p>
        </w:tc>
        <w:tc>
          <w:tcPr>
            <w:tcW w:w="428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Share-based awards relating to Shan Shan Outlets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vesting period is generally 1-4 years of employment services where 25% to 100% will be vested on the first anniversary from grant date with the remaining to be vested ratably over the remaining vesting period. For options granted in 2024, the vesting period is two years, after which 100% of the granted options will be fully vested. </w:t>
      </w:r>
    </w:p>
    <w:p>
      <w:pPr>
        <w:pStyle w:val="TextBody"/>
        <w:bidi w:val="0"/>
        <w:spacing w:before="120" w:after="0"/>
        <w:jc w:val="left"/>
        <w:rPr>
          <w:rFonts w:ascii="Times New Roman" w:hAnsi="Times New Roman"/>
          <w:sz w:val="20"/>
        </w:rPr>
      </w:pPr>
      <w:r>
        <w:rPr>
          <w:rFonts w:ascii="Times New Roman" w:hAnsi="Times New Roman"/>
          <w:sz w:val="20"/>
        </w:rPr>
        <w:t xml:space="preserve">No consideration will be transferred to the Group upon exercise, where the Group shall repurchase the shares at a price determined based on Shan Shan Outlet’s </w:t>
      </w:r>
    </w:p>
    <w:p>
      <w:pPr>
        <w:pStyle w:val="TextBody"/>
        <w:bidi w:val="0"/>
        <w:spacing w:before="120" w:after="0"/>
        <w:jc w:val="left"/>
        <w:rPr>
          <w:rFonts w:ascii="Times New Roman" w:hAnsi="Times New Roman"/>
          <w:spacing w:val="0"/>
          <w:sz w:val="20"/>
        </w:rPr>
      </w:pPr>
      <w:r>
        <w:rPr>
          <w:rFonts w:ascii="Times New Roman" w:hAnsi="Times New Roman"/>
          <w:spacing w:val="0"/>
          <w:sz w:val="20"/>
        </w:rPr>
        <w:t>3</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-year-audited-average</w:t>
      </w:r>
    </w:p>
    <w:p>
      <w:pPr>
        <w:pStyle w:val="TextBody"/>
        <w:bidi w:val="0"/>
        <w:spacing w:before="120" w:after="0"/>
        <w:jc w:val="left"/>
        <w:rPr>
          <w:rFonts w:ascii="Times New Roman" w:hAnsi="Times New Roman"/>
          <w:spacing w:val="0"/>
          <w:sz w:val="20"/>
        </w:rPr>
      </w:pPr>
      <w:r>
        <w:rPr>
          <w:rFonts w:ascii="Times New Roman" w:hAnsi="Times New Roman"/>
          <w:spacing w:val="0"/>
          <w:sz w:val="20"/>
        </w:rPr>
        <w:t>net profit. The fair value of a liability-classified award will be re-measured to an updated fair value at each reporting period until the award is settled. The compensation cost is recognized over the requisite service period, which is usually the vesting period. For the years ended December 31, 2022, 2023 and 2024, the Group recognized share-based payment expenses of RMB</w:t>
      </w:r>
    </w:p>
    <w:p>
      <w:pPr>
        <w:pStyle w:val="TextBody"/>
        <w:bidi w:val="0"/>
        <w:spacing w:before="120" w:after="0"/>
        <w:jc w:val="left"/>
        <w:rPr>
          <w:rFonts w:ascii="Times New Roman" w:hAnsi="Times New Roman"/>
          <w:sz w:val="20"/>
        </w:rPr>
      </w:pPr>
      <w:r>
        <w:rPr>
          <w:rFonts w:ascii="Times New Roman" w:hAnsi="Times New Roman"/>
          <w:sz w:val="20"/>
        </w:rPr>
        <w:t xml:space="preserve">352,651, RMB441,195 and RMB360,055 in connection with the share options granted. For the years ended December 31, 2022, 2023 and 2024, the Group Outlets repurchased nil, RMB66,829 and RMB100,922 in connection with the share options granted. </w:t>
      </w:r>
    </w:p>
    <w:p>
      <w:pPr>
        <w:pStyle w:val="TextBody"/>
        <w:bidi w:val="0"/>
        <w:spacing w:before="120" w:after="0"/>
        <w:jc w:val="left"/>
        <w:rPr>
          <w:rFonts w:ascii="Times New Roman" w:hAnsi="Times New Roman"/>
          <w:sz w:val="20"/>
        </w:rPr>
      </w:pPr>
      <w:r>
        <w:rPr>
          <w:rFonts w:ascii="Times New Roman" w:hAnsi="Times New Roman"/>
          <w:sz w:val="20"/>
        </w:rPr>
        <w:t xml:space="preserve">The Group uses the Monte Carlo Simulation Mode to determine the estimated fair value for share- based compensation liability below with the assistance of an independent valuation firm as of December 31, 2022, 2023 and 2024. </w:t>
      </w:r>
    </w:p>
    <w:p>
      <w:pPr>
        <w:pStyle w:val="TextBody"/>
        <w:bidi w:val="0"/>
        <w:spacing w:before="120" w:after="0"/>
        <w:jc w:val="left"/>
        <w:rPr>
          <w:rFonts w:ascii="Times New Roman" w:hAnsi="Times New Roman"/>
          <w:sz w:val="20"/>
        </w:rPr>
      </w:pPr>
      <w:r>
        <w:rPr>
          <w:rFonts w:ascii="Times New Roman" w:hAnsi="Times New Roman"/>
          <w:sz w:val="20"/>
        </w:rPr>
        <w:t xml:space="preserve">The assumptions used in determining the fair value of the share-based awards as of December 31, 2022, 2023 and 2024 were as follows: </w:t>
      </w:r>
    </w:p>
    <w:p>
      <w:pPr>
        <w:pStyle w:val="TextBody"/>
        <w:bidi w:val="0"/>
        <w:spacing w:before="0" w:after="0"/>
        <w:jc w:val="left"/>
        <w:rPr/>
      </w:pPr>
      <w:r>
        <w:rPr/>
        <w:t> </w:t>
      </w:r>
    </w:p>
    <w:tbl>
      <w:tblPr>
        <w:tblW w:w="8630" w:type="dxa"/>
        <w:jc w:val="left"/>
        <w:tblInd w:w="0" w:type="dxa"/>
        <w:tblLayout w:type="fixed"/>
        <w:tblCellMar>
          <w:top w:w="0" w:type="dxa"/>
          <w:left w:w="0" w:type="dxa"/>
          <w:bottom w:w="0" w:type="dxa"/>
          <w:right w:w="0" w:type="dxa"/>
        </w:tblCellMar>
      </w:tblPr>
      <w:tblGrid>
        <w:gridCol w:w="3080"/>
        <w:gridCol w:w="120"/>
        <w:gridCol w:w="60"/>
        <w:gridCol w:w="1430"/>
        <w:gridCol w:w="275"/>
        <w:gridCol w:w="60"/>
        <w:gridCol w:w="60"/>
        <w:gridCol w:w="1430"/>
        <w:gridCol w:w="275"/>
        <w:gridCol w:w="60"/>
        <w:gridCol w:w="60"/>
        <w:gridCol w:w="1430"/>
        <w:gridCol w:w="290"/>
      </w:tblGrid>
      <w:tr>
        <w:trPr/>
        <w:tc>
          <w:tcPr>
            <w:tcW w:w="30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Assumptions</w:t>
            </w:r>
          </w:p>
        </w:tc>
        <w:tc>
          <w:tcPr>
            <w:tcW w:w="12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29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dividend yield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0.00</w:t>
            </w:r>
          </w:p>
        </w:tc>
        <w:tc>
          <w:tcPr>
            <w:tcW w:w="290"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Risk-free interest rate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1.82%~2.39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2.17%~2.35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1.41%~1.47</w:t>
            </w:r>
          </w:p>
        </w:tc>
        <w:tc>
          <w:tcPr>
            <w:tcW w:w="290"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Expected volatility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39.51%~44.69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32.95%~38.74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23.17%~27.53</w:t>
            </w:r>
          </w:p>
        </w:tc>
        <w:tc>
          <w:tcPr>
            <w:tcW w:w="290"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fair value of share-based awards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832,456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1,097,668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1,540,863</w:t>
            </w:r>
          </w:p>
        </w:tc>
        <w:tc>
          <w:tcPr>
            <w:tcW w:w="290"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Notes: </w:t>
      </w:r>
    </w:p>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290"/>
        <w:gridCol w:w="21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21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Expected dividend yield: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expected dividend yield was estimated by the Group based on Shan Shan Outlet’s dividend policy over the expected life of the awards.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75"/>
        <w:gridCol w:w="290"/>
        <w:gridCol w:w="18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1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Risk-free interest rate: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Risk-free interest rate was estimated based on the China Government Bonds with a maturity life equal to the time period of the simulation as of the valuation date. </w:t>
      </w:r>
    </w:p>
    <w:p>
      <w:pPr>
        <w:pStyle w:val="TextBody"/>
        <w:bidi w:val="0"/>
        <w:spacing w:before="0" w:after="0"/>
        <w:jc w:val="left"/>
        <w:rPr/>
      </w:pPr>
      <w:r>
        <w:rPr/>
        <w:t> </w:t>
      </w:r>
    </w:p>
    <w:tbl>
      <w:tblPr>
        <w:tblW w:w="2080" w:type="dxa"/>
        <w:jc w:val="left"/>
        <w:tblInd w:w="0" w:type="dxa"/>
        <w:tblLayout w:type="fixed"/>
        <w:tblCellMar>
          <w:top w:w="0" w:type="dxa"/>
          <w:left w:w="0" w:type="dxa"/>
          <w:bottom w:w="0" w:type="dxa"/>
          <w:right w:w="0" w:type="dxa"/>
        </w:tblCellMar>
      </w:tblPr>
      <w:tblGrid>
        <w:gridCol w:w="75"/>
        <w:gridCol w:w="290"/>
        <w:gridCol w:w="17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17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Expected volatility: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expected volatility was estimated based on the </w:t>
      </w:r>
    </w:p>
    <w:p>
      <w:pPr>
        <w:pStyle w:val="TextBody"/>
        <w:bidi w:val="0"/>
        <w:spacing w:before="120" w:after="0"/>
        <w:jc w:val="left"/>
        <w:rPr>
          <w:rFonts w:ascii="Times New Roman" w:hAnsi="Times New Roman"/>
          <w:spacing w:val="0"/>
          <w:sz w:val="20"/>
        </w:rPr>
      </w:pPr>
      <w:r>
        <w:rPr>
          <w:rFonts w:ascii="Times New Roman" w:hAnsi="Times New Roman"/>
          <w:spacing w:val="0"/>
          <w:sz w:val="20"/>
        </w:rPr>
        <w:t>3-year</w:t>
      </w:r>
    </w:p>
    <w:p>
      <w:pPr>
        <w:pStyle w:val="TextBody"/>
        <w:bidi w:val="0"/>
        <w:spacing w:before="120" w:after="0"/>
        <w:jc w:val="left"/>
        <w:rPr>
          <w:rFonts w:ascii="Times New Roman" w:hAnsi="Times New Roman"/>
          <w:sz w:val="20"/>
        </w:rPr>
      </w:pPr>
      <w:r>
        <w:rPr>
          <w:rFonts w:ascii="Times New Roman" w:hAnsi="Times New Roman"/>
          <w:sz w:val="20"/>
        </w:rPr>
        <w:t xml:space="preserve">average annualized volatility of comparable companies’ revenue.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305" w:type="dxa"/>
        <w:jc w:val="left"/>
        <w:tblInd w:w="0" w:type="dxa"/>
        <w:tblLayout w:type="fixed"/>
        <w:tblCellMar>
          <w:top w:w="0" w:type="dxa"/>
          <w:left w:w="0" w:type="dxa"/>
          <w:bottom w:w="0" w:type="dxa"/>
          <w:right w:w="0" w:type="dxa"/>
        </w:tblCellMar>
      </w:tblPr>
      <w:tblGrid>
        <w:gridCol w:w="335"/>
        <w:gridCol w:w="1970"/>
      </w:tblGrid>
      <w:tr>
        <w:trPr/>
        <w:tc>
          <w:tcPr>
            <w:tcW w:w="335" w:type="dxa"/>
            <w:tcBorders/>
            <w:vAlign w:val="center"/>
          </w:tcPr>
          <w:p>
            <w:pPr>
              <w:pStyle w:val="TableContents"/>
              <w:bidi w:val="0"/>
              <w:spacing w:before="0" w:after="0"/>
              <w:jc w:val="left"/>
              <w:rPr>
                <w:b/>
                <w:spacing w:val="0"/>
              </w:rPr>
            </w:pPr>
            <w:r>
              <w:rPr>
                <w:b/>
                <w:spacing w:val="0"/>
              </w:rPr>
              <w:t>24.</w:t>
            </w:r>
          </w:p>
        </w:tc>
        <w:tc>
          <w:tcPr>
            <w:tcW w:w="1970"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Share-based payments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tbl>
      <w:tblPr>
        <w:tblW w:w="3475" w:type="dxa"/>
        <w:jc w:val="left"/>
        <w:tblInd w:w="0" w:type="dxa"/>
        <w:tblLayout w:type="fixed"/>
        <w:tblCellMar>
          <w:top w:w="0" w:type="dxa"/>
          <w:left w:w="0" w:type="dxa"/>
          <w:bottom w:w="0" w:type="dxa"/>
          <w:right w:w="0" w:type="dxa"/>
        </w:tblCellMar>
      </w:tblPr>
      <w:tblGrid>
        <w:gridCol w:w="75"/>
        <w:gridCol w:w="305"/>
        <w:gridCol w:w="309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0"/>
              <w:jc w:val="left"/>
              <w:rPr>
                <w:b/>
                <w:spacing w:val="0"/>
              </w:rPr>
            </w:pPr>
            <w:r>
              <w:rPr>
                <w:b/>
                <w:spacing w:val="0"/>
              </w:rPr>
              <w:t>(d)</w:t>
            </w:r>
          </w:p>
        </w:tc>
        <w:tc>
          <w:tcPr>
            <w:tcW w:w="30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 based compensation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the years ended December 31, 2022, 2023 and 2024, share based compensation expenses have been included in the following balances on the consolidated statements of income and comprehensive income: </w:t>
      </w:r>
    </w:p>
    <w:p>
      <w:pPr>
        <w:pStyle w:val="TextBody"/>
        <w:bidi w:val="0"/>
        <w:spacing w:before="0" w:after="0"/>
        <w:jc w:val="left"/>
        <w:rPr/>
      </w:pPr>
      <w:r>
        <w:rPr/>
        <w:t> </w:t>
      </w:r>
    </w:p>
    <w:tbl>
      <w:tblPr>
        <w:tblW w:w="7190" w:type="dxa"/>
        <w:jc w:val="left"/>
        <w:tblInd w:w="0" w:type="dxa"/>
        <w:tblLayout w:type="fixed"/>
        <w:tblCellMar>
          <w:top w:w="0" w:type="dxa"/>
          <w:left w:w="0" w:type="dxa"/>
          <w:bottom w:w="0" w:type="dxa"/>
          <w:right w:w="0" w:type="dxa"/>
        </w:tblCellMar>
      </w:tblPr>
      <w:tblGrid>
        <w:gridCol w:w="3005"/>
        <w:gridCol w:w="120"/>
        <w:gridCol w:w="60"/>
        <w:gridCol w:w="1055"/>
        <w:gridCol w:w="155"/>
        <w:gridCol w:w="120"/>
        <w:gridCol w:w="60"/>
        <w:gridCol w:w="1055"/>
        <w:gridCol w:w="155"/>
        <w:gridCol w:w="120"/>
        <w:gridCol w:w="60"/>
        <w:gridCol w:w="1055"/>
        <w:gridCol w:w="170"/>
      </w:tblGrid>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89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Fulfillment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(74,063</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(77,926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(84,079</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Marketing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(14,630</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(33,379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(31,215</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Technology and content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(242,714</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(330,197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(382,308</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(876,174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(1,068,304</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(1,040,138</w:t>
            </w:r>
          </w:p>
        </w:tc>
        <w:tc>
          <w:tcPr>
            <w:tcW w:w="17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(1,207,581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(1,509,806</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(1,537,740</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335"/>
        <w:gridCol w:w="1865"/>
      </w:tblGrid>
      <w:tr>
        <w:trPr/>
        <w:tc>
          <w:tcPr>
            <w:tcW w:w="335" w:type="dxa"/>
            <w:tcBorders/>
            <w:vAlign w:val="center"/>
          </w:tcPr>
          <w:p>
            <w:pPr>
              <w:pStyle w:val="TableContents"/>
              <w:bidi w:val="0"/>
              <w:spacing w:before="0" w:after="0"/>
              <w:jc w:val="left"/>
              <w:rPr>
                <w:b/>
                <w:spacing w:val="0"/>
              </w:rPr>
            </w:pPr>
            <w:r>
              <w:rPr>
                <w:b/>
                <w:spacing w:val="0"/>
              </w:rPr>
              <w:t>25.</w:t>
            </w:r>
          </w:p>
        </w:tc>
        <w:tc>
          <w:tcPr>
            <w:tcW w:w="186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Segment information </w:t>
            </w:r>
          </w:p>
        </w:tc>
      </w:tr>
    </w:tbl>
    <w:p>
      <w:pPr>
        <w:pStyle w:val="TextBody"/>
        <w:bidi w:val="0"/>
        <w:spacing w:before="12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Segment revenue and results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For the years ended December 31, 2022, 2023 and 2024, the Group has determined it has five operating segments, Vip.com, internet finance, Shan Shan Outlets, offline shops and City Outlets.Vip.com and Shan Shan Outlets have been identified as reportable segments while internet finance, offline shop and City Outlets operating segments were aggregated as others reportable segment.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Group’s CODM assesses the segments’ performance by using each segments’ income from operations (which includes certain expense allocations directly attributable to each of the segments).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CODM uses income from operations for each segment to measure the performance of each segment to monitor budget versus actual results and evaluate the performance, and to allocate resources to each of the segments.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The tables below provide a summary of the Group’s operating segment results including the significant expense categories and amounts for each reportable segment that are regularly provided to the CODM for the years ended December 31, 2022, 2023 and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645"/>
        <w:gridCol w:w="120"/>
        <w:gridCol w:w="60"/>
        <w:gridCol w:w="1220"/>
        <w:gridCol w:w="155"/>
        <w:gridCol w:w="60"/>
        <w:gridCol w:w="60"/>
        <w:gridCol w:w="1070"/>
        <w:gridCol w:w="155"/>
        <w:gridCol w:w="60"/>
        <w:gridCol w:w="60"/>
        <w:gridCol w:w="875"/>
        <w:gridCol w:w="155"/>
        <w:gridCol w:w="60"/>
        <w:gridCol w:w="60"/>
        <w:gridCol w:w="1220"/>
        <w:gridCol w:w="170"/>
      </w:tblGrid>
      <w:tr>
        <w:trPr/>
        <w:tc>
          <w:tcPr>
            <w:tcW w:w="4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45"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Year Ended December 31, 2024</w:t>
            </w:r>
          </w:p>
        </w:tc>
        <w:tc>
          <w:tcPr>
            <w:tcW w:w="12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rPr>
            </w:pPr>
            <w:r>
              <w:rPr>
                <w:b/>
              </w:rPr>
              <w:t>Vip.com</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0"/>
              <w:jc w:val="center"/>
              <w:rPr>
                <w:b/>
              </w:rPr>
            </w:pPr>
            <w:r>
              <w:rPr>
                <w:b/>
              </w:rPr>
              <w:t>Shan Shan</w:t>
            </w:r>
          </w:p>
          <w:p>
            <w:pPr>
              <w:pStyle w:val="TableContents"/>
              <w:bidi w:val="0"/>
              <w:spacing w:before="0" w:after="0"/>
              <w:jc w:val="center"/>
              <w:rPr/>
            </w:pPr>
            <w:r>
              <w:rPr/>
            </w:r>
          </w:p>
          <w:p>
            <w:pPr>
              <w:pStyle w:val="TableContents"/>
              <w:bidi w:val="0"/>
              <w:spacing w:before="0" w:after="0"/>
              <w:jc w:val="center"/>
              <w:rPr>
                <w:b/>
              </w:rPr>
            </w:pPr>
            <w:r>
              <w:rPr>
                <w:b/>
              </w:rPr>
              <w:t>Outlets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rPr>
            </w:pPr>
            <w:r>
              <w:rPr>
                <w:b/>
              </w:rPr>
              <w:t>Others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464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0"/>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0"/>
              <w:jc w:val="center"/>
              <w:rPr>
                <w:b/>
              </w:rPr>
            </w:pPr>
            <w:r>
              <w:rPr>
                <w:b/>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0"/>
              <w:jc w:val="center"/>
              <w:rPr>
                <w:b/>
              </w:rPr>
            </w:pPr>
            <w:r>
              <w:rPr>
                <w:b/>
              </w:rPr>
              <w:t>RMB</w:t>
            </w:r>
          </w:p>
        </w:tc>
        <w:tc>
          <w:tcPr>
            <w:tcW w:w="170" w:type="dxa"/>
            <w:tcBorders/>
            <w:vAlign w:val="center"/>
          </w:tcPr>
          <w:p>
            <w:pPr>
              <w:pStyle w:val="TableContents"/>
              <w:bidi w:val="0"/>
              <w:spacing w:before="0" w:after="283"/>
              <w:jc w:val="left"/>
              <w:rPr/>
            </w:pPr>
            <w:r>
              <w:rPr/>
              <w:t> </w:t>
            </w:r>
          </w:p>
        </w:tc>
      </w:tr>
      <w:tr>
        <w:trPr/>
        <w:tc>
          <w:tcPr>
            <w:tcW w:w="4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Revenues from external customers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104,379,002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3,284,968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756,862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108,420,832</w:t>
            </w:r>
          </w:p>
        </w:tc>
        <w:tc>
          <w:tcPr>
            <w:tcW w:w="170" w:type="dxa"/>
            <w:tcBorders/>
            <w:shd w:fill="CCEEFF" w:val="clear"/>
            <w:vAlign w:val="center"/>
          </w:tcPr>
          <w:p>
            <w:pPr>
              <w:pStyle w:val="TableContents"/>
              <w:bidi w:val="0"/>
              <w:spacing w:before="0" w:after="283"/>
              <w:jc w:val="left"/>
              <w:rPr/>
            </w:pPr>
            <w:r>
              <w:rPr/>
              <w:t> </w:t>
            </w:r>
          </w:p>
        </w:tc>
      </w:tr>
      <w:tr>
        <w:trPr/>
        <w:tc>
          <w:tcPr>
            <w:tcW w:w="4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Inter-segment revenues (Note 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352,166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25,761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205,325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583,252</w:t>
            </w:r>
          </w:p>
        </w:tc>
        <w:tc>
          <w:tcPr>
            <w:tcW w:w="170" w:type="dxa"/>
            <w:tcBorders/>
            <w:vAlign w:val="center"/>
          </w:tcPr>
          <w:p>
            <w:pPr>
              <w:pStyle w:val="TableContents"/>
              <w:bidi w:val="0"/>
              <w:spacing w:before="0" w:after="283"/>
              <w:jc w:val="left"/>
              <w:rPr/>
            </w:pPr>
            <w:r>
              <w:rPr/>
              <w:t> </w:t>
            </w:r>
          </w:p>
        </w:tc>
      </w:tr>
      <w:tr>
        <w:trPr/>
        <w:tc>
          <w:tcPr>
            <w:tcW w:w="4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64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104,731,168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3,310,729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962,187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109,004,084</w:t>
            </w:r>
          </w:p>
        </w:tc>
        <w:tc>
          <w:tcPr>
            <w:tcW w:w="170" w:type="dxa"/>
            <w:tcBorders/>
            <w:shd w:fill="CCEEFF" w:val="clear"/>
            <w:vAlign w:val="center"/>
          </w:tcPr>
          <w:p>
            <w:pPr>
              <w:pStyle w:val="TableContents"/>
              <w:bidi w:val="0"/>
              <w:spacing w:before="0" w:after="283"/>
              <w:jc w:val="left"/>
              <w:rPr/>
            </w:pPr>
            <w:r>
              <w:rPr/>
              <w:t> </w:t>
            </w:r>
          </w:p>
        </w:tc>
      </w:tr>
      <w:tr>
        <w:trPr/>
        <w:tc>
          <w:tcPr>
            <w:tcW w:w="4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Reconciliation of total net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Elimination of inter-segment revenues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(583,252</w:t>
            </w:r>
          </w:p>
        </w:tc>
        <w:tc>
          <w:tcPr>
            <w:tcW w:w="170" w:type="dxa"/>
            <w:tcBorders/>
            <w:shd w:fill="CCEEFF" w:val="clear"/>
            <w:vAlign w:val="center"/>
          </w:tcPr>
          <w:p>
            <w:pPr>
              <w:pStyle w:val="TableContents"/>
              <w:bidi w:val="0"/>
              <w:spacing w:before="0" w:after="283"/>
              <w:jc w:val="left"/>
              <w:rPr/>
            </w:pPr>
            <w:r>
              <w:rPr/>
              <w:t>) </w:t>
            </w:r>
          </w:p>
        </w:tc>
      </w:tr>
      <w:tr>
        <w:trPr/>
        <w:tc>
          <w:tcPr>
            <w:tcW w:w="4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net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108,420,832</w:t>
            </w:r>
          </w:p>
        </w:tc>
        <w:tc>
          <w:tcPr>
            <w:tcW w:w="170" w:type="dxa"/>
            <w:tcBorders/>
            <w:vAlign w:val="center"/>
          </w:tcPr>
          <w:p>
            <w:pPr>
              <w:pStyle w:val="TableContents"/>
              <w:bidi w:val="0"/>
              <w:spacing w:before="0" w:after="283"/>
              <w:jc w:val="left"/>
              <w:rPr/>
            </w:pPr>
            <w:r>
              <w:rPr/>
              <w:t> </w:t>
            </w:r>
          </w:p>
        </w:tc>
      </w:tr>
      <w:tr>
        <w:trPr/>
        <w:tc>
          <w:tcPr>
            <w:tcW w:w="4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Cost of revenues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(81,251,073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(1,626,883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(344,551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Fulfillment expenses (Note b)</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(8,241,185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Marketing expenses (Note 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(2,766,702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(200,850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Technology and content expenses (Note b)</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(1,424,414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 (Note b)</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(2,290,281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(558,476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(333,414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Share-based compensation expenses (Note 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(1,137,590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(360,055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segment items (Note 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731,609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160,771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(187,737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7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Segment income from operations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8,351,532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725,236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96,485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9,173,253</w:t>
            </w:r>
          </w:p>
        </w:tc>
        <w:tc>
          <w:tcPr>
            <w:tcW w:w="170" w:type="dxa"/>
            <w:tcBorders/>
            <w:shd w:fill="CCEEFF" w:val="clear"/>
            <w:vAlign w:val="center"/>
          </w:tcPr>
          <w:p>
            <w:pPr>
              <w:pStyle w:val="TableContents"/>
              <w:bidi w:val="0"/>
              <w:spacing w:before="0" w:after="283"/>
              <w:jc w:val="left"/>
              <w:rPr/>
            </w:pPr>
            <w:r>
              <w:rPr/>
              <w:t> </w:t>
            </w:r>
          </w:p>
        </w:tc>
      </w:tr>
      <w:tr>
        <w:trPr/>
        <w:tc>
          <w:tcPr>
            <w:tcW w:w="4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Reconciliation of profit or loss: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6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income and expenses (Note 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814,227</w:t>
            </w:r>
          </w:p>
        </w:tc>
        <w:tc>
          <w:tcPr>
            <w:tcW w:w="170" w:type="dxa"/>
            <w:tcBorders/>
            <w:shd w:fill="CCEEFF" w:val="clear"/>
            <w:vAlign w:val="center"/>
          </w:tcPr>
          <w:p>
            <w:pPr>
              <w:pStyle w:val="TableContents"/>
              <w:bidi w:val="0"/>
              <w:spacing w:before="0" w:after="283"/>
              <w:jc w:val="left"/>
              <w:rPr/>
            </w:pPr>
            <w:r>
              <w:rPr/>
              <w:t> </w:t>
            </w:r>
          </w:p>
        </w:tc>
      </w:tr>
      <w:tr>
        <w:trPr/>
        <w:tc>
          <w:tcPr>
            <w:tcW w:w="4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Income before income taxes and share of income(loss) of equity method investees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9,987,480</w:t>
            </w:r>
          </w:p>
        </w:tc>
        <w:tc>
          <w:tcPr>
            <w:tcW w:w="170" w:type="dxa"/>
            <w:tcBorders/>
            <w:vAlign w:val="center"/>
          </w:tcPr>
          <w:p>
            <w:pPr>
              <w:pStyle w:val="TableContents"/>
              <w:bidi w:val="0"/>
              <w:spacing w:before="0" w:after="283"/>
              <w:jc w:val="left"/>
              <w:rPr/>
            </w:pPr>
            <w:r>
              <w:rPr/>
              <w:t> </w:t>
            </w:r>
          </w:p>
        </w:tc>
      </w:tr>
      <w:tr>
        <w:trPr/>
        <w:tc>
          <w:tcPr>
            <w:tcW w:w="4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22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335"/>
        <w:gridCol w:w="1865"/>
      </w:tblGrid>
      <w:tr>
        <w:trPr/>
        <w:tc>
          <w:tcPr>
            <w:tcW w:w="335" w:type="dxa"/>
            <w:tcBorders/>
            <w:vAlign w:val="center"/>
          </w:tcPr>
          <w:p>
            <w:pPr>
              <w:pStyle w:val="TableContents"/>
              <w:bidi w:val="0"/>
              <w:spacing w:before="0" w:after="0"/>
              <w:jc w:val="left"/>
              <w:rPr>
                <w:b/>
                <w:spacing w:val="0"/>
              </w:rPr>
            </w:pPr>
            <w:r>
              <w:rPr>
                <w:b/>
                <w:spacing w:val="0"/>
              </w:rPr>
              <w:t>25.</w:t>
            </w:r>
          </w:p>
        </w:tc>
        <w:tc>
          <w:tcPr>
            <w:tcW w:w="18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Segment information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155"/>
        <w:gridCol w:w="2360"/>
      </w:tblGrid>
      <w:tr>
        <w:trPr/>
        <w:tc>
          <w:tcPr>
            <w:tcW w:w="155" w:type="dxa"/>
            <w:tcBorders/>
            <w:vAlign w:val="center"/>
          </w:tcPr>
          <w:p>
            <w:pPr>
              <w:pStyle w:val="TableContents"/>
              <w:bidi w:val="0"/>
              <w:spacing w:before="0" w:after="0"/>
              <w:jc w:val="left"/>
              <w:rPr>
                <w:caps w:val="false"/>
                <w:smallCaps w:val="false"/>
                <w:spacing w:val="0"/>
              </w:rPr>
            </w:pPr>
            <w:r>
              <w:rPr>
                <w:caps w:val="false"/>
                <w:smallCaps w:val="false"/>
                <w:spacing w:val="0"/>
              </w:rPr>
              <w:t> </w:t>
            </w:r>
          </w:p>
        </w:tc>
        <w:tc>
          <w:tcPr>
            <w:tcW w:w="23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Segment revenue and results</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46"/>
        <w:gridCol w:w="120"/>
        <w:gridCol w:w="60"/>
        <w:gridCol w:w="1220"/>
        <w:gridCol w:w="155"/>
        <w:gridCol w:w="60"/>
        <w:gridCol w:w="60"/>
        <w:gridCol w:w="1063"/>
        <w:gridCol w:w="155"/>
        <w:gridCol w:w="60"/>
        <w:gridCol w:w="60"/>
        <w:gridCol w:w="980"/>
        <w:gridCol w:w="155"/>
        <w:gridCol w:w="60"/>
        <w:gridCol w:w="60"/>
        <w:gridCol w:w="1220"/>
        <w:gridCol w:w="171"/>
      </w:tblGrid>
      <w:tr>
        <w:trPr/>
        <w:tc>
          <w:tcPr>
            <w:tcW w:w="45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Year Ended December 31, 2023</w:t>
            </w:r>
          </w:p>
        </w:tc>
        <w:tc>
          <w:tcPr>
            <w:tcW w:w="120" w:type="dxa"/>
            <w:tcBorders/>
            <w:vAlign w:val="center"/>
          </w:tcPr>
          <w:p>
            <w:pPr>
              <w:pStyle w:val="TableContents"/>
              <w:bidi w:val="0"/>
              <w:spacing w:before="0" w:after="0"/>
              <w:jc w:val="left"/>
              <w:rPr>
                <w:spacing w:val="0"/>
              </w:rPr>
            </w:pPr>
            <w:r>
              <w:rPr>
                <w:spacing w:val="0"/>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Vip.com</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2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Shan Shan</w:t>
            </w:r>
          </w:p>
          <w:p>
            <w:pPr>
              <w:pStyle w:val="TableContents"/>
              <w:bidi w:val="0"/>
              <w:spacing w:before="0" w:after="0"/>
              <w:jc w:val="center"/>
              <w:rPr/>
            </w:pPr>
            <w:r>
              <w:rPr/>
            </w:r>
          </w:p>
          <w:p>
            <w:pPr>
              <w:pStyle w:val="TableContents"/>
              <w:bidi w:val="0"/>
              <w:spacing w:before="0" w:after="0"/>
              <w:jc w:val="center"/>
              <w:rPr>
                <w:b/>
                <w:spacing w:val="0"/>
              </w:rPr>
            </w:pPr>
            <w:r>
              <w:rPr>
                <w:b/>
                <w:spacing w:val="0"/>
              </w:rPr>
              <w:t>Outlets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1" w:type="dxa"/>
            <w:tcBorders/>
            <w:vAlign w:val="center"/>
          </w:tcPr>
          <w:p>
            <w:pPr>
              <w:pStyle w:val="TableContents"/>
              <w:bidi w:val="0"/>
              <w:spacing w:before="0" w:after="0"/>
              <w:jc w:val="left"/>
              <w:rPr>
                <w:spacing w:val="0"/>
              </w:rPr>
            </w:pPr>
            <w:r>
              <w:rPr>
                <w:spacing w:val="0"/>
              </w:rPr>
              <w:t> </w:t>
            </w:r>
          </w:p>
        </w:tc>
      </w:tr>
      <w:tr>
        <w:trPr/>
        <w:tc>
          <w:tcPr>
            <w:tcW w:w="4546"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23"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171" w:type="dxa"/>
            <w:tcBorders/>
            <w:vAlign w:val="center"/>
          </w:tcPr>
          <w:p>
            <w:pPr>
              <w:pStyle w:val="TableContents"/>
              <w:bidi w:val="0"/>
              <w:spacing w:before="0" w:after="0"/>
              <w:jc w:val="left"/>
              <w:rPr>
                <w:spacing w:val="0"/>
              </w:rPr>
            </w:pPr>
            <w:r>
              <w:rPr>
                <w:spacing w:val="0"/>
              </w:rPr>
              <w:t> </w:t>
            </w:r>
          </w:p>
        </w:tc>
      </w:tr>
      <w:tr>
        <w:trPr/>
        <w:tc>
          <w:tcPr>
            <w:tcW w:w="454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Revenues from external customers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109,177,540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63" w:type="dxa"/>
            <w:tcBorders/>
            <w:shd w:fill="CCEEFF" w:val="clear"/>
            <w:vAlign w:val="center"/>
          </w:tcPr>
          <w:p>
            <w:pPr>
              <w:pStyle w:val="TableContents"/>
              <w:bidi w:val="0"/>
              <w:spacing w:before="0" w:after="0"/>
              <w:jc w:val="right"/>
              <w:rPr>
                <w:spacing w:val="0"/>
              </w:rPr>
            </w:pPr>
            <w:r>
              <w:rPr>
                <w:spacing w:val="0"/>
              </w:rPr>
              <w:t>2,771,018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907,462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112,856,020</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454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Inter-segment revenues (Note a)</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378,941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63" w:type="dxa"/>
            <w:tcBorders/>
            <w:vAlign w:val="center"/>
          </w:tcPr>
          <w:p>
            <w:pPr>
              <w:pStyle w:val="TableContents"/>
              <w:bidi w:val="0"/>
              <w:spacing w:before="0" w:after="0"/>
              <w:jc w:val="right"/>
              <w:rPr>
                <w:spacing w:val="0"/>
              </w:rPr>
            </w:pPr>
            <w:r>
              <w:rPr>
                <w:spacing w:val="0"/>
              </w:rPr>
              <w:t>24,959</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326,591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730,491</w:t>
            </w:r>
          </w:p>
        </w:tc>
        <w:tc>
          <w:tcPr>
            <w:tcW w:w="171" w:type="dxa"/>
            <w:tcBorders/>
            <w:vAlign w:val="center"/>
          </w:tcPr>
          <w:p>
            <w:pPr>
              <w:pStyle w:val="TableContents"/>
              <w:bidi w:val="0"/>
              <w:spacing w:before="0" w:after="0"/>
              <w:jc w:val="left"/>
              <w:rPr>
                <w:spacing w:val="0"/>
              </w:rPr>
            </w:pPr>
            <w:r>
              <w:rPr>
                <w:spacing w:val="0"/>
              </w:rPr>
              <w:t> </w:t>
            </w:r>
          </w:p>
        </w:tc>
      </w:tr>
      <w:tr>
        <w:trPr/>
        <w:tc>
          <w:tcPr>
            <w:tcW w:w="45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0"/>
              <w:jc w:val="left"/>
              <w:rPr>
                <w:spacing w:val="0"/>
              </w:rPr>
            </w:pPr>
            <w:r>
              <w:rPr>
                <w:spacing w:val="0"/>
              </w:rPr>
              <w:t> </w:t>
            </w:r>
          </w:p>
        </w:tc>
      </w:tr>
      <w:tr>
        <w:trPr/>
        <w:tc>
          <w:tcPr>
            <w:tcW w:w="4546"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109,556,481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63" w:type="dxa"/>
            <w:tcBorders/>
            <w:shd w:fill="CCEEFF" w:val="clear"/>
            <w:vAlign w:val="center"/>
          </w:tcPr>
          <w:p>
            <w:pPr>
              <w:pStyle w:val="TableContents"/>
              <w:bidi w:val="0"/>
              <w:spacing w:before="0" w:after="0"/>
              <w:jc w:val="right"/>
              <w:rPr>
                <w:spacing w:val="0"/>
              </w:rPr>
            </w:pPr>
            <w:r>
              <w:rPr>
                <w:spacing w:val="0"/>
              </w:rPr>
              <w:t>2,795,977</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1,234,053</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113,586,511</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454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Reconciliation of total net revenues</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Elimination of inter-segment revenues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(730,491</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45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0"/>
              <w:jc w:val="left"/>
              <w:rPr>
                <w:spacing w:val="0"/>
              </w:rPr>
            </w:pPr>
            <w:r>
              <w:rPr>
                <w:spacing w:val="0"/>
              </w:rPr>
              <w:t> </w:t>
            </w:r>
          </w:p>
        </w:tc>
      </w:tr>
      <w:tr>
        <w:trPr/>
        <w:tc>
          <w:tcPr>
            <w:tcW w:w="454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net revenues</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112,856,020</w:t>
            </w:r>
          </w:p>
        </w:tc>
        <w:tc>
          <w:tcPr>
            <w:tcW w:w="171" w:type="dxa"/>
            <w:tcBorders/>
            <w:vAlign w:val="center"/>
          </w:tcPr>
          <w:p>
            <w:pPr>
              <w:pStyle w:val="TableContents"/>
              <w:bidi w:val="0"/>
              <w:spacing w:before="0" w:after="0"/>
              <w:jc w:val="left"/>
              <w:rPr>
                <w:spacing w:val="0"/>
              </w:rPr>
            </w:pPr>
            <w:r>
              <w:rPr>
                <w:spacing w:val="0"/>
              </w:rPr>
              <w:t> </w:t>
            </w:r>
          </w:p>
        </w:tc>
      </w:tr>
      <w:tr>
        <w:trPr/>
        <w:tc>
          <w:tcPr>
            <w:tcW w:w="454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revenues</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(85,569,090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63" w:type="dxa"/>
            <w:tcBorders/>
            <w:vAlign w:val="center"/>
          </w:tcPr>
          <w:p>
            <w:pPr>
              <w:pStyle w:val="TableContents"/>
              <w:bidi w:val="0"/>
              <w:spacing w:before="0" w:after="0"/>
              <w:jc w:val="right"/>
              <w:rPr>
                <w:spacing w:val="0"/>
              </w:rPr>
            </w:pPr>
            <w:r>
              <w:rPr>
                <w:spacing w:val="0"/>
              </w:rPr>
              <w:t>(1,488,518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(405,095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Fulfillment expenses (Note b)</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(8,151,510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63"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Marketing expenses (Note b)</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(3,170,057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63" w:type="dxa"/>
            <w:tcBorders/>
            <w:vAlign w:val="center"/>
          </w:tcPr>
          <w:p>
            <w:pPr>
              <w:pStyle w:val="TableContents"/>
              <w:bidi w:val="0"/>
              <w:spacing w:before="0" w:after="0"/>
              <w:jc w:val="right"/>
              <w:rPr>
                <w:spacing w:val="0"/>
              </w:rPr>
            </w:pPr>
            <w:r>
              <w:rPr>
                <w:spacing w:val="0"/>
              </w:rPr>
              <w:t>(170,246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Technology and content expenses (Note b)</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(1,350,414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63"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 expenses (Note b)</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(2,312,911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63" w:type="dxa"/>
            <w:tcBorders/>
            <w:vAlign w:val="center"/>
          </w:tcPr>
          <w:p>
            <w:pPr>
              <w:pStyle w:val="TableContents"/>
              <w:bidi w:val="0"/>
              <w:spacing w:before="0" w:after="0"/>
              <w:jc w:val="right"/>
              <w:rPr>
                <w:spacing w:val="0"/>
              </w:rPr>
            </w:pPr>
            <w:r>
              <w:rPr>
                <w:spacing w:val="0"/>
              </w:rPr>
              <w:t>(457,780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(530,555</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compensation expenses (Note c)</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(1,023,215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63" w:type="dxa"/>
            <w:tcBorders/>
            <w:shd w:fill="CCEEFF" w:val="clear"/>
            <w:vAlign w:val="center"/>
          </w:tcPr>
          <w:p>
            <w:pPr>
              <w:pStyle w:val="TableContents"/>
              <w:bidi w:val="0"/>
              <w:spacing w:before="0" w:after="0"/>
              <w:jc w:val="right"/>
              <w:rPr>
                <w:spacing w:val="0"/>
              </w:rPr>
            </w:pPr>
            <w:r>
              <w:rPr>
                <w:spacing w:val="0"/>
              </w:rPr>
              <w:t>(441,195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segment items (Note d)</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639,886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63" w:type="dxa"/>
            <w:tcBorders/>
            <w:vAlign w:val="center"/>
          </w:tcPr>
          <w:p>
            <w:pPr>
              <w:pStyle w:val="TableContents"/>
              <w:bidi w:val="0"/>
              <w:spacing w:before="0" w:after="0"/>
              <w:jc w:val="right"/>
              <w:rPr>
                <w:spacing w:val="0"/>
              </w:rPr>
            </w:pPr>
            <w:r>
              <w:rPr>
                <w:spacing w:val="0"/>
              </w:rPr>
              <w:t>122,882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980" w:type="dxa"/>
            <w:tcBorders/>
            <w:vAlign w:val="center"/>
          </w:tcPr>
          <w:p>
            <w:pPr>
              <w:pStyle w:val="TableContents"/>
              <w:bidi w:val="0"/>
              <w:spacing w:before="0" w:after="0"/>
              <w:jc w:val="right"/>
              <w:rPr>
                <w:spacing w:val="0"/>
              </w:rPr>
            </w:pPr>
            <w:r>
              <w:rPr>
                <w:spacing w:val="0"/>
              </w:rPr>
              <w:t>(174,558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98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Segment income from operations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8,619,170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63" w:type="dxa"/>
            <w:tcBorders/>
            <w:shd w:fill="CCEEFF" w:val="clear"/>
            <w:vAlign w:val="center"/>
          </w:tcPr>
          <w:p>
            <w:pPr>
              <w:pStyle w:val="TableContents"/>
              <w:bidi w:val="0"/>
              <w:spacing w:before="0" w:after="0"/>
              <w:jc w:val="right"/>
              <w:rPr>
                <w:spacing w:val="0"/>
              </w:rPr>
            </w:pPr>
            <w:r>
              <w:rPr>
                <w:spacing w:val="0"/>
              </w:rPr>
              <w:t>361,120</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980" w:type="dxa"/>
            <w:tcBorders/>
            <w:shd w:fill="CCEEFF" w:val="clear"/>
            <w:vAlign w:val="center"/>
          </w:tcPr>
          <w:p>
            <w:pPr>
              <w:pStyle w:val="TableContents"/>
              <w:bidi w:val="0"/>
              <w:spacing w:before="0" w:after="0"/>
              <w:jc w:val="right"/>
              <w:rPr>
                <w:spacing w:val="0"/>
              </w:rPr>
            </w:pPr>
            <w:r>
              <w:rPr>
                <w:spacing w:val="0"/>
              </w:rPr>
              <w:t>123,845</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9,104,135</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454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Reconciliation of profit or loss:</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and expenses (Note 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882,867</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45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54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before income taxes and share of income(loss) of equity method investees</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9,987,002</w:t>
            </w:r>
          </w:p>
        </w:tc>
        <w:tc>
          <w:tcPr>
            <w:tcW w:w="171" w:type="dxa"/>
            <w:tcBorders/>
            <w:vAlign w:val="center"/>
          </w:tcPr>
          <w:p>
            <w:pPr>
              <w:pStyle w:val="TableContents"/>
              <w:bidi w:val="0"/>
              <w:spacing w:before="0" w:after="0"/>
              <w:jc w:val="left"/>
              <w:rPr>
                <w:spacing w:val="0"/>
              </w:rPr>
            </w:pPr>
            <w:r>
              <w:rPr>
                <w:spacing w:val="0"/>
              </w:rPr>
              <w:t> </w:t>
            </w:r>
          </w:p>
        </w:tc>
      </w:tr>
      <w:tr>
        <w:trPr/>
        <w:tc>
          <w:tcPr>
            <w:tcW w:w="454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4471"/>
        <w:gridCol w:w="120"/>
        <w:gridCol w:w="60"/>
        <w:gridCol w:w="1220"/>
        <w:gridCol w:w="155"/>
        <w:gridCol w:w="60"/>
        <w:gridCol w:w="60"/>
        <w:gridCol w:w="1063"/>
        <w:gridCol w:w="155"/>
        <w:gridCol w:w="60"/>
        <w:gridCol w:w="60"/>
        <w:gridCol w:w="1055"/>
        <w:gridCol w:w="155"/>
        <w:gridCol w:w="60"/>
        <w:gridCol w:w="60"/>
        <w:gridCol w:w="1220"/>
        <w:gridCol w:w="171"/>
      </w:tblGrid>
      <w:tr>
        <w:trPr/>
        <w:tc>
          <w:tcPr>
            <w:tcW w:w="44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71" w:type="dxa"/>
            <w:tcBorders/>
            <w:vAlign w:val="center"/>
          </w:tcPr>
          <w:p>
            <w:pPr>
              <w:pStyle w:val="TableContents"/>
              <w:bidi w:val="0"/>
              <w:spacing w:before="0" w:after="0"/>
              <w:jc w:val="left"/>
              <w:rPr>
                <w:rFonts w:ascii="Times New Roman" w:hAnsi="Times New Roman"/>
                <w:b/>
                <w:spacing w:val="0"/>
                <w:sz w:val="16"/>
                <w:bdr w:val="single" w:sz="8" w:space="1" w:color="000000"/>
              </w:rPr>
            </w:pPr>
            <w:r>
              <w:rPr>
                <w:rFonts w:ascii="Times New Roman" w:hAnsi="Times New Roman"/>
                <w:b/>
                <w:spacing w:val="0"/>
                <w:sz w:val="16"/>
                <w:bdr w:val="single" w:sz="8" w:space="1" w:color="000000"/>
              </w:rPr>
              <w:t>Year Ended December 31, 2022</w:t>
            </w:r>
          </w:p>
        </w:tc>
        <w:tc>
          <w:tcPr>
            <w:tcW w:w="120" w:type="dxa"/>
            <w:tcBorders/>
            <w:vAlign w:val="center"/>
          </w:tcPr>
          <w:p>
            <w:pPr>
              <w:pStyle w:val="TableContents"/>
              <w:bidi w:val="0"/>
              <w:spacing w:before="0" w:after="0"/>
              <w:jc w:val="left"/>
              <w:rPr>
                <w:spacing w:val="0"/>
              </w:rPr>
            </w:pPr>
            <w:r>
              <w:rPr>
                <w:spacing w:val="0"/>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Vip.com</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23"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Shan Shan</w:t>
            </w:r>
          </w:p>
          <w:p>
            <w:pPr>
              <w:pStyle w:val="TableContents"/>
              <w:bidi w:val="0"/>
              <w:spacing w:before="0" w:after="0"/>
              <w:jc w:val="center"/>
              <w:rPr/>
            </w:pPr>
            <w:r>
              <w:rPr/>
            </w:r>
          </w:p>
          <w:p>
            <w:pPr>
              <w:pStyle w:val="TableContents"/>
              <w:bidi w:val="0"/>
              <w:spacing w:before="0" w:after="0"/>
              <w:jc w:val="center"/>
              <w:rPr>
                <w:b/>
                <w:spacing w:val="0"/>
              </w:rPr>
            </w:pPr>
            <w:r>
              <w:rPr>
                <w:b/>
                <w:spacing w:val="0"/>
              </w:rPr>
              <w:t>Outlets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Others</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171" w:type="dxa"/>
            <w:tcBorders/>
            <w:vAlign w:val="center"/>
          </w:tcPr>
          <w:p>
            <w:pPr>
              <w:pStyle w:val="TableContents"/>
              <w:bidi w:val="0"/>
              <w:spacing w:before="0" w:after="0"/>
              <w:jc w:val="left"/>
              <w:rPr>
                <w:spacing w:val="0"/>
              </w:rPr>
            </w:pPr>
            <w:r>
              <w:rPr>
                <w:spacing w:val="0"/>
              </w:rPr>
              <w:t> </w:t>
            </w:r>
          </w:p>
        </w:tc>
      </w:tr>
      <w:tr>
        <w:trPr/>
        <w:tc>
          <w:tcPr>
            <w:tcW w:w="4471"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23"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80" w:type="dxa"/>
            <w:gridSpan w:val="2"/>
            <w:tcBorders/>
            <w:vAlign w:val="center"/>
          </w:tcPr>
          <w:p>
            <w:pPr>
              <w:pStyle w:val="TableContents"/>
              <w:bidi w:val="0"/>
              <w:spacing w:before="0" w:after="0"/>
              <w:jc w:val="center"/>
              <w:rPr>
                <w:b/>
                <w:spacing w:val="0"/>
              </w:rPr>
            </w:pPr>
            <w:r>
              <w:rPr>
                <w:b/>
                <w:spacing w:val="0"/>
              </w:rPr>
              <w:t>RMB</w:t>
            </w:r>
          </w:p>
        </w:tc>
        <w:tc>
          <w:tcPr>
            <w:tcW w:w="171" w:type="dxa"/>
            <w:tcBorders/>
            <w:vAlign w:val="center"/>
          </w:tcPr>
          <w:p>
            <w:pPr>
              <w:pStyle w:val="TableContents"/>
              <w:bidi w:val="0"/>
              <w:spacing w:before="0" w:after="0"/>
              <w:jc w:val="left"/>
              <w:rPr>
                <w:spacing w:val="0"/>
              </w:rPr>
            </w:pPr>
            <w:r>
              <w:rPr>
                <w:spacing w:val="0"/>
              </w:rPr>
              <w:t> </w:t>
            </w:r>
          </w:p>
        </w:tc>
      </w:tr>
      <w:tr>
        <w:trPr/>
        <w:tc>
          <w:tcPr>
            <w:tcW w:w="447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Revenues from external customers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99,625,511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63" w:type="dxa"/>
            <w:tcBorders/>
            <w:shd w:fill="CCEEFF" w:val="clear"/>
            <w:vAlign w:val="center"/>
          </w:tcPr>
          <w:p>
            <w:pPr>
              <w:pStyle w:val="TableContents"/>
              <w:bidi w:val="0"/>
              <w:spacing w:before="0" w:after="0"/>
              <w:jc w:val="right"/>
              <w:rPr>
                <w:spacing w:val="0"/>
              </w:rPr>
            </w:pPr>
            <w:r>
              <w:rPr>
                <w:spacing w:val="0"/>
              </w:rPr>
              <w:t>1,808,756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spacing w:val="0"/>
              </w:rPr>
            </w:pPr>
            <w:r>
              <w:rPr>
                <w:spacing w:val="0"/>
              </w:rPr>
              <w:t>1,718,222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103,152,489</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447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Inter-segment revenues (Note a)</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1,181,133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63" w:type="dxa"/>
            <w:tcBorders/>
            <w:vAlign w:val="center"/>
          </w:tcPr>
          <w:p>
            <w:pPr>
              <w:pStyle w:val="TableContents"/>
              <w:bidi w:val="0"/>
              <w:spacing w:before="0" w:after="0"/>
              <w:jc w:val="right"/>
              <w:rPr>
                <w:spacing w:val="0"/>
              </w:rPr>
            </w:pPr>
            <w:r>
              <w:rPr>
                <w:spacing w:val="0"/>
              </w:rPr>
              <w:t>49,912</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spacing w:val="0"/>
              </w:rPr>
            </w:pPr>
            <w:r>
              <w:rPr>
                <w:spacing w:val="0"/>
              </w:rPr>
              <w:t>387,490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1,618,535</w:t>
            </w:r>
          </w:p>
        </w:tc>
        <w:tc>
          <w:tcPr>
            <w:tcW w:w="171" w:type="dxa"/>
            <w:tcBorders/>
            <w:vAlign w:val="center"/>
          </w:tcPr>
          <w:p>
            <w:pPr>
              <w:pStyle w:val="TableContents"/>
              <w:bidi w:val="0"/>
              <w:spacing w:before="0" w:after="0"/>
              <w:jc w:val="left"/>
              <w:rPr>
                <w:spacing w:val="0"/>
              </w:rPr>
            </w:pPr>
            <w:r>
              <w:rPr>
                <w:spacing w:val="0"/>
              </w:rPr>
              <w:t> </w:t>
            </w:r>
          </w:p>
        </w:tc>
      </w:tr>
      <w:tr>
        <w:trPr/>
        <w:tc>
          <w:tcPr>
            <w:tcW w:w="44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0"/>
              <w:jc w:val="left"/>
              <w:rPr>
                <w:spacing w:val="0"/>
              </w:rPr>
            </w:pPr>
            <w:r>
              <w:rPr>
                <w:spacing w:val="0"/>
              </w:rPr>
              <w:t> </w:t>
            </w:r>
          </w:p>
        </w:tc>
      </w:tr>
      <w:tr>
        <w:trPr/>
        <w:tc>
          <w:tcPr>
            <w:tcW w:w="4471"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100,806,644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63" w:type="dxa"/>
            <w:tcBorders/>
            <w:shd w:fill="CCEEFF" w:val="clear"/>
            <w:vAlign w:val="center"/>
          </w:tcPr>
          <w:p>
            <w:pPr>
              <w:pStyle w:val="TableContents"/>
              <w:bidi w:val="0"/>
              <w:spacing w:before="0" w:after="0"/>
              <w:jc w:val="right"/>
              <w:rPr>
                <w:spacing w:val="0"/>
              </w:rPr>
            </w:pPr>
            <w:r>
              <w:rPr>
                <w:spacing w:val="0"/>
              </w:rPr>
              <w:t>1,858,668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spacing w:val="0"/>
              </w:rPr>
            </w:pPr>
            <w:r>
              <w:rPr>
                <w:spacing w:val="0"/>
              </w:rPr>
              <w:t>2,105,712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104,771,024</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447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Reconciliation of total net revenues</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Elimination of inter-segment revenues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(1,618,535</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44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71" w:type="dxa"/>
            <w:tcBorders/>
            <w:vAlign w:val="center"/>
          </w:tcPr>
          <w:p>
            <w:pPr>
              <w:pStyle w:val="TableContents"/>
              <w:bidi w:val="0"/>
              <w:spacing w:before="0" w:after="0"/>
              <w:jc w:val="left"/>
              <w:rPr>
                <w:spacing w:val="0"/>
              </w:rPr>
            </w:pPr>
            <w:r>
              <w:rPr>
                <w:spacing w:val="0"/>
              </w:rPr>
              <w:t> </w:t>
            </w:r>
          </w:p>
        </w:tc>
      </w:tr>
      <w:tr>
        <w:trPr/>
        <w:tc>
          <w:tcPr>
            <w:tcW w:w="447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Total net revenues</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103,152,489</w:t>
            </w:r>
          </w:p>
        </w:tc>
        <w:tc>
          <w:tcPr>
            <w:tcW w:w="171" w:type="dxa"/>
            <w:tcBorders/>
            <w:vAlign w:val="center"/>
          </w:tcPr>
          <w:p>
            <w:pPr>
              <w:pStyle w:val="TableContents"/>
              <w:bidi w:val="0"/>
              <w:spacing w:before="0" w:after="0"/>
              <w:jc w:val="left"/>
              <w:rPr>
                <w:spacing w:val="0"/>
              </w:rPr>
            </w:pPr>
            <w:r>
              <w:rPr>
                <w:spacing w:val="0"/>
              </w:rPr>
              <w:t> </w:t>
            </w:r>
          </w:p>
        </w:tc>
      </w:tr>
      <w:tr>
        <w:trPr/>
        <w:tc>
          <w:tcPr>
            <w:tcW w:w="447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Less: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447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Cost of revenues</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(80,134,184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63" w:type="dxa"/>
            <w:tcBorders/>
            <w:vAlign w:val="center"/>
          </w:tcPr>
          <w:p>
            <w:pPr>
              <w:pStyle w:val="TableContents"/>
              <w:bidi w:val="0"/>
              <w:spacing w:before="0" w:after="0"/>
              <w:jc w:val="right"/>
              <w:rPr>
                <w:spacing w:val="0"/>
              </w:rPr>
            </w:pPr>
            <w:r>
              <w:rPr>
                <w:spacing w:val="0"/>
              </w:rPr>
              <w:t>(1,146,017</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spacing w:val="0"/>
              </w:rPr>
            </w:pPr>
            <w:r>
              <w:rPr>
                <w:spacing w:val="0"/>
              </w:rPr>
              <w:t>(1,187,668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Fulfillment expenses (Note b)</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(7,107,652</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63"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447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Marketing expenses (Note b)</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(2,878,160</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63" w:type="dxa"/>
            <w:tcBorders/>
            <w:vAlign w:val="center"/>
          </w:tcPr>
          <w:p>
            <w:pPr>
              <w:pStyle w:val="TableContents"/>
              <w:bidi w:val="0"/>
              <w:spacing w:before="0" w:after="0"/>
              <w:jc w:val="right"/>
              <w:rPr>
                <w:spacing w:val="0"/>
              </w:rPr>
            </w:pPr>
            <w:r>
              <w:rPr>
                <w:spacing w:val="0"/>
              </w:rPr>
              <w:t>(123,018</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spacing w:val="0"/>
              </w:rPr>
            </w:pPr>
            <w:r>
              <w:rPr>
                <w:spacing w:val="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Technology and content expenses (Note b)</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(1,279,898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63"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447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General and administrative expenses (Note b)</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(2,665,041</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63" w:type="dxa"/>
            <w:tcBorders/>
            <w:vAlign w:val="center"/>
          </w:tcPr>
          <w:p>
            <w:pPr>
              <w:pStyle w:val="TableContents"/>
              <w:bidi w:val="0"/>
              <w:spacing w:before="0" w:after="0"/>
              <w:jc w:val="right"/>
              <w:rPr>
                <w:spacing w:val="0"/>
              </w:rPr>
            </w:pPr>
            <w:r>
              <w:rPr>
                <w:spacing w:val="0"/>
              </w:rPr>
              <w:t>(331,984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spacing w:val="0"/>
              </w:rPr>
            </w:pPr>
            <w:r>
              <w:rPr>
                <w:spacing w:val="0"/>
              </w:rPr>
              <w:t>(1,017,094</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Share-based compensation expenses (Note c)</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(820,674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63" w:type="dxa"/>
            <w:tcBorders/>
            <w:shd w:fill="CCEEFF" w:val="clear"/>
            <w:vAlign w:val="center"/>
          </w:tcPr>
          <w:p>
            <w:pPr>
              <w:pStyle w:val="TableContents"/>
              <w:bidi w:val="0"/>
              <w:spacing w:before="0" w:after="0"/>
              <w:jc w:val="right"/>
              <w:rPr>
                <w:spacing w:val="0"/>
              </w:rPr>
            </w:pPr>
            <w:r>
              <w:rPr>
                <w:spacing w:val="0"/>
              </w:rPr>
              <w:t>(352,651</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spacing w:val="0"/>
              </w:rPr>
            </w:pPr>
            <w:r>
              <w:rPr>
                <w:spacing w:val="0"/>
              </w:rPr>
              <w:t>— </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71" w:type="dxa"/>
            <w:tcBorders/>
            <w:shd w:fill="CCEEFF" w:val="clear"/>
            <w:vAlign w:val="center"/>
          </w:tcPr>
          <w:p>
            <w:pPr>
              <w:pStyle w:val="TableContents"/>
              <w:bidi w:val="0"/>
              <w:spacing w:before="0" w:after="283"/>
              <w:jc w:val="left"/>
              <w:rPr>
                <w:sz w:val="4"/>
                <w:szCs w:val="4"/>
              </w:rPr>
            </w:pPr>
            <w:r>
              <w:rPr>
                <w:sz w:val="4"/>
                <w:szCs w:val="4"/>
              </w:rPr>
            </w:r>
          </w:p>
        </w:tc>
      </w:tr>
      <w:tr>
        <w:trPr/>
        <w:tc>
          <w:tcPr>
            <w:tcW w:w="447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segment items (Note d)</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600,023</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63" w:type="dxa"/>
            <w:tcBorders/>
            <w:vAlign w:val="center"/>
          </w:tcPr>
          <w:p>
            <w:pPr>
              <w:pStyle w:val="TableContents"/>
              <w:bidi w:val="0"/>
              <w:spacing w:before="0" w:after="0"/>
              <w:jc w:val="right"/>
              <w:rPr>
                <w:spacing w:val="0"/>
              </w:rPr>
            </w:pPr>
            <w:r>
              <w:rPr>
                <w:spacing w:val="0"/>
              </w:rPr>
              <w:t>96,226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055" w:type="dxa"/>
            <w:tcBorders/>
            <w:vAlign w:val="center"/>
          </w:tcPr>
          <w:p>
            <w:pPr>
              <w:pStyle w:val="TableContents"/>
              <w:bidi w:val="0"/>
              <w:spacing w:before="0" w:after="0"/>
              <w:jc w:val="right"/>
              <w:rPr>
                <w:spacing w:val="0"/>
              </w:rPr>
            </w:pPr>
            <w:r>
              <w:rPr>
                <w:spacing w:val="0"/>
              </w:rPr>
              <w:t>(225,786</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22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63"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055" w:type="dxa"/>
            <w:tcBorders/>
            <w:vAlign w:val="center"/>
          </w:tcPr>
          <w:p>
            <w:pPr>
              <w:pStyle w:val="TableContents"/>
              <w:bidi w:val="0"/>
              <w:spacing w:before="0" w:after="0"/>
              <w:jc w:val="left"/>
              <w:rPr>
                <w:spacing w:val="0"/>
                <w:bdr w:val="single" w:sz="2" w:space="1" w:color="000000"/>
              </w:rPr>
            </w:pPr>
            <w:r>
              <w:rPr>
                <w:spacing w:val="0"/>
                <w:bdr w:val="single" w:sz="2" w:space="1" w:color="000000"/>
              </w:rPr>
              <w:t> </w:t>
            </w:r>
          </w:p>
        </w:tc>
        <w:tc>
          <w:tcPr>
            <w:tcW w:w="155"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Segment income (loss) from operations</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6,521,058</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63" w:type="dxa"/>
            <w:tcBorders/>
            <w:shd w:fill="CCEEFF" w:val="clear"/>
            <w:vAlign w:val="center"/>
          </w:tcPr>
          <w:p>
            <w:pPr>
              <w:pStyle w:val="TableContents"/>
              <w:bidi w:val="0"/>
              <w:spacing w:before="0" w:after="0"/>
              <w:jc w:val="right"/>
              <w:rPr>
                <w:spacing w:val="0"/>
              </w:rPr>
            </w:pPr>
            <w:r>
              <w:rPr>
                <w:spacing w:val="0"/>
              </w:rPr>
              <w:t>1,224</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055" w:type="dxa"/>
            <w:tcBorders/>
            <w:shd w:fill="CCEEFF" w:val="clear"/>
            <w:vAlign w:val="center"/>
          </w:tcPr>
          <w:p>
            <w:pPr>
              <w:pStyle w:val="TableContents"/>
              <w:bidi w:val="0"/>
              <w:spacing w:before="0" w:after="0"/>
              <w:jc w:val="right"/>
              <w:rPr>
                <w:spacing w:val="0"/>
              </w:rPr>
            </w:pPr>
            <w:r>
              <w:rPr>
                <w:spacing w:val="0"/>
              </w:rPr>
              <w:t>(324,836</w:t>
            </w:r>
          </w:p>
        </w:tc>
        <w:tc>
          <w:tcPr>
            <w:tcW w:w="155"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6,197,446</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447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Reconciliation of profit or loss:</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471" w:type="dxa"/>
            <w:tcBorders/>
            <w:shd w:fill="CCEEFF" w:val="clear"/>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and expenses (Note e)</w:t>
            </w:r>
          </w:p>
        </w:tc>
        <w:tc>
          <w:tcPr>
            <w:tcW w:w="12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63"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0"/>
              <w:jc w:val="left"/>
              <w:rPr>
                <w:spacing w:val="0"/>
              </w:rPr>
            </w:pPr>
            <w:r>
              <w:rPr>
                <w:spacing w:val="0"/>
              </w:rPr>
              <w:t> </w:t>
            </w:r>
          </w:p>
        </w:tc>
        <w:tc>
          <w:tcPr>
            <w:tcW w:w="60" w:type="dxa"/>
            <w:tcBorders/>
            <w:shd w:fill="CCEEFF" w:val="clear"/>
            <w:vAlign w:val="center"/>
          </w:tcPr>
          <w:p>
            <w:pPr>
              <w:pStyle w:val="TableContents"/>
              <w:bidi w:val="0"/>
              <w:spacing w:before="0" w:after="0"/>
              <w:jc w:val="left"/>
              <w:rPr>
                <w:spacing w:val="0"/>
              </w:rPr>
            </w:pPr>
            <w:r>
              <w:rPr>
                <w:spacing w:val="0"/>
              </w:rPr>
              <w:t> </w:t>
            </w:r>
          </w:p>
        </w:tc>
        <w:tc>
          <w:tcPr>
            <w:tcW w:w="1220" w:type="dxa"/>
            <w:tcBorders/>
            <w:shd w:fill="CCEEFF" w:val="clear"/>
            <w:vAlign w:val="center"/>
          </w:tcPr>
          <w:p>
            <w:pPr>
              <w:pStyle w:val="TableContents"/>
              <w:bidi w:val="0"/>
              <w:spacing w:before="0" w:after="0"/>
              <w:jc w:val="right"/>
              <w:rPr>
                <w:spacing w:val="0"/>
              </w:rPr>
            </w:pPr>
            <w:r>
              <w:rPr>
                <w:spacing w:val="0"/>
              </w:rPr>
              <w:t>1,879,758</w:t>
            </w:r>
          </w:p>
        </w:tc>
        <w:tc>
          <w:tcPr>
            <w:tcW w:w="171" w:type="dxa"/>
            <w:tcBorders/>
            <w:shd w:fill="CCEEFF" w:val="clear"/>
            <w:vAlign w:val="center"/>
          </w:tcPr>
          <w:p>
            <w:pPr>
              <w:pStyle w:val="TableContents"/>
              <w:bidi w:val="0"/>
              <w:spacing w:before="0" w:after="0"/>
              <w:jc w:val="left"/>
              <w:rPr>
                <w:spacing w:val="0"/>
              </w:rPr>
            </w:pPr>
            <w:r>
              <w:rPr>
                <w:spacing w:val="0"/>
              </w:rPr>
              <w:t> </w:t>
            </w:r>
          </w:p>
        </w:tc>
      </w:tr>
      <w:tr>
        <w:trPr/>
        <w:tc>
          <w:tcPr>
            <w:tcW w:w="44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220" w:type="dxa"/>
            <w:tcBorders/>
            <w:vAlign w:val="center"/>
          </w:tcPr>
          <w:p>
            <w:pPr>
              <w:pStyle w:val="TableContents"/>
              <w:bidi w:val="0"/>
              <w:spacing w:before="0" w:after="0"/>
              <w:jc w:val="left"/>
              <w:rPr>
                <w:bdr w:val="single" w:sz="2" w:space="1" w:color="000000"/>
              </w:rPr>
            </w:pPr>
            <w:r>
              <w:rPr>
                <w:bdr w:val="single" w:sz="2" w:space="1" w:color="000000"/>
              </w:rPr>
              <w:t> </w:t>
            </w:r>
          </w:p>
        </w:tc>
        <w:tc>
          <w:tcPr>
            <w:tcW w:w="171" w:type="dxa"/>
            <w:tcBorders/>
            <w:vAlign w:val="center"/>
          </w:tcPr>
          <w:p>
            <w:pPr>
              <w:pStyle w:val="TableContents"/>
              <w:bidi w:val="0"/>
              <w:spacing w:before="0" w:after="283"/>
              <w:jc w:val="left"/>
              <w:rPr/>
            </w:pPr>
            <w:r>
              <w:rPr/>
              <w:t> </w:t>
            </w:r>
          </w:p>
        </w:tc>
      </w:tr>
      <w:tr>
        <w:trPr/>
        <w:tc>
          <w:tcPr>
            <w:tcW w:w="4471"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Income before income taxes and share of income(loss) of equity method investees</w:t>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rPr>
            </w:pPr>
            <w:r>
              <w:rPr>
                <w:spacing w:val="0"/>
              </w:rPr>
              <w:t> </w:t>
            </w:r>
          </w:p>
        </w:tc>
        <w:tc>
          <w:tcPr>
            <w:tcW w:w="1220" w:type="dxa"/>
            <w:tcBorders/>
            <w:vAlign w:val="center"/>
          </w:tcPr>
          <w:p>
            <w:pPr>
              <w:pStyle w:val="TableContents"/>
              <w:bidi w:val="0"/>
              <w:spacing w:before="0" w:after="0"/>
              <w:jc w:val="right"/>
              <w:rPr>
                <w:spacing w:val="0"/>
              </w:rPr>
            </w:pPr>
            <w:r>
              <w:rPr>
                <w:spacing w:val="0"/>
              </w:rPr>
              <w:t>8,077,204</w:t>
            </w:r>
          </w:p>
        </w:tc>
        <w:tc>
          <w:tcPr>
            <w:tcW w:w="171" w:type="dxa"/>
            <w:tcBorders/>
            <w:vAlign w:val="center"/>
          </w:tcPr>
          <w:p>
            <w:pPr>
              <w:pStyle w:val="TableContents"/>
              <w:bidi w:val="0"/>
              <w:spacing w:before="0" w:after="0"/>
              <w:jc w:val="left"/>
              <w:rPr>
                <w:spacing w:val="0"/>
              </w:rPr>
            </w:pPr>
            <w:r>
              <w:rPr>
                <w:spacing w:val="0"/>
              </w:rPr>
              <w:t> </w:t>
            </w:r>
          </w:p>
        </w:tc>
      </w:tr>
      <w:tr>
        <w:trPr/>
        <w:tc>
          <w:tcPr>
            <w:tcW w:w="44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0"/>
              <w:jc w:val="left"/>
              <w:rPr>
                <w:spacing w:val="0"/>
              </w:rPr>
            </w:pPr>
            <w:r>
              <w:rPr>
                <w:spacing w:val="0"/>
              </w:rPr>
              <w:t> </w:t>
            </w:r>
          </w:p>
        </w:tc>
        <w:tc>
          <w:tcPr>
            <w:tcW w:w="6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220" w:type="dxa"/>
            <w:tcBorders/>
            <w:vAlign w:val="center"/>
          </w:tcPr>
          <w:p>
            <w:pPr>
              <w:pStyle w:val="TableContents"/>
              <w:bidi w:val="0"/>
              <w:spacing w:before="0" w:after="0"/>
              <w:jc w:val="left"/>
              <w:rPr>
                <w:spacing w:val="0"/>
                <w:bdr w:val="double" w:sz="6" w:space="1" w:color="000000"/>
              </w:rPr>
            </w:pPr>
            <w:r>
              <w:rPr>
                <w:spacing w:val="0"/>
                <w:bdr w:val="double" w:sz="6" w:space="1" w:color="000000"/>
              </w:rPr>
              <w:t> </w:t>
            </w:r>
          </w:p>
        </w:tc>
        <w:tc>
          <w:tcPr>
            <w:tcW w:w="171" w:type="dxa"/>
            <w:tcBorders/>
            <w:vAlign w:val="center"/>
          </w:tcPr>
          <w:p>
            <w:pPr>
              <w:pStyle w:val="TableContents"/>
              <w:bidi w:val="0"/>
              <w:spacing w:before="0" w:after="0"/>
              <w:jc w:val="left"/>
              <w:rPr>
                <w:spacing w:val="0"/>
              </w:rPr>
            </w:pPr>
            <w:r>
              <w:rPr>
                <w:spacing w:val="0"/>
              </w:rPr>
              <w:t> </w:t>
            </w:r>
          </w:p>
        </w:tc>
      </w:tr>
    </w:tbl>
    <w:p>
      <w:pPr>
        <w:pStyle w:val="TextBody"/>
        <w:bidi w:val="0"/>
        <w:spacing w:before="0" w:after="0"/>
        <w:ind w:left="0" w:right="0" w:hanging="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F-58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NOTES TO THE CONSOLIDATED FINANCIAL STATEMENTS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unless otherwise stated) </w:t>
      </w:r>
    </w:p>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335"/>
        <w:gridCol w:w="1865"/>
      </w:tblGrid>
      <w:tr>
        <w:trPr/>
        <w:tc>
          <w:tcPr>
            <w:tcW w:w="335" w:type="dxa"/>
            <w:tcBorders/>
            <w:vAlign w:val="center"/>
          </w:tcPr>
          <w:p>
            <w:pPr>
              <w:pStyle w:val="TableContents"/>
              <w:bidi w:val="0"/>
              <w:spacing w:before="0" w:after="0"/>
              <w:jc w:val="left"/>
              <w:rPr>
                <w:b/>
                <w:spacing w:val="0"/>
              </w:rPr>
            </w:pPr>
            <w:r>
              <w:rPr>
                <w:b/>
                <w:spacing w:val="0"/>
              </w:rPr>
              <w:t>25.</w:t>
            </w:r>
          </w:p>
        </w:tc>
        <w:tc>
          <w:tcPr>
            <w:tcW w:w="18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Segment information </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155"/>
        <w:gridCol w:w="2360"/>
      </w:tblGrid>
      <w:tr>
        <w:trPr/>
        <w:tc>
          <w:tcPr>
            <w:tcW w:w="155" w:type="dxa"/>
            <w:tcBorders/>
            <w:vAlign w:val="center"/>
          </w:tcPr>
          <w:p>
            <w:pPr>
              <w:pStyle w:val="TableContents"/>
              <w:bidi w:val="0"/>
              <w:spacing w:before="0" w:after="0"/>
              <w:jc w:val="left"/>
              <w:rPr>
                <w:caps w:val="false"/>
                <w:smallCaps w:val="false"/>
                <w:spacing w:val="0"/>
              </w:rPr>
            </w:pPr>
            <w:r>
              <w:rPr>
                <w:caps w:val="false"/>
                <w:smallCaps w:val="false"/>
                <w:spacing w:val="0"/>
              </w:rPr>
              <w:t> </w:t>
            </w:r>
          </w:p>
        </w:tc>
        <w:tc>
          <w:tcPr>
            <w:tcW w:w="23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Segment revenue and results</w:t>
            </w:r>
          </w:p>
          <w:p>
            <w:pPr>
              <w:pStyle w:val="TableContents"/>
              <w:bidi w:val="0"/>
              <w:spacing w:before="0" w:after="0"/>
              <w:jc w:val="left"/>
              <w:rPr>
                <w:rFonts w:ascii="Times New Roman" w:hAnsi="Times New Roman"/>
                <w:sz w:val="20"/>
              </w:rPr>
            </w:pPr>
            <w:r>
              <w:rPr>
                <w:rFonts w:ascii="Times New Roman" w:hAnsi="Times New Roman"/>
                <w:sz w:val="20"/>
              </w:rPr>
              <w:t>(Continued)</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spacing w:val="0"/>
          <w:sz w:val="20"/>
        </w:rPr>
      </w:pPr>
      <w:r>
        <w:rPr>
          <w:rFonts w:ascii="Times New Roman" w:hAnsi="Times New Roman"/>
          <w:spacing w:val="0"/>
          <w:sz w:val="20"/>
        </w:rPr>
        <w:t xml:space="preserve">Notes: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0"/>
              <w:jc w:val="left"/>
              <w:rPr>
                <w:spacing w:val="0"/>
              </w:rPr>
            </w:pPr>
            <w:r>
              <w:rPr>
                <w:spacing w:val="0"/>
              </w:rPr>
              <w:t> </w:t>
            </w:r>
          </w:p>
        </w:tc>
        <w:tc>
          <w:tcPr>
            <w:tcW w:w="224" w:type="dxa"/>
            <w:tcBorders/>
            <w:vAlign w:val="center"/>
          </w:tcPr>
          <w:p>
            <w:pPr>
              <w:pStyle w:val="TableContents"/>
              <w:bidi w:val="0"/>
              <w:spacing w:before="0" w:after="0"/>
              <w:jc w:val="left"/>
              <w:rPr>
                <w:spacing w:val="0"/>
              </w:rPr>
            </w:pPr>
            <w:r>
              <w:rPr>
                <w:spacing w:val="0"/>
              </w:rPr>
              <w:t>(a)</w:t>
            </w:r>
          </w:p>
        </w:tc>
        <w:tc>
          <w:tcPr>
            <w:tcW w:w="9906"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Inter-segment revenues mainly consist of payment processing, inter platform technical services, warehousing rental services and supply chain management services, promotion services provided by Vip.com to internet finance business and by offline shops to Vip.com, and internal procurement between offline shops, Shan Shan Outlets and Vip.com. </w:t>
            </w:r>
          </w:p>
        </w:tc>
      </w:tr>
    </w:tbl>
    <w:p>
      <w:pPr>
        <w:pStyle w:val="TextBody"/>
        <w:bidi w:val="0"/>
        <w:spacing w:before="0" w:after="0"/>
        <w:ind w:left="0" w:right="0" w:hanging="0"/>
        <w:jc w:val="left"/>
        <w:rPr>
          <w:spacing w:val="0"/>
        </w:rPr>
      </w:pPr>
      <w:r>
        <w:rPr>
          <w:spacing w:val="0"/>
        </w:rPr>
        <w:t> </w:t>
      </w:r>
    </w:p>
    <w:tbl>
      <w:tblPr>
        <w:tblW w:w="5395" w:type="dxa"/>
        <w:jc w:val="left"/>
        <w:tblInd w:w="0" w:type="dxa"/>
        <w:tblLayout w:type="fixed"/>
        <w:tblCellMar>
          <w:top w:w="0" w:type="dxa"/>
          <w:left w:w="0" w:type="dxa"/>
          <w:bottom w:w="0" w:type="dxa"/>
          <w:right w:w="0" w:type="dxa"/>
        </w:tblCellMar>
      </w:tblPr>
      <w:tblGrid>
        <w:gridCol w:w="75"/>
        <w:gridCol w:w="290"/>
        <w:gridCol w:w="5030"/>
      </w:tblGrid>
      <w:tr>
        <w:trPr/>
        <w:tc>
          <w:tcPr>
            <w:tcW w:w="75" w:type="dxa"/>
            <w:tcBorders/>
            <w:vAlign w:val="center"/>
          </w:tcPr>
          <w:p>
            <w:pPr>
              <w:pStyle w:val="TableContents"/>
              <w:bidi w:val="0"/>
              <w:spacing w:before="0" w:after="0"/>
              <w:jc w:val="left"/>
              <w:rPr>
                <w:spacing w:val="0"/>
              </w:rPr>
            </w:pPr>
            <w:r>
              <w:rPr>
                <w:spacing w:val="0"/>
              </w:rPr>
              <w:t> </w:t>
            </w:r>
          </w:p>
        </w:tc>
        <w:tc>
          <w:tcPr>
            <w:tcW w:w="290" w:type="dxa"/>
            <w:tcBorders/>
            <w:vAlign w:val="center"/>
          </w:tcPr>
          <w:p>
            <w:pPr>
              <w:pStyle w:val="TableContents"/>
              <w:bidi w:val="0"/>
              <w:spacing w:before="0" w:after="0"/>
              <w:jc w:val="left"/>
              <w:rPr>
                <w:spacing w:val="0"/>
              </w:rPr>
            </w:pPr>
            <w:r>
              <w:rPr>
                <w:spacing w:val="0"/>
              </w:rPr>
              <w:t>(b)</w:t>
            </w:r>
          </w:p>
        </w:tc>
        <w:tc>
          <w:tcPr>
            <w:tcW w:w="503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These expenses exclude share-based compensation expenses. </w:t>
            </w:r>
          </w:p>
        </w:tc>
      </w:tr>
    </w:tbl>
    <w:p>
      <w:pPr>
        <w:pStyle w:val="TextBody"/>
        <w:bidi w:val="0"/>
        <w:spacing w:before="0" w:after="0"/>
        <w:ind w:left="0" w:right="0" w:hanging="0"/>
        <w:jc w:val="left"/>
        <w:rPr>
          <w:spacing w:val="0"/>
        </w:rPr>
      </w:pPr>
      <w:r>
        <w:rPr>
          <w:spacing w:val="0"/>
        </w:rPr>
        <w:t> </w:t>
      </w:r>
    </w:p>
    <w:tbl>
      <w:tblPr>
        <w:tblW w:w="4360" w:type="dxa"/>
        <w:jc w:val="left"/>
        <w:tblInd w:w="0" w:type="dxa"/>
        <w:tblLayout w:type="fixed"/>
        <w:tblCellMar>
          <w:top w:w="0" w:type="dxa"/>
          <w:left w:w="0" w:type="dxa"/>
          <w:bottom w:w="0" w:type="dxa"/>
          <w:right w:w="0" w:type="dxa"/>
        </w:tblCellMar>
      </w:tblPr>
      <w:tblGrid>
        <w:gridCol w:w="75"/>
        <w:gridCol w:w="275"/>
        <w:gridCol w:w="4010"/>
      </w:tblGrid>
      <w:tr>
        <w:trPr/>
        <w:tc>
          <w:tcPr>
            <w:tcW w:w="75" w:type="dxa"/>
            <w:tcBorders/>
            <w:vAlign w:val="center"/>
          </w:tcPr>
          <w:p>
            <w:pPr>
              <w:pStyle w:val="TableContents"/>
              <w:bidi w:val="0"/>
              <w:spacing w:before="0" w:after="0"/>
              <w:jc w:val="left"/>
              <w:rPr>
                <w:spacing w:val="0"/>
              </w:rPr>
            </w:pPr>
            <w:r>
              <w:rPr>
                <w:spacing w:val="0"/>
              </w:rPr>
              <w:t> </w:t>
            </w:r>
          </w:p>
        </w:tc>
        <w:tc>
          <w:tcPr>
            <w:tcW w:w="275" w:type="dxa"/>
            <w:tcBorders/>
            <w:vAlign w:val="center"/>
          </w:tcPr>
          <w:p>
            <w:pPr>
              <w:pStyle w:val="TableContents"/>
              <w:bidi w:val="0"/>
              <w:spacing w:before="0" w:after="0"/>
              <w:jc w:val="left"/>
              <w:rPr>
                <w:spacing w:val="0"/>
              </w:rPr>
            </w:pPr>
            <w:r>
              <w:rPr>
                <w:spacing w:val="0"/>
              </w:rPr>
              <w:t>(c)</w:t>
            </w:r>
          </w:p>
        </w:tc>
        <w:tc>
          <w:tcPr>
            <w:tcW w:w="4010"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The detail information was disclosed in Note 24. </w:t>
            </w:r>
          </w:p>
        </w:tc>
      </w:tr>
    </w:tbl>
    <w:p>
      <w:pPr>
        <w:pStyle w:val="TextBody"/>
        <w:bidi w:val="0"/>
        <w:spacing w:before="0" w:after="0"/>
        <w:ind w:left="0" w:right="0" w:hanging="0"/>
        <w:jc w:val="left"/>
        <w:rPr>
          <w:spacing w:val="0"/>
        </w:rPr>
      </w:pPr>
      <w:r>
        <w:rPr>
          <w:spacing w:val="0"/>
        </w:rPr>
        <w:t> </w:t>
      </w:r>
    </w:p>
    <w:tbl>
      <w:tblPr>
        <w:tblW w:w="5410" w:type="dxa"/>
        <w:jc w:val="left"/>
        <w:tblInd w:w="0" w:type="dxa"/>
        <w:tblLayout w:type="fixed"/>
        <w:tblCellMar>
          <w:top w:w="0" w:type="dxa"/>
          <w:left w:w="0" w:type="dxa"/>
          <w:bottom w:w="0" w:type="dxa"/>
          <w:right w:w="0" w:type="dxa"/>
        </w:tblCellMar>
      </w:tblPr>
      <w:tblGrid>
        <w:gridCol w:w="75"/>
        <w:gridCol w:w="290"/>
        <w:gridCol w:w="5045"/>
      </w:tblGrid>
      <w:tr>
        <w:trPr/>
        <w:tc>
          <w:tcPr>
            <w:tcW w:w="75" w:type="dxa"/>
            <w:tcBorders/>
            <w:vAlign w:val="center"/>
          </w:tcPr>
          <w:p>
            <w:pPr>
              <w:pStyle w:val="TableContents"/>
              <w:bidi w:val="0"/>
              <w:spacing w:before="0" w:after="0"/>
              <w:jc w:val="left"/>
              <w:rPr>
                <w:spacing w:val="0"/>
              </w:rPr>
            </w:pPr>
            <w:r>
              <w:rPr>
                <w:spacing w:val="0"/>
              </w:rPr>
              <w:t> </w:t>
            </w:r>
          </w:p>
        </w:tc>
        <w:tc>
          <w:tcPr>
            <w:tcW w:w="290" w:type="dxa"/>
            <w:tcBorders/>
            <w:vAlign w:val="center"/>
          </w:tcPr>
          <w:p>
            <w:pPr>
              <w:pStyle w:val="TableContents"/>
              <w:bidi w:val="0"/>
              <w:spacing w:before="0" w:after="0"/>
              <w:jc w:val="left"/>
              <w:rPr>
                <w:spacing w:val="0"/>
              </w:rPr>
            </w:pPr>
            <w:r>
              <w:rPr>
                <w:spacing w:val="0"/>
              </w:rPr>
              <w:t>(d)</w:t>
            </w:r>
          </w:p>
        </w:tc>
        <w:tc>
          <w:tcPr>
            <w:tcW w:w="504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For each segment, the other segment items category includes: </w:t>
            </w:r>
          </w:p>
        </w:tc>
      </w:tr>
    </w:tbl>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Vip.com — other operating income which consists of government grants, claims income and other miscellaneous income.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Shanshan — technology and content expenses, other operating income which consists of government grants, claims income and other miscellaneous income.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Others — fulfillment expenses, marketing expenses, technology and content expenses, share-based compensation expenses, other operating income which consists of government grants, claims income and other miscellaneous income. </w:t>
      </w:r>
    </w:p>
    <w:p>
      <w:pPr>
        <w:pStyle w:val="TextBody"/>
        <w:bidi w:val="0"/>
        <w:spacing w:before="0" w:after="0"/>
        <w:ind w:left="0" w:right="0" w:hanging="0"/>
        <w:jc w:val="left"/>
        <w:rPr>
          <w:spacing w:val="0"/>
        </w:rPr>
      </w:pPr>
      <w:r>
        <w:rPr>
          <w:spacing w:val="0"/>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0"/>
              <w:jc w:val="left"/>
              <w:rPr>
                <w:spacing w:val="0"/>
              </w:rPr>
            </w:pPr>
            <w:r>
              <w:rPr>
                <w:spacing w:val="0"/>
              </w:rPr>
              <w:t> </w:t>
            </w:r>
          </w:p>
        </w:tc>
        <w:tc>
          <w:tcPr>
            <w:tcW w:w="271" w:type="dxa"/>
            <w:tcBorders/>
            <w:vAlign w:val="center"/>
          </w:tcPr>
          <w:p>
            <w:pPr>
              <w:pStyle w:val="TableContents"/>
              <w:bidi w:val="0"/>
              <w:spacing w:before="0" w:after="0"/>
              <w:jc w:val="left"/>
              <w:rPr>
                <w:spacing w:val="0"/>
              </w:rPr>
            </w:pPr>
            <w:r>
              <w:rPr>
                <w:spacing w:val="0"/>
              </w:rPr>
              <w:t>(e)</w:t>
            </w:r>
          </w:p>
        </w:tc>
        <w:tc>
          <w:tcPr>
            <w:tcW w:w="9859"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Other income and expenses include interest income, ex</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ch</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 xml:space="preserve">ange gain/(loss), investment gain/(loss) and revaluation of investments, interest expenses and impairment loss of investments.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Depreciation of property and equipment, net (included in the measurement of segment profit or loss): </w:t>
      </w:r>
    </w:p>
    <w:p>
      <w:pPr>
        <w:pStyle w:val="TextBody"/>
        <w:bidi w:val="0"/>
        <w:spacing w:before="0" w:after="0"/>
        <w:jc w:val="left"/>
        <w:rPr/>
      </w:pPr>
      <w:r>
        <w:rPr/>
        <w:t> </w:t>
      </w:r>
    </w:p>
    <w:tbl>
      <w:tblPr>
        <w:tblW w:w="7760" w:type="dxa"/>
        <w:jc w:val="left"/>
        <w:tblInd w:w="0" w:type="dxa"/>
        <w:tblLayout w:type="fixed"/>
        <w:tblCellMar>
          <w:top w:w="0" w:type="dxa"/>
          <w:left w:w="0" w:type="dxa"/>
          <w:bottom w:w="0" w:type="dxa"/>
          <w:right w:w="0" w:type="dxa"/>
        </w:tblCellMar>
      </w:tblPr>
      <w:tblGrid>
        <w:gridCol w:w="4085"/>
        <w:gridCol w:w="120"/>
        <w:gridCol w:w="60"/>
        <w:gridCol w:w="980"/>
        <w:gridCol w:w="60"/>
        <w:gridCol w:w="120"/>
        <w:gridCol w:w="60"/>
        <w:gridCol w:w="980"/>
        <w:gridCol w:w="60"/>
        <w:gridCol w:w="120"/>
        <w:gridCol w:w="60"/>
        <w:gridCol w:w="980"/>
        <w:gridCol w:w="75"/>
      </w:tblGrid>
      <w:tr>
        <w:trPr/>
        <w:tc>
          <w:tcPr>
            <w:tcW w:w="4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0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8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depreciation of property and equipment,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Vip.com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846,864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851,630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924,097</w:t>
            </w:r>
          </w:p>
        </w:tc>
        <w:tc>
          <w:tcPr>
            <w:tcW w:w="7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298,624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417,226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476,943</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85,817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30,528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17,452</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1,231,305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1,299,384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1,418,492</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Interest income and expenses: </w:t>
      </w:r>
    </w:p>
    <w:p>
      <w:pPr>
        <w:pStyle w:val="TextBody"/>
        <w:bidi w:val="0"/>
        <w:spacing w:before="0" w:after="0"/>
        <w:jc w:val="left"/>
        <w:rPr/>
      </w:pPr>
      <w:r>
        <w:rPr/>
        <w:t> </w:t>
      </w:r>
    </w:p>
    <w:tbl>
      <w:tblPr>
        <w:tblW w:w="6470" w:type="dxa"/>
        <w:jc w:val="left"/>
        <w:tblInd w:w="0" w:type="dxa"/>
        <w:tblLayout w:type="fixed"/>
        <w:tblCellMar>
          <w:top w:w="0" w:type="dxa"/>
          <w:left w:w="0" w:type="dxa"/>
          <w:bottom w:w="0" w:type="dxa"/>
          <w:right w:w="0" w:type="dxa"/>
        </w:tblCellMar>
      </w:tblPr>
      <w:tblGrid>
        <w:gridCol w:w="2435"/>
        <w:gridCol w:w="120"/>
        <w:gridCol w:w="60"/>
        <w:gridCol w:w="1085"/>
        <w:gridCol w:w="155"/>
        <w:gridCol w:w="120"/>
        <w:gridCol w:w="60"/>
        <w:gridCol w:w="965"/>
        <w:gridCol w:w="155"/>
        <w:gridCol w:w="120"/>
        <w:gridCol w:w="60"/>
        <w:gridCol w:w="965"/>
        <w:gridCol w:w="170"/>
      </w:tblGrid>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74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0"/>
              <w:jc w:val="left"/>
              <w:rPr>
                <w:spacing w:val="0"/>
              </w:rPr>
            </w:pPr>
            <w:r>
              <w:rPr>
                <w:spacing w:val="0"/>
              </w:rPr>
              <w:t> </w:t>
            </w:r>
          </w:p>
        </w:tc>
      </w:tr>
      <w:tr>
        <w:trPr/>
        <w:tc>
          <w:tcPr>
            <w:tcW w:w="243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4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2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0"/>
              <w:jc w:val="left"/>
              <w:rPr>
                <w:spacing w:val="0"/>
              </w:rPr>
            </w:pPr>
            <w:r>
              <w:rPr>
                <w:spacing w:val="0"/>
              </w:rPr>
              <w:t> </w:t>
            </w:r>
          </w:p>
        </w:tc>
      </w:tr>
      <w:tr>
        <w:trPr/>
        <w:tc>
          <w:tcPr>
            <w:tcW w:w="243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14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2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1025" w:type="dxa"/>
            <w:gridSpan w:val="2"/>
            <w:tcBorders/>
            <w:vAlign w:val="center"/>
          </w:tcPr>
          <w:p>
            <w:pPr>
              <w:pStyle w:val="TableContents"/>
              <w:bidi w:val="0"/>
              <w:spacing w:before="0" w:after="0"/>
              <w:jc w:val="center"/>
              <w:rPr>
                <w:b/>
                <w:spacing w:val="0"/>
              </w:rPr>
            </w:pPr>
            <w:r>
              <w:rPr>
                <w:b/>
                <w:spacing w:val="0"/>
              </w:rPr>
              <w:t>RMB</w:t>
            </w:r>
          </w:p>
        </w:tc>
        <w:tc>
          <w:tcPr>
            <w:tcW w:w="170" w:type="dxa"/>
            <w:tcBorders/>
            <w:vAlign w:val="center"/>
          </w:tcPr>
          <w:p>
            <w:pPr>
              <w:pStyle w:val="TableContents"/>
              <w:bidi w:val="0"/>
              <w:spacing w:before="0" w:after="0"/>
              <w:jc w:val="left"/>
              <w:rPr>
                <w:spacing w:val="0"/>
              </w:rPr>
            </w:pPr>
            <w:r>
              <w:rPr>
                <w:spacing w:val="0"/>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Vip.com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622,686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654,485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610,161</w:t>
            </w:r>
          </w:p>
        </w:tc>
        <w:tc>
          <w:tcPr>
            <w:tcW w:w="17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53,659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42,807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41,932</w:t>
            </w:r>
          </w:p>
        </w:tc>
        <w:tc>
          <w:tcPr>
            <w:tcW w:w="17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87,925</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84,532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158,734</w:t>
            </w:r>
          </w:p>
        </w:tc>
        <w:tc>
          <w:tcPr>
            <w:tcW w:w="17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Inter-segment interest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(1,532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(1,035</w:t>
            </w:r>
          </w:p>
        </w:tc>
        <w:tc>
          <w:tcPr>
            <w:tcW w:w="17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8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6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r>
              <w:rPr/>
              <w:t>764,018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w:t>
            </w:r>
            <w:r>
              <w:rPr/>
              <w:t>780,292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  </w:t>
            </w:r>
            <w:r>
              <w:rPr/>
              <w:t>809,792</w:t>
            </w:r>
          </w:p>
        </w:tc>
        <w:tc>
          <w:tcPr>
            <w:tcW w:w="17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8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6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8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Vip.com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(23,573</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(22,821</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(57,627</w:t>
            </w:r>
          </w:p>
        </w:tc>
        <w:tc>
          <w:tcPr>
            <w:tcW w:w="17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(685</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(111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(53</w:t>
            </w:r>
          </w:p>
        </w:tc>
        <w:tc>
          <w:tcPr>
            <w:tcW w:w="17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(252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(1,532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(1,031</w:t>
            </w:r>
          </w:p>
        </w:tc>
        <w:tc>
          <w:tcPr>
            <w:tcW w:w="170" w:type="dxa"/>
            <w:tcBorders/>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Inter-segment interest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252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1,532</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1,035</w:t>
            </w:r>
          </w:p>
        </w:tc>
        <w:tc>
          <w:tcPr>
            <w:tcW w:w="170"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8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6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6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(24,258</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(22,932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(57,676</w:t>
            </w:r>
          </w:p>
        </w:tc>
        <w:tc>
          <w:tcPr>
            <w:tcW w:w="170" w:type="dxa"/>
            <w:tcBorders/>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8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6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6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center"/>
        <w:rPr>
          <w:rFonts w:ascii="Times New Roman" w:hAnsi="Times New Roman"/>
          <w:spacing w:val="0"/>
          <w:sz w:val="20"/>
        </w:rPr>
      </w:pPr>
      <w:r>
        <w:rPr>
          <w:rFonts w:ascii="Times New Roman" w:hAnsi="Times New Roman"/>
          <w:spacing w:val="0"/>
          <w:sz w:val="20"/>
        </w:rPr>
        <w:t xml:space="preserve">F-59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VIPSHOP HOLDINGS LIMITED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NOTES TO THE CONSOLIDATED FINANCIAL STATEMENTS </w:t>
      </w:r>
    </w:p>
    <w:p>
      <w:pPr>
        <w:pStyle w:val="TextBody"/>
        <w:bidi w:val="0"/>
        <w:spacing w:before="0" w:after="0"/>
        <w:ind w:left="0" w:right="0" w:hanging="0"/>
        <w:jc w:val="center"/>
        <w:rPr>
          <w:rFonts w:ascii="Times New Roman" w:hAnsi="Times New Roman"/>
          <w:b/>
          <w:spacing w:val="0"/>
          <w:sz w:val="20"/>
        </w:rPr>
      </w:pPr>
      <w:r>
        <w:rPr>
          <w:rFonts w:ascii="Times New Roman" w:hAnsi="Times New Roman"/>
          <w:b/>
          <w:spacing w:val="0"/>
          <w:sz w:val="20"/>
        </w:rPr>
        <w:t xml:space="preserve">(All amounts in thousands, except for share and per share data, unless otherwise stated) </w:t>
      </w:r>
    </w:p>
    <w:p>
      <w:pPr>
        <w:pStyle w:val="TextBody"/>
        <w:bidi w:val="0"/>
        <w:spacing w:before="0" w:after="0"/>
        <w:ind w:left="0" w:right="0" w:hanging="0"/>
        <w:jc w:val="left"/>
        <w:rPr>
          <w:spacing w:val="0"/>
        </w:rPr>
      </w:pPr>
      <w:r>
        <w:rPr>
          <w:spacing w:val="0"/>
        </w:rPr>
        <w:t> </w:t>
      </w:r>
    </w:p>
    <w:tbl>
      <w:tblPr>
        <w:tblW w:w="2200" w:type="dxa"/>
        <w:jc w:val="left"/>
        <w:tblInd w:w="0" w:type="dxa"/>
        <w:tblLayout w:type="fixed"/>
        <w:tblCellMar>
          <w:top w:w="0" w:type="dxa"/>
          <w:left w:w="0" w:type="dxa"/>
          <w:bottom w:w="0" w:type="dxa"/>
          <w:right w:w="0" w:type="dxa"/>
        </w:tblCellMar>
      </w:tblPr>
      <w:tblGrid>
        <w:gridCol w:w="335"/>
        <w:gridCol w:w="1865"/>
      </w:tblGrid>
      <w:tr>
        <w:trPr/>
        <w:tc>
          <w:tcPr>
            <w:tcW w:w="335" w:type="dxa"/>
            <w:tcBorders/>
            <w:vAlign w:val="center"/>
          </w:tcPr>
          <w:p>
            <w:pPr>
              <w:pStyle w:val="TableContents"/>
              <w:bidi w:val="0"/>
              <w:spacing w:before="0" w:after="0"/>
              <w:jc w:val="left"/>
              <w:rPr>
                <w:b/>
                <w:spacing w:val="0"/>
              </w:rPr>
            </w:pPr>
            <w:r>
              <w:rPr>
                <w:b/>
                <w:spacing w:val="0"/>
              </w:rPr>
              <w:t>25.</w:t>
            </w:r>
          </w:p>
        </w:tc>
        <w:tc>
          <w:tcPr>
            <w:tcW w:w="1865" w:type="dxa"/>
            <w:tcBorders/>
            <w:vAlign w:val="center"/>
          </w:tcPr>
          <w:p>
            <w:pPr>
              <w:pStyle w:val="TableContents"/>
              <w:bidi w:val="0"/>
              <w:spacing w:before="0" w:after="0"/>
              <w:jc w:val="left"/>
              <w:rPr>
                <w:rFonts w:ascii="Times New Roman" w:hAnsi="Times New Roman"/>
                <w:b/>
                <w:spacing w:val="0"/>
                <w:sz w:val="20"/>
              </w:rPr>
            </w:pPr>
            <w:r>
              <w:rPr>
                <w:rFonts w:ascii="Times New Roman" w:hAnsi="Times New Roman"/>
                <w:b/>
                <w:spacing w:val="0"/>
                <w:sz w:val="20"/>
              </w:rPr>
              <w:t xml:space="preserve">Segment information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(Continued)</w:t>
            </w:r>
          </w:p>
        </w:tc>
      </w:tr>
    </w:tbl>
    <w:p>
      <w:pPr>
        <w:pStyle w:val="TextBody"/>
        <w:bidi w:val="0"/>
        <w:spacing w:before="0" w:after="0"/>
        <w:ind w:left="0" w:right="0" w:hanging="0"/>
        <w:jc w:val="left"/>
        <w:rPr>
          <w:spacing w:val="0"/>
        </w:rPr>
      </w:pPr>
      <w:r>
        <w:rPr>
          <w:spacing w:val="0"/>
        </w:rPr>
        <w:t> </w:t>
      </w:r>
    </w:p>
    <w:tbl>
      <w:tblPr>
        <w:tblW w:w="2515" w:type="dxa"/>
        <w:jc w:val="left"/>
        <w:tblInd w:w="0" w:type="dxa"/>
        <w:tblLayout w:type="fixed"/>
        <w:tblCellMar>
          <w:top w:w="0" w:type="dxa"/>
          <w:left w:w="0" w:type="dxa"/>
          <w:bottom w:w="0" w:type="dxa"/>
          <w:right w:w="0" w:type="dxa"/>
        </w:tblCellMar>
      </w:tblPr>
      <w:tblGrid>
        <w:gridCol w:w="155"/>
        <w:gridCol w:w="2360"/>
      </w:tblGrid>
      <w:tr>
        <w:trPr/>
        <w:tc>
          <w:tcPr>
            <w:tcW w:w="155" w:type="dxa"/>
            <w:tcBorders/>
            <w:vAlign w:val="center"/>
          </w:tcPr>
          <w:p>
            <w:pPr>
              <w:pStyle w:val="TableContents"/>
              <w:bidi w:val="0"/>
              <w:spacing w:before="0" w:after="0"/>
              <w:jc w:val="left"/>
              <w:rPr>
                <w:caps w:val="false"/>
                <w:smallCaps w:val="false"/>
                <w:spacing w:val="0"/>
              </w:rPr>
            </w:pPr>
            <w:r>
              <w:rPr>
                <w:caps w:val="false"/>
                <w:smallCaps w:val="false"/>
                <w:spacing w:val="0"/>
              </w:rPr>
              <w:t> </w:t>
            </w:r>
          </w:p>
        </w:tc>
        <w:tc>
          <w:tcPr>
            <w:tcW w:w="23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Segment revenue and results</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(Continued)</w:t>
            </w:r>
          </w:p>
        </w:tc>
      </w:tr>
    </w:tbl>
    <w:p>
      <w:pPr>
        <w:pStyle w:val="TextBody"/>
        <w:bidi w:val="0"/>
        <w:spacing w:before="0" w:after="0"/>
        <w:ind w:left="0" w:right="0" w:hanging="0"/>
        <w:jc w:val="left"/>
        <w:rPr>
          <w:spacing w:val="0"/>
        </w:rPr>
      </w:pPr>
      <w:r>
        <w:rPr>
          <w:spacing w:val="0"/>
        </w:rPr>
        <w:t> </w:t>
      </w:r>
    </w:p>
    <w:tbl>
      <w:tblPr>
        <w:tblW w:w="9375" w:type="dxa"/>
        <w:jc w:val="left"/>
        <w:tblInd w:w="0" w:type="dxa"/>
        <w:tblLayout w:type="fixed"/>
        <w:tblCellMar>
          <w:top w:w="0" w:type="dxa"/>
          <w:left w:w="0" w:type="dxa"/>
          <w:bottom w:w="0" w:type="dxa"/>
          <w:right w:w="0" w:type="dxa"/>
        </w:tblCellMar>
      </w:tblPr>
      <w:tblGrid>
        <w:gridCol w:w="5975"/>
        <w:gridCol w:w="120"/>
        <w:gridCol w:w="60"/>
        <w:gridCol w:w="875"/>
        <w:gridCol w:w="155"/>
        <w:gridCol w:w="120"/>
        <w:gridCol w:w="60"/>
        <w:gridCol w:w="800"/>
        <w:gridCol w:w="155"/>
        <w:gridCol w:w="120"/>
        <w:gridCol w:w="60"/>
        <w:gridCol w:w="800"/>
        <w:gridCol w:w="75"/>
      </w:tblGrid>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7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3205"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0"/>
              <w:jc w:val="left"/>
              <w:rPr>
                <w:spacing w:val="0"/>
              </w:rPr>
            </w:pPr>
            <w:r>
              <w:rPr>
                <w:spacing w:val="0"/>
              </w:rPr>
              <w:t> </w:t>
            </w:r>
          </w:p>
        </w:tc>
      </w:tr>
      <w:tr>
        <w:trPr/>
        <w:tc>
          <w:tcPr>
            <w:tcW w:w="597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3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0"/>
              <w:jc w:val="left"/>
              <w:rPr>
                <w:spacing w:val="0"/>
              </w:rPr>
            </w:pPr>
            <w:r>
              <w:rPr>
                <w:spacing w:val="0"/>
              </w:rPr>
              <w:t> </w:t>
            </w:r>
          </w:p>
        </w:tc>
      </w:tr>
      <w:tr>
        <w:trPr/>
        <w:tc>
          <w:tcPr>
            <w:tcW w:w="597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93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0"/>
              <w:jc w:val="left"/>
              <w:rPr>
                <w:spacing w:val="0"/>
              </w:rPr>
            </w:pPr>
            <w:r>
              <w:rPr>
                <w:spacing w:val="0"/>
              </w:rPr>
              <w:t> </w:t>
            </w:r>
          </w:p>
        </w:tc>
        <w:tc>
          <w:tcPr>
            <w:tcW w:w="120" w:type="dxa"/>
            <w:tcBorders/>
            <w:vAlign w:val="center"/>
          </w:tcPr>
          <w:p>
            <w:pPr>
              <w:pStyle w:val="TableContents"/>
              <w:bidi w:val="0"/>
              <w:spacing w:before="0" w:after="0"/>
              <w:jc w:val="left"/>
              <w:rPr>
                <w:spacing w:val="0"/>
              </w:rPr>
            </w:pPr>
            <w:r>
              <w:rPr>
                <w:spacing w:val="0"/>
              </w:rPr>
              <w:t>  </w:t>
            </w:r>
          </w:p>
        </w:tc>
        <w:tc>
          <w:tcPr>
            <w:tcW w:w="860"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0"/>
              <w:jc w:val="left"/>
              <w:rPr>
                <w:spacing w:val="0"/>
              </w:rPr>
            </w:pPr>
            <w:r>
              <w:rPr>
                <w:spacing w:val="0"/>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 of (loss) income of investments accounted under the equity method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Vip.com</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(117,176</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52,212</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1,647</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110,617</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112,868</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121,071</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(84,779</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44,262</w:t>
            </w:r>
          </w:p>
        </w:tc>
        <w:tc>
          <w:tcPr>
            <w:tcW w:w="75" w:type="dxa"/>
            <w:tcBorders/>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7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800"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59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(6,559</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80,301</w:t>
            </w:r>
          </w:p>
        </w:tc>
        <w:tc>
          <w:tcPr>
            <w:tcW w:w="15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166,980</w:t>
            </w:r>
          </w:p>
        </w:tc>
        <w:tc>
          <w:tcPr>
            <w:tcW w:w="75" w:type="dxa"/>
            <w:tcBorders/>
            <w:shd w:fill="CCEEFF" w:val="clear"/>
            <w:vAlign w:val="center"/>
          </w:tcPr>
          <w:p>
            <w:pPr>
              <w:pStyle w:val="TableContents"/>
              <w:bidi w:val="0"/>
              <w:spacing w:before="0" w:after="283"/>
              <w:jc w:val="left"/>
              <w:rPr/>
            </w:pPr>
            <w:r>
              <w:rPr/>
              <w:t> </w:t>
            </w:r>
          </w:p>
        </w:tc>
      </w:tr>
      <w:tr>
        <w:trPr/>
        <w:tc>
          <w:tcPr>
            <w:tcW w:w="5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7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800"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tbl>
      <w:tblPr>
        <w:tblW w:w="237" w:type="dxa"/>
        <w:jc w:val="left"/>
        <w:tblInd w:w="0" w:type="dxa"/>
        <w:tblLayout w:type="fixed"/>
        <w:tblCellMar>
          <w:top w:w="0" w:type="dxa"/>
          <w:left w:w="0" w:type="dxa"/>
          <w:bottom w:w="0" w:type="dxa"/>
          <w:right w:w="0" w:type="dxa"/>
        </w:tblCellMar>
      </w:tblPr>
      <w:tblGrid>
        <w:gridCol w:w="38"/>
        <w:gridCol w:w="23"/>
        <w:gridCol w:w="23"/>
        <w:gridCol w:w="23"/>
        <w:gridCol w:w="23"/>
        <w:gridCol w:w="23"/>
        <w:gridCol w:w="23"/>
        <w:gridCol w:w="23"/>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99" w:type="dxa"/>
            <w:gridSpan w:val="8"/>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432" w:type="dxa"/>
        <w:jc w:val="left"/>
        <w:tblInd w:w="0" w:type="dxa"/>
        <w:tblLayout w:type="fixed"/>
        <w:tblCellMar>
          <w:top w:w="0" w:type="dxa"/>
          <w:left w:w="0" w:type="dxa"/>
          <w:bottom w:w="0" w:type="dxa"/>
          <w:right w:w="0" w:type="dxa"/>
        </w:tblCellMar>
      </w:tblPr>
      <w:tblGrid>
        <w:gridCol w:w="1520"/>
        <w:gridCol w:w="120"/>
        <w:gridCol w:w="65"/>
        <w:gridCol w:w="1196"/>
        <w:gridCol w:w="65"/>
        <w:gridCol w:w="130"/>
        <w:gridCol w:w="65"/>
        <w:gridCol w:w="1196"/>
        <w:gridCol w:w="75"/>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0"/>
              <w:jc w:val="center"/>
              <w:rPr>
                <w:b/>
                <w:spacing w:val="0"/>
              </w:rPr>
            </w:pPr>
            <w:r>
              <w:rPr>
                <w:b/>
                <w:spacing w:val="0"/>
              </w:rPr>
              <w:t>RMB</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196"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19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Vip.com</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47,982,859</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51,103,217</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17,062,689</w:t>
            </w:r>
          </w:p>
        </w:tc>
        <w:tc>
          <w:tcPr>
            <w:tcW w:w="65"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19,971,408</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7,277,046</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3,861,501</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196" w:type="dxa"/>
            <w:tcBorders/>
            <w:vAlign w:val="center"/>
          </w:tcPr>
          <w:p>
            <w:pPr>
              <w:pStyle w:val="TableContents"/>
              <w:bidi w:val="0"/>
              <w:spacing w:before="0" w:after="0"/>
              <w:jc w:val="left"/>
              <w:rPr>
                <w:bdr w:val="single" w:sz="2" w:space="1" w:color="000000"/>
              </w:rPr>
            </w:pPr>
            <w:r>
              <w:rPr>
                <w:bdr w:val="single" w:sz="2" w:space="1" w:color="000000"/>
              </w:rPr>
              <w:t> </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19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152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72,322,594</w:t>
            </w:r>
          </w:p>
        </w:tc>
        <w:tc>
          <w:tcPr>
            <w:tcW w:w="65"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74,936,126</w:t>
            </w:r>
          </w:p>
        </w:tc>
        <w:tc>
          <w:tcPr>
            <w:tcW w:w="75" w:type="dxa"/>
            <w:tcBorders/>
            <w:shd w:fill="CCEE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196" w:type="dxa"/>
            <w:tcBorders/>
            <w:vAlign w:val="center"/>
          </w:tcPr>
          <w:p>
            <w:pPr>
              <w:pStyle w:val="TableContents"/>
              <w:bidi w:val="0"/>
              <w:spacing w:before="0" w:after="0"/>
              <w:jc w:val="left"/>
              <w:rPr>
                <w:bdr w:val="double" w:sz="6" w:space="1" w:color="000000"/>
              </w:rPr>
            </w:pPr>
            <w:r>
              <w:rPr>
                <w:bdr w:val="double" w:sz="6" w:space="1" w:color="000000"/>
              </w:rPr>
              <w:t> </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19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sz w:val="24"/>
        </w:rPr>
      </w:pPr>
      <w:r>
        <w:rPr>
          <w:sz w:val="24"/>
        </w:rPr>
      </w:r>
    </w:p>
    <w:tbl>
      <w:tblPr>
        <w:tblW w:w="7102" w:type="dxa"/>
        <w:jc w:val="left"/>
        <w:tblInd w:w="0" w:type="dxa"/>
        <w:tblLayout w:type="fixed"/>
        <w:tblCellMar>
          <w:top w:w="0" w:type="dxa"/>
          <w:left w:w="0" w:type="dxa"/>
          <w:bottom w:w="0" w:type="dxa"/>
          <w:right w:w="0" w:type="dxa"/>
        </w:tblCellMar>
      </w:tblPr>
      <w:tblGrid>
        <w:gridCol w:w="4190"/>
        <w:gridCol w:w="120"/>
        <w:gridCol w:w="65"/>
        <w:gridCol w:w="1196"/>
        <w:gridCol w:w="65"/>
        <w:gridCol w:w="130"/>
        <w:gridCol w:w="65"/>
        <w:gridCol w:w="1196"/>
        <w:gridCol w:w="75"/>
      </w:tblGrid>
      <w:tr>
        <w:trPr/>
        <w:tc>
          <w:tcPr>
            <w:tcW w:w="4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17" w:type="dxa"/>
            <w:gridSpan w:val="6"/>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0"/>
              <w:jc w:val="center"/>
              <w:rPr>
                <w:b/>
                <w:spacing w:val="0"/>
              </w:rPr>
            </w:pPr>
            <w:r>
              <w:rPr>
                <w:b/>
                <w:spacing w:val="0"/>
              </w:rPr>
              <w:t>RMB</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261" w:type="dxa"/>
            <w:gridSpan w:val="2"/>
            <w:tcBorders/>
            <w:vAlign w:val="center"/>
          </w:tcPr>
          <w:p>
            <w:pPr>
              <w:pStyle w:val="TableContents"/>
              <w:bidi w:val="0"/>
              <w:spacing w:before="0" w:after="0"/>
              <w:jc w:val="center"/>
              <w:rPr>
                <w:b/>
                <w:spacing w:val="0"/>
              </w:rPr>
            </w:pPr>
            <w:r>
              <w:rPr>
                <w:b/>
                <w:spacing w:val="0"/>
              </w:rPr>
              <w:t>RMB</w:t>
            </w:r>
          </w:p>
        </w:tc>
        <w:tc>
          <w:tcPr>
            <w:tcW w:w="7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Investments in equity method investees</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196" w:type="dxa"/>
            <w:tcBorders/>
            <w:shd w:fill="CCEEFF" w:val="clear"/>
            <w:vAlign w:val="center"/>
          </w:tcPr>
          <w:p>
            <w:pPr>
              <w:pStyle w:val="TableContents"/>
              <w:bidi w:val="0"/>
              <w:spacing w:before="0" w:after="283"/>
              <w:jc w:val="left"/>
              <w:rPr>
                <w:sz w:val="4"/>
                <w:szCs w:val="4"/>
              </w:rPr>
            </w:pPr>
            <w:r>
              <w:rPr>
                <w:sz w:val="4"/>
                <w:szCs w:val="4"/>
              </w:rPr>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3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sz w:val="4"/>
                <w:szCs w:val="4"/>
              </w:rPr>
            </w:pPr>
            <w:r>
              <w:rPr>
                <w:sz w:val="4"/>
                <w:szCs w:val="4"/>
              </w:rPr>
            </w:r>
          </w:p>
        </w:tc>
        <w:tc>
          <w:tcPr>
            <w:tcW w:w="1196"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Vip.com</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1,153,245</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1,106,779</w:t>
            </w:r>
          </w:p>
        </w:tc>
        <w:tc>
          <w:tcPr>
            <w:tcW w:w="7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763,025</w:t>
            </w:r>
          </w:p>
        </w:tc>
        <w:tc>
          <w:tcPr>
            <w:tcW w:w="65"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760,596</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239,291</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134,668</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196" w:type="dxa"/>
            <w:tcBorders/>
            <w:vAlign w:val="center"/>
          </w:tcPr>
          <w:p>
            <w:pPr>
              <w:pStyle w:val="TableContents"/>
              <w:bidi w:val="0"/>
              <w:spacing w:before="0" w:after="0"/>
              <w:jc w:val="left"/>
              <w:rPr>
                <w:bdr w:val="single" w:sz="2" w:space="1" w:color="000000"/>
              </w:rPr>
            </w:pPr>
            <w:r>
              <w:rPr>
                <w:bdr w:val="single" w:sz="2" w:space="1" w:color="000000"/>
              </w:rPr>
              <w:t> </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19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r>
              <w:rPr/>
              <w:t>2,155,561</w:t>
            </w:r>
          </w:p>
        </w:tc>
        <w:tc>
          <w:tcPr>
            <w:tcW w:w="65"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 </w:t>
            </w:r>
            <w:r>
              <w:rPr/>
              <w:t>2,002,043</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196" w:type="dxa"/>
            <w:tcBorders/>
            <w:vAlign w:val="center"/>
          </w:tcPr>
          <w:p>
            <w:pPr>
              <w:pStyle w:val="TableContents"/>
              <w:bidi w:val="0"/>
              <w:spacing w:before="0" w:after="0"/>
              <w:jc w:val="left"/>
              <w:rPr>
                <w:bdr w:val="double" w:sz="6" w:space="1" w:color="000000"/>
              </w:rPr>
            </w:pPr>
            <w:r>
              <w:rPr>
                <w:bdr w:val="double" w:sz="6" w:space="1" w:color="000000"/>
              </w:rPr>
              <w:t> </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19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expenditure for additions of long-lived assets</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Vip.com</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2,330,278</w:t>
            </w:r>
          </w:p>
        </w:tc>
        <w:tc>
          <w:tcPr>
            <w:tcW w:w="65"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870,593</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Shan Shan Outlets</w:t>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2,895,954</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2,687,663</w:t>
            </w:r>
          </w:p>
        </w:tc>
        <w:tc>
          <w:tcPr>
            <w:tcW w:w="75" w:type="dxa"/>
            <w:tcBorders/>
            <w:vAlign w:val="center"/>
          </w:tcPr>
          <w:p>
            <w:pPr>
              <w:pStyle w:val="TableContents"/>
              <w:bidi w:val="0"/>
              <w:spacing w:before="0" w:after="283"/>
              <w:jc w:val="left"/>
              <w:rPr/>
            </w:pPr>
            <w:r>
              <w:rPr/>
              <w:t> </w:t>
            </w:r>
          </w:p>
        </w:tc>
      </w:tr>
      <w:tr>
        <w:trPr/>
        <w:tc>
          <w:tcPr>
            <w:tcW w:w="419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12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4,505</w:t>
            </w:r>
          </w:p>
        </w:tc>
        <w:tc>
          <w:tcPr>
            <w:tcW w:w="65"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6" w:type="dxa"/>
            <w:tcBorders/>
            <w:shd w:fill="CCEEFF" w:val="clear"/>
            <w:vAlign w:val="center"/>
          </w:tcPr>
          <w:p>
            <w:pPr>
              <w:pStyle w:val="TableContents"/>
              <w:bidi w:val="0"/>
              <w:spacing w:before="0" w:after="283"/>
              <w:jc w:val="right"/>
              <w:rPr/>
            </w:pPr>
            <w:r>
              <w:rPr/>
              <w:t>4,330</w:t>
            </w:r>
          </w:p>
        </w:tc>
        <w:tc>
          <w:tcPr>
            <w:tcW w:w="75" w:type="dxa"/>
            <w:tcBorders/>
            <w:shd w:fill="CCEEFF" w:val="clear"/>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196" w:type="dxa"/>
            <w:tcBorders/>
            <w:vAlign w:val="center"/>
          </w:tcPr>
          <w:p>
            <w:pPr>
              <w:pStyle w:val="TableContents"/>
              <w:bidi w:val="0"/>
              <w:spacing w:before="0" w:after="0"/>
              <w:jc w:val="left"/>
              <w:rPr>
                <w:bdr w:val="single" w:sz="2" w:space="1" w:color="000000"/>
              </w:rPr>
            </w:pPr>
            <w:r>
              <w:rPr>
                <w:bdr w:val="single" w:sz="2" w:space="1" w:color="000000"/>
              </w:rPr>
              <w:t> </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single" w:sz="2" w:space="1" w:color="000000"/>
              </w:rPr>
            </w:pPr>
            <w:r>
              <w:rPr>
                <w:bdr w:val="single" w:sz="2" w:space="1" w:color="000000"/>
              </w:rPr>
              <w:t> </w:t>
            </w:r>
          </w:p>
        </w:tc>
        <w:tc>
          <w:tcPr>
            <w:tcW w:w="1196" w:type="dxa"/>
            <w:tcBorders/>
            <w:vAlign w:val="center"/>
          </w:tcPr>
          <w:p>
            <w:pPr>
              <w:pStyle w:val="TableContents"/>
              <w:bidi w:val="0"/>
              <w:spacing w:before="0" w:after="0"/>
              <w:jc w:val="left"/>
              <w:rPr>
                <w:bdr w:val="single" w:sz="2" w:space="1" w:color="000000"/>
              </w:rPr>
            </w:pPr>
            <w:r>
              <w:rPr>
                <w:bdr w:val="single" w:sz="2" w:space="1" w:color="000000"/>
              </w:rPr>
              <w:t> </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5,230,737</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6" w:type="dxa"/>
            <w:tcBorders/>
            <w:vAlign w:val="center"/>
          </w:tcPr>
          <w:p>
            <w:pPr>
              <w:pStyle w:val="TableContents"/>
              <w:bidi w:val="0"/>
              <w:spacing w:before="0" w:after="283"/>
              <w:jc w:val="right"/>
              <w:rPr/>
            </w:pPr>
            <w:r>
              <w:rPr/>
              <w:t>3,562,586</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196" w:type="dxa"/>
            <w:tcBorders/>
            <w:vAlign w:val="center"/>
          </w:tcPr>
          <w:p>
            <w:pPr>
              <w:pStyle w:val="TableContents"/>
              <w:bidi w:val="0"/>
              <w:spacing w:before="0" w:after="0"/>
              <w:jc w:val="left"/>
              <w:rPr>
                <w:bdr w:val="double" w:sz="6" w:space="1" w:color="000000"/>
              </w:rPr>
            </w:pPr>
            <w:r>
              <w:rPr>
                <w:bdr w:val="double" w:sz="6" w:space="1" w:color="000000"/>
              </w:rPr>
              <w:t> </w:t>
            </w:r>
          </w:p>
        </w:tc>
        <w:tc>
          <w:tcPr>
            <w:tcW w:w="65"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0"/>
              <w:jc w:val="left"/>
              <w:rPr>
                <w:bdr w:val="double" w:sz="6" w:space="1" w:color="000000"/>
              </w:rPr>
            </w:pPr>
            <w:r>
              <w:rPr>
                <w:bdr w:val="double" w:sz="6" w:space="1" w:color="000000"/>
              </w:rPr>
              <w:t> </w:t>
            </w:r>
          </w:p>
        </w:tc>
        <w:tc>
          <w:tcPr>
            <w:tcW w:w="1196" w:type="dxa"/>
            <w:tcBorders/>
            <w:vAlign w:val="center"/>
          </w:tcPr>
          <w:p>
            <w:pPr>
              <w:pStyle w:val="TableContents"/>
              <w:bidi w:val="0"/>
              <w:spacing w:before="0" w:after="0"/>
              <w:jc w:val="left"/>
              <w:rPr>
                <w:bdr w:val="double" w:sz="6" w:space="1" w:color="000000"/>
              </w:rPr>
            </w:pPr>
            <w:r>
              <w:rPr>
                <w:bdr w:val="double" w:sz="6" w:space="1" w:color="000000"/>
              </w:rPr>
              <w:t> </w:t>
            </w:r>
          </w:p>
        </w:tc>
        <w:tc>
          <w:tcPr>
            <w:tcW w:w="75" w:type="dxa"/>
            <w:tcBorders/>
            <w:vAlign w:val="center"/>
          </w:tcPr>
          <w:p>
            <w:pPr>
              <w:pStyle w:val="TableContents"/>
              <w:bidi w:val="0"/>
              <w:spacing w:before="0" w:after="283"/>
              <w:jc w:val="left"/>
              <w:rPr/>
            </w:pPr>
            <w:r>
              <w:rPr/>
              <w:t> </w:t>
            </w:r>
          </w:p>
        </w:tc>
      </w:tr>
    </w:tbl>
    <w:p>
      <w:pPr>
        <w:pStyle w:val="TextBody"/>
        <w:bidi w:val="0"/>
        <w:spacing w:before="360" w:after="0"/>
        <w:ind w:left="0" w:right="0" w:hanging="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Geographic information </w:t>
      </w:r>
    </w:p>
    <w:p>
      <w:pPr>
        <w:pStyle w:val="TextBody"/>
        <w:bidi w:val="0"/>
        <w:spacing w:before="120" w:after="0"/>
        <w:ind w:left="0" w:right="0" w:hanging="0"/>
        <w:jc w:val="left"/>
        <w:rPr>
          <w:rFonts w:ascii="Times New Roman" w:hAnsi="Times New Roman"/>
          <w:spacing w:val="0"/>
          <w:sz w:val="20"/>
        </w:rPr>
      </w:pPr>
      <w:r>
        <w:rPr>
          <w:rFonts w:ascii="Times New Roman" w:hAnsi="Times New Roman"/>
          <w:spacing w:val="0"/>
          <w:sz w:val="20"/>
        </w:rPr>
        <w:t xml:space="preserve">Substantially all revenues and long-lived assets of Group are derived from and located in the PRC. </w:t>
      </w:r>
    </w:p>
    <w:p>
      <w:pPr>
        <w:pStyle w:val="TextBody"/>
        <w:bidi w:val="0"/>
        <w:spacing w:before="0" w:after="0"/>
        <w:jc w:val="left"/>
        <w:rPr/>
      </w:pPr>
      <w:r>
        <w:rPr/>
        <w:t> </w:t>
      </w:r>
    </w:p>
    <w:tbl>
      <w:tblPr>
        <w:tblW w:w="1930" w:type="dxa"/>
        <w:jc w:val="left"/>
        <w:tblInd w:w="0" w:type="dxa"/>
        <w:tblLayout w:type="fixed"/>
        <w:tblCellMar>
          <w:top w:w="0" w:type="dxa"/>
          <w:left w:w="0" w:type="dxa"/>
          <w:bottom w:w="0" w:type="dxa"/>
          <w:right w:w="0" w:type="dxa"/>
        </w:tblCellMar>
      </w:tblPr>
      <w:tblGrid>
        <w:gridCol w:w="335"/>
        <w:gridCol w:w="1595"/>
      </w:tblGrid>
      <w:tr>
        <w:trPr/>
        <w:tc>
          <w:tcPr>
            <w:tcW w:w="335" w:type="dxa"/>
            <w:tcBorders/>
            <w:vAlign w:val="center"/>
          </w:tcPr>
          <w:p>
            <w:pPr>
              <w:pStyle w:val="TableContents"/>
              <w:bidi w:val="0"/>
              <w:spacing w:before="0" w:after="0"/>
              <w:jc w:val="left"/>
              <w:rPr>
                <w:b/>
                <w:spacing w:val="0"/>
              </w:rPr>
            </w:pPr>
            <w:r>
              <w:rPr>
                <w:b/>
                <w:spacing w:val="0"/>
              </w:rPr>
              <w:t>26.</w:t>
            </w:r>
          </w:p>
        </w:tc>
        <w:tc>
          <w:tcPr>
            <w:tcW w:w="15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On February 21, 2025, the board of directors of the Company declared a dividend of US$2.40 per ordinary share, or US$0.48 per ADS, to holders of ordinary shares and holders of ADSs of record as of the close of business on April 11, 2025. The payment date is expected to be on April 25, 2025.</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pacing w:val="0"/>
          <w:sz w:val="20"/>
        </w:rPr>
      </w:pPr>
      <w:r>
        <w:rPr>
          <w:rFonts w:ascii="Times New Roman" w:hAnsi="Times New Roman"/>
          <w:b/>
          <w:spacing w:val="0"/>
          <w:sz w:val="20"/>
        </w:rPr>
        <w:t xml:space="preserve">Schedule </w:t>
      </w:r>
    </w:p>
    <w:p>
      <w:pPr>
        <w:pStyle w:val="TextBody"/>
        <w:bidi w:val="0"/>
        <w:spacing w:before="0" w:after="0"/>
        <w:jc w:val="center"/>
        <w:rPr>
          <w:rFonts w:ascii="Times New Roman" w:hAnsi="Times New Roman"/>
          <w:b/>
          <w:sz w:val="20"/>
        </w:rPr>
      </w:pPr>
      <w:r>
        <w:rPr>
          <w:rFonts w:ascii="Times New Roman" w:hAnsi="Times New Roman"/>
          <w:b/>
          <w:sz w:val="20"/>
        </w:rPr>
        <w:t xml:space="preserve">I—Condensed Financial Information of the Parent Company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Income and Comprehensive Income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110"/>
        <w:gridCol w:w="120"/>
        <w:gridCol w:w="60"/>
        <w:gridCol w:w="980"/>
        <w:gridCol w:w="155"/>
        <w:gridCol w:w="60"/>
        <w:gridCol w:w="60"/>
        <w:gridCol w:w="980"/>
        <w:gridCol w:w="155"/>
        <w:gridCol w:w="60"/>
        <w:gridCol w:w="60"/>
        <w:gridCol w:w="980"/>
        <w:gridCol w:w="155"/>
        <w:gridCol w:w="60"/>
        <w:gridCol w:w="60"/>
        <w:gridCol w:w="980"/>
        <w:gridCol w:w="170"/>
      </w:tblGrid>
      <w:tr>
        <w:trPr/>
        <w:tc>
          <w:tcPr>
            <w:tcW w:w="5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80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5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5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51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Note 2(z)</w:t>
            </w:r>
          </w:p>
        </w:tc>
        <w:tc>
          <w:tcPr>
            <w:tcW w:w="170" w:type="dxa"/>
            <w:tcBorders/>
            <w:vAlign w:val="center"/>
          </w:tcPr>
          <w:p>
            <w:pPr>
              <w:pStyle w:val="TableContents"/>
              <w:bidi w:val="0"/>
              <w:spacing w:before="0" w:after="283"/>
              <w:jc w:val="left"/>
              <w:rPr/>
            </w:pPr>
            <w:r>
              <w:rPr/>
              <w:t> </w:t>
            </w:r>
          </w:p>
        </w:tc>
      </w:tr>
      <w:tr>
        <w:trPr/>
        <w:tc>
          <w:tcPr>
            <w:tcW w:w="5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(49,776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(21,171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(17,749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(2,433</w:t>
            </w:r>
          </w:p>
        </w:tc>
        <w:tc>
          <w:tcPr>
            <w:tcW w:w="170" w:type="dxa"/>
            <w:tcBorders/>
            <w:shd w:fill="CCEEFF" w:val="clear"/>
            <w:vAlign w:val="center"/>
          </w:tcPr>
          <w:p>
            <w:pPr>
              <w:pStyle w:val="TableContents"/>
              <w:bidi w:val="0"/>
              <w:spacing w:before="0" w:after="283"/>
              <w:jc w:val="left"/>
              <w:rPr/>
            </w:pPr>
            <w:r>
              <w:rPr/>
              <w:t>) </w:t>
            </w:r>
          </w:p>
        </w:tc>
      </w:tr>
      <w:tr>
        <w:trPr/>
        <w:tc>
          <w:tcPr>
            <w:tcW w:w="5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30,885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47,529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5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(Loss)income from operations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(18,891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26,358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(17,736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(2,431</w:t>
            </w:r>
          </w:p>
        </w:tc>
        <w:tc>
          <w:tcPr>
            <w:tcW w:w="170" w:type="dxa"/>
            <w:tcBorders/>
            <w:shd w:fill="CCEEFF" w:val="clear"/>
            <w:vAlign w:val="center"/>
          </w:tcPr>
          <w:p>
            <w:pPr>
              <w:pStyle w:val="TableContents"/>
              <w:bidi w:val="0"/>
              <w:spacing w:before="0" w:after="283"/>
              <w:jc w:val="left"/>
              <w:rPr/>
            </w:pPr>
            <w:r>
              <w:rPr/>
              <w:t>) </w:t>
            </w:r>
          </w:p>
        </w:tc>
      </w:tr>
      <w:tr>
        <w:trPr/>
        <w:tc>
          <w:tcPr>
            <w:tcW w:w="5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income of subsidiaries and VIEs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6,317,707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8,090,266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7,757,671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1,062,797</w:t>
            </w:r>
          </w:p>
        </w:tc>
        <w:tc>
          <w:tcPr>
            <w:tcW w:w="170" w:type="dxa"/>
            <w:tcBorders/>
            <w:vAlign w:val="center"/>
          </w:tcPr>
          <w:p>
            <w:pPr>
              <w:pStyle w:val="TableContents"/>
              <w:bidi w:val="0"/>
              <w:spacing w:before="0" w:after="283"/>
              <w:jc w:val="left"/>
              <w:rPr/>
            </w:pPr>
            <w:r>
              <w:rPr/>
              <w:t> </w:t>
            </w:r>
          </w:p>
        </w:tc>
      </w:tr>
      <w:tr>
        <w:trPr/>
        <w:tc>
          <w:tcPr>
            <w:tcW w:w="5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income attributable to Vipshop Holdings Limited’s sha</w:t>
            </w:r>
          </w:p>
          <w:p>
            <w:pPr>
              <w:pStyle w:val="TableContents"/>
              <w:bidi w:val="0"/>
              <w:spacing w:before="0" w:after="0"/>
              <w:jc w:val="left"/>
              <w:rPr>
                <w:rFonts w:ascii="Times New Roman" w:hAnsi="Times New Roman"/>
                <w:sz w:val="20"/>
              </w:rPr>
            </w:pPr>
            <w:r>
              <w:rPr>
                <w:rFonts w:ascii="Times New Roman" w:hAnsi="Times New Roman"/>
                <w:sz w:val="20"/>
              </w:rPr>
              <w:t>re</w:t>
            </w:r>
          </w:p>
          <w:p>
            <w:pPr>
              <w:pStyle w:val="TableContents"/>
              <w:bidi w:val="0"/>
              <w:spacing w:before="0" w:after="0"/>
              <w:jc w:val="left"/>
              <w:rPr>
                <w:rFonts w:ascii="Times New Roman" w:hAnsi="Times New Roman"/>
                <w:sz w:val="20"/>
              </w:rPr>
            </w:pPr>
            <w:r>
              <w:rPr>
                <w:rFonts w:ascii="Times New Roman" w:hAnsi="Times New Roman"/>
                <w:sz w:val="20"/>
              </w:rPr>
              <w:t>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6,298,816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8,116,624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7,739,935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1,060,366</w:t>
            </w:r>
          </w:p>
        </w:tc>
        <w:tc>
          <w:tcPr>
            <w:tcW w:w="170" w:type="dxa"/>
            <w:tcBorders/>
            <w:shd w:fill="CCEEFF" w:val="clear"/>
            <w:vAlign w:val="center"/>
          </w:tcPr>
          <w:p>
            <w:pPr>
              <w:pStyle w:val="TableContents"/>
              <w:bidi w:val="0"/>
              <w:spacing w:before="0" w:after="283"/>
              <w:jc w:val="left"/>
              <w:rPr/>
            </w:pPr>
            <w:r>
              <w:rPr/>
              <w:t> </w:t>
            </w:r>
          </w:p>
        </w:tc>
      </w:tr>
      <w:tr>
        <w:trPr/>
        <w:tc>
          <w:tcPr>
            <w:tcW w:w="5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5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comprehensive (loss)income: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Foreign currency translation, net of tax of nil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(610,296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(11,085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37,081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5,080</w:t>
            </w:r>
          </w:p>
        </w:tc>
        <w:tc>
          <w:tcPr>
            <w:tcW w:w="170" w:type="dxa"/>
            <w:tcBorders/>
            <w:shd w:fill="CCEEFF" w:val="clear"/>
            <w:vAlign w:val="center"/>
          </w:tcPr>
          <w:p>
            <w:pPr>
              <w:pStyle w:val="TableContents"/>
              <w:bidi w:val="0"/>
              <w:spacing w:before="0" w:after="283"/>
              <w:jc w:val="left"/>
              <w:rPr/>
            </w:pPr>
            <w:r>
              <w:rPr/>
              <w:t> </w:t>
            </w:r>
          </w:p>
        </w:tc>
      </w:tr>
      <w:tr>
        <w:trPr/>
        <w:tc>
          <w:tcPr>
            <w:tcW w:w="5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fair value of debt securities derived from the share of (loss)income of an equity method investee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(8,733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23,124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(148,886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(20,397</w:t>
            </w:r>
          </w:p>
        </w:tc>
        <w:tc>
          <w:tcPr>
            <w:tcW w:w="170" w:type="dxa"/>
            <w:tcBorders/>
            <w:vAlign w:val="center"/>
          </w:tcPr>
          <w:p>
            <w:pPr>
              <w:pStyle w:val="TableContents"/>
              <w:bidi w:val="0"/>
              <w:spacing w:before="0" w:after="283"/>
              <w:jc w:val="left"/>
              <w:rPr/>
            </w:pPr>
            <w:r>
              <w:rPr/>
              <w:t>) </w:t>
            </w:r>
          </w:p>
        </w:tc>
      </w:tr>
      <w:tr>
        <w:trPr/>
        <w:tc>
          <w:tcPr>
            <w:tcW w:w="5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51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Comprehensive income attributable to Vipshop Holdings Limited’s shareholders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5,679,787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8,128,663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7,628,130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1,045,049</w:t>
            </w:r>
          </w:p>
        </w:tc>
        <w:tc>
          <w:tcPr>
            <w:tcW w:w="170" w:type="dxa"/>
            <w:tcBorders/>
            <w:shd w:fill="CCEEFF" w:val="clear"/>
            <w:vAlign w:val="center"/>
          </w:tcPr>
          <w:p>
            <w:pPr>
              <w:pStyle w:val="TableContents"/>
              <w:bidi w:val="0"/>
              <w:spacing w:before="0" w:after="283"/>
              <w:jc w:val="left"/>
              <w:rPr/>
            </w:pPr>
            <w:r>
              <w:rPr/>
              <w:t> </w:t>
            </w:r>
          </w:p>
        </w:tc>
      </w:tr>
      <w:tr>
        <w:trPr/>
        <w:tc>
          <w:tcPr>
            <w:tcW w:w="5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I—Condensed Financial Information of the Parent Company </w:t>
      </w:r>
    </w:p>
    <w:p>
      <w:pPr>
        <w:pStyle w:val="TextBody"/>
        <w:bidi w:val="0"/>
        <w:spacing w:before="0" w:after="0"/>
        <w:jc w:val="center"/>
        <w:rPr>
          <w:rFonts w:ascii="Times New Roman" w:hAnsi="Times New Roman"/>
          <w:b/>
          <w:sz w:val="20"/>
        </w:rPr>
      </w:pPr>
      <w:r>
        <w:rPr>
          <w:rFonts w:ascii="Times New Roman" w:hAnsi="Times New Roman"/>
          <w:b/>
          <w:sz w:val="20"/>
        </w:rPr>
        <w:t xml:space="preserve">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and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125"/>
        <w:gridCol w:w="120"/>
        <w:gridCol w:w="60"/>
        <w:gridCol w:w="1100"/>
        <w:gridCol w:w="155"/>
        <w:gridCol w:w="60"/>
        <w:gridCol w:w="60"/>
        <w:gridCol w:w="1100"/>
        <w:gridCol w:w="155"/>
        <w:gridCol w:w="60"/>
        <w:gridCol w:w="60"/>
        <w:gridCol w:w="980"/>
        <w:gridCol w:w="170"/>
      </w:tblGrid>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790" w:type="dxa"/>
            <w:gridSpan w:val="10"/>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of December 31,</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pPr>
            <w:r>
              <w:rPr/>
              <w:t>Note 2(z)</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56</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 and prepayments,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3,374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3,423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469</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Investment in subsidiaries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45,235,847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52,490,094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7,191,113</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 due from subsidiaries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384,016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908,747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124,498</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45,624,141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53,402,675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7,316,136</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LIABILITIES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106</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Amount due to subsidiaries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8,661,621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13,433,091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1,840,324</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8,662,737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13,433,862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1,840,430</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A ordinary shares (US$0.0001 par value, 483,489,642 shares authorized, and 98,877,929 and 100,640,510 shares issued, of which 92,900,247 and 86,982,144 shares were outstanding as of December 31, 2023 and 2024, respectively)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Class B ordinary shares (US$0.0001 par value,16,510,358 shares authorized, and 15,560,358 and 15,560,358 shares issued and outstanding as of December 31, 2023 and 2024, respectively)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Treasury shares, at cost (5,977,682 and 13,028,013 Class A shares as of December 31, 2023 and 2024, respectively)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(3,624,763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(7,042,759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(964,854</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Additional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paid-in</w:t>
            </w:r>
          </w:p>
          <w:p>
            <w:pPr>
              <w:pStyle w:val="TableContents"/>
              <w:bidi w:val="0"/>
              <w:spacing w:before="0" w:after="0"/>
              <w:jc w:val="left"/>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4,444,755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4,912,703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673,038</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36,836,928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42,906,188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5,878,124</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(695,589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(807,394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(110,613</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shareholders’ equity</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36,961,404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39,968,813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5,475,706</w:t>
            </w:r>
          </w:p>
        </w:tc>
        <w:tc>
          <w:tcPr>
            <w:tcW w:w="170" w:type="dxa"/>
            <w:tcBorders/>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100"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980"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61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 liabilities and shareholders’ equity</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45,624,141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53,402,675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7,316,136</w:t>
            </w:r>
          </w:p>
        </w:tc>
        <w:tc>
          <w:tcPr>
            <w:tcW w:w="170" w:type="dxa"/>
            <w:tcBorders/>
            <w:shd w:fill="CCEEFF" w:val="clear"/>
            <w:vAlign w:val="center"/>
          </w:tcPr>
          <w:p>
            <w:pPr>
              <w:pStyle w:val="TableContents"/>
              <w:bidi w:val="0"/>
              <w:spacing w:before="0" w:after="283"/>
              <w:jc w:val="left"/>
              <w:rPr/>
            </w:pPr>
            <w:r>
              <w:rPr/>
              <w:t> </w:t>
            </w:r>
          </w:p>
        </w:tc>
      </w:tr>
      <w:tr>
        <w:trPr/>
        <w:tc>
          <w:tcPr>
            <w:tcW w:w="61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100"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980"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Schedule I—Condensed Financial Information of the Parent Company </w:t>
      </w:r>
    </w:p>
    <w:p>
      <w:pPr>
        <w:pStyle w:val="TextBody"/>
        <w:bidi w:val="0"/>
        <w:spacing w:before="0" w:after="0"/>
        <w:jc w:val="center"/>
        <w:rPr>
          <w:rFonts w:ascii="Times New Roman" w:hAnsi="Times New Roman"/>
          <w:b/>
          <w:sz w:val="20"/>
        </w:rPr>
      </w:pPr>
      <w:r>
        <w:rPr>
          <w:rFonts w:ascii="Times New Roman" w:hAnsi="Times New Roman"/>
          <w:b/>
          <w:sz w:val="20"/>
        </w:rPr>
        <w:t xml:space="preserve">Statements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10"/>
        <w:gridCol w:w="120"/>
        <w:gridCol w:w="60"/>
        <w:gridCol w:w="1055"/>
        <w:gridCol w:w="155"/>
        <w:gridCol w:w="60"/>
        <w:gridCol w:w="60"/>
        <w:gridCol w:w="1055"/>
        <w:gridCol w:w="155"/>
        <w:gridCol w:w="60"/>
        <w:gridCol w:w="60"/>
        <w:gridCol w:w="1055"/>
        <w:gridCol w:w="155"/>
        <w:gridCol w:w="60"/>
        <w:gridCol w:w="60"/>
        <w:gridCol w:w="1055"/>
        <w:gridCol w:w="170"/>
      </w:tblGrid>
      <w:tr>
        <w:trPr/>
        <w:tc>
          <w:tcPr>
            <w:tcW w:w="4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105" w:type="dxa"/>
            <w:gridSpan w:val="14"/>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Year Ended December 31,</w:t>
            </w:r>
          </w:p>
        </w:tc>
        <w:tc>
          <w:tcPr>
            <w:tcW w:w="170" w:type="dxa"/>
            <w:tcBorders/>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2024</w:t>
            </w:r>
          </w:p>
        </w:tc>
        <w:tc>
          <w:tcPr>
            <w:tcW w:w="170" w:type="dxa"/>
            <w:tcBorders/>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RMB</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0"/>
              <w:jc w:val="center"/>
              <w:rPr>
                <w:b/>
                <w:spacing w:val="0"/>
              </w:rPr>
            </w:pPr>
            <w:r>
              <w:rPr>
                <w:b/>
                <w:spacing w:val="0"/>
              </w:rPr>
              <w:t>US$</w:t>
            </w:r>
          </w:p>
        </w:tc>
        <w:tc>
          <w:tcPr>
            <w:tcW w:w="170" w:type="dxa"/>
            <w:tcBorders/>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Note 2(z)</w:t>
            </w:r>
          </w:p>
        </w:tc>
        <w:tc>
          <w:tcPr>
            <w:tcW w:w="170" w:type="dxa"/>
            <w:tcBorders/>
            <w:vAlign w:val="center"/>
          </w:tcPr>
          <w:p>
            <w:pPr>
              <w:pStyle w:val="TableContents"/>
              <w:bidi w:val="0"/>
              <w:spacing w:before="0" w:after="283"/>
              <w:jc w:val="left"/>
              <w:rPr/>
            </w:pPr>
            <w:r>
              <w:rPr/>
              <w:t> </w:t>
            </w:r>
          </w:p>
        </w:tc>
      </w:tr>
      <w:tr>
        <w:trPr/>
        <w:tc>
          <w:tcPr>
            <w:tcW w:w="48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 from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6,298,816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8,116,624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7,739,935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1,060,366</w:t>
            </w:r>
          </w:p>
        </w:tc>
        <w:tc>
          <w:tcPr>
            <w:tcW w:w="170" w:type="dxa"/>
            <w:tcBorders/>
            <w:vAlign w:val="center"/>
          </w:tcPr>
          <w:p>
            <w:pPr>
              <w:pStyle w:val="TableContents"/>
              <w:bidi w:val="0"/>
              <w:spacing w:before="0" w:after="283"/>
              <w:jc w:val="left"/>
              <w:rPr/>
            </w:pPr>
            <w:r>
              <w:rPr/>
              <w:t> </w:t>
            </w:r>
          </w:p>
        </w:tc>
      </w:tr>
      <w:tr>
        <w:trPr/>
        <w:tc>
          <w:tcPr>
            <w:tcW w:w="48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Adjustments to reconcile net income to net cash by operating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income of subsidiaries and VIEs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(6,317,707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(8,090,266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(7,757,671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(1,062,797</w:t>
            </w:r>
          </w:p>
        </w:tc>
        <w:tc>
          <w:tcPr>
            <w:tcW w:w="170" w:type="dxa"/>
            <w:tcBorders/>
            <w:vAlign w:val="center"/>
          </w:tcPr>
          <w:p>
            <w:pPr>
              <w:pStyle w:val="TableContents"/>
              <w:bidi w:val="0"/>
              <w:spacing w:before="0" w:after="283"/>
              <w:jc w:val="left"/>
              <w:rPr/>
            </w:pPr>
            <w:r>
              <w:rPr/>
              <w:t>) </w:t>
            </w:r>
          </w:p>
        </w:tc>
      </w:tr>
      <w:tr>
        <w:trPr/>
        <w:tc>
          <w:tcPr>
            <w:tcW w:w="4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Dividend received from subsidiaries and VIEs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1,681,107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230,311</w:t>
            </w:r>
          </w:p>
        </w:tc>
        <w:tc>
          <w:tcPr>
            <w:tcW w:w="170" w:type="dxa"/>
            <w:tcBorders/>
            <w:shd w:fill="CCEEFF" w:val="clear"/>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Changes in operating assets and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Other receivables and prepayments, net</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(3,374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w:t>
            </w:r>
          </w:p>
        </w:tc>
        <w:tc>
          <w:tcPr>
            <w:tcW w:w="170" w:type="dxa"/>
            <w:tcBorders/>
            <w:shd w:fill="CCEEFF" w:val="clear"/>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(54,750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(3,634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(51</w:t>
            </w:r>
          </w:p>
        </w:tc>
        <w:tc>
          <w:tcPr>
            <w:tcW w:w="170" w:type="dxa"/>
            <w:tcBorders/>
            <w:vAlign w:val="center"/>
          </w:tcPr>
          <w:p>
            <w:pPr>
              <w:pStyle w:val="TableContents"/>
              <w:bidi w:val="0"/>
              <w:spacing w:before="0" w:after="283"/>
              <w:jc w:val="left"/>
              <w:rPr/>
            </w:pPr>
            <w:r>
              <w:rPr/>
              <w:t>) </w:t>
            </w:r>
          </w:p>
        </w:tc>
      </w:tr>
      <w:tr>
        <w:trPr/>
        <w:tc>
          <w:tcPr>
            <w:tcW w:w="4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Deferred income</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(29,664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 provided by operating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(103,305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19,350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1,662,949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227,822</w:t>
            </w:r>
          </w:p>
        </w:tc>
        <w:tc>
          <w:tcPr>
            <w:tcW w:w="170" w:type="dxa"/>
            <w:tcBorders/>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Changes in amounts due from/to subsidiaries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6,362,371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5,086,910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3,887,078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532,528</w:t>
            </w:r>
          </w:p>
        </w:tc>
        <w:tc>
          <w:tcPr>
            <w:tcW w:w="170" w:type="dxa"/>
            <w:tcBorders/>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provided by investing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6,362,371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5,086,910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3,887,078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532,528</w:t>
            </w:r>
          </w:p>
        </w:tc>
        <w:tc>
          <w:tcPr>
            <w:tcW w:w="170" w:type="dxa"/>
            <w:tcBorders/>
            <w:shd w:fill="CCEEFF" w:val="clear"/>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1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Repurchase of ordinary shares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(6,257,703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(5,106,944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(3,865,781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(529,610</w:t>
            </w:r>
          </w:p>
        </w:tc>
        <w:tc>
          <w:tcPr>
            <w:tcW w:w="170" w:type="dxa"/>
            <w:tcBorders/>
            <w:shd w:fill="CCEEFF" w:val="clear"/>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distribution to shareholders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(1,684,721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(230,806</w:t>
            </w:r>
          </w:p>
        </w:tc>
        <w:tc>
          <w:tcPr>
            <w:tcW w:w="170" w:type="dxa"/>
            <w:tcBorders/>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cash used in financing activities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(6,257,703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(5,106,944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(5,550,502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(760,416</w:t>
            </w:r>
          </w:p>
        </w:tc>
        <w:tc>
          <w:tcPr>
            <w:tcW w:w="170" w:type="dxa"/>
            <w:tcBorders/>
            <w:shd w:fill="CCEEFF" w:val="clear"/>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Effect of exchange rate changes on cash and cash equivalents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Net increase(decrease) in cash and cash equivalents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1,287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(68</w:t>
            </w:r>
          </w:p>
        </w:tc>
        <w:tc>
          <w:tcPr>
            <w:tcW w:w="170" w:type="dxa"/>
            <w:tcBorders/>
            <w:shd w:fill="CCEEFF" w:val="clear"/>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 at beginning of the period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337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1,624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904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124</w:t>
            </w:r>
          </w:p>
        </w:tc>
        <w:tc>
          <w:tcPr>
            <w:tcW w:w="170" w:type="dxa"/>
            <w:tcBorders/>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single" w:sz="2" w:space="1" w:color="000000"/>
              </w:rPr>
            </w:pPr>
            <w:r>
              <w:rPr>
                <w:bdr w:val="single" w:sz="2" w:space="1" w:color="000000"/>
              </w:rPr>
              <w:t> </w:t>
            </w:r>
          </w:p>
        </w:tc>
        <w:tc>
          <w:tcPr>
            <w:tcW w:w="1055" w:type="dxa"/>
            <w:tcBorders/>
            <w:vAlign w:val="center"/>
          </w:tcPr>
          <w:p>
            <w:pPr>
              <w:pStyle w:val="TableContents"/>
              <w:bidi w:val="0"/>
              <w:spacing w:before="0" w:after="0"/>
              <w:jc w:val="left"/>
              <w:rPr>
                <w:bdr w:val="single" w:sz="2" w:space="1" w:color="000000"/>
              </w:rPr>
            </w:pPr>
            <w:r>
              <w:rPr>
                <w:bdr w:val="single" w:sz="2" w:space="1" w:color="000000"/>
              </w:rPr>
              <w:t> </w:t>
            </w:r>
          </w:p>
        </w:tc>
        <w:tc>
          <w:tcPr>
            <w:tcW w:w="170" w:type="dxa"/>
            <w:tcBorders/>
            <w:vAlign w:val="center"/>
          </w:tcPr>
          <w:p>
            <w:pPr>
              <w:pStyle w:val="TableContents"/>
              <w:bidi w:val="0"/>
              <w:spacing w:before="0" w:after="283"/>
              <w:jc w:val="left"/>
              <w:rPr/>
            </w:pPr>
            <w:r>
              <w:rPr/>
              <w:t> </w:t>
            </w:r>
          </w:p>
        </w:tc>
      </w:tr>
      <w:tr>
        <w:trPr/>
        <w:tc>
          <w:tcPr>
            <w:tcW w:w="481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end of the period</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904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411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56</w:t>
            </w:r>
          </w:p>
        </w:tc>
        <w:tc>
          <w:tcPr>
            <w:tcW w:w="170" w:type="dxa"/>
            <w:tcBorders/>
            <w:shd w:fill="CCEEFF" w:val="clear"/>
            <w:vAlign w:val="center"/>
          </w:tcPr>
          <w:p>
            <w:pPr>
              <w:pStyle w:val="TableContents"/>
              <w:bidi w:val="0"/>
              <w:spacing w:before="0" w:after="283"/>
              <w:jc w:val="left"/>
              <w:rPr/>
            </w:pPr>
            <w:r>
              <w:rPr/>
              <w:t> </w:t>
            </w:r>
          </w:p>
        </w:tc>
      </w:tr>
      <w:tr>
        <w:trPr/>
        <w:tc>
          <w:tcPr>
            <w:tcW w:w="4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bdr w:val="double" w:sz="6" w:space="1" w:color="000000"/>
              </w:rPr>
            </w:pPr>
            <w:r>
              <w:rPr>
                <w:bdr w:val="double" w:sz="6" w:space="1" w:color="000000"/>
              </w:rPr>
              <w:t> </w:t>
            </w:r>
          </w:p>
        </w:tc>
        <w:tc>
          <w:tcPr>
            <w:tcW w:w="1055" w:type="dxa"/>
            <w:tcBorders/>
            <w:vAlign w:val="center"/>
          </w:tcPr>
          <w:p>
            <w:pPr>
              <w:pStyle w:val="TableContents"/>
              <w:bidi w:val="0"/>
              <w:spacing w:before="0" w:after="0"/>
              <w:jc w:val="left"/>
              <w:rPr>
                <w:bdr w:val="double" w:sz="6" w:space="1" w:color="000000"/>
              </w:rPr>
            </w:pPr>
            <w:r>
              <w:rPr>
                <w:bdr w:val="double" w:sz="6" w:space="1" w:color="000000"/>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F-63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NOTE TO SCHEDULE I </w:t>
      </w:r>
    </w:p>
    <w:p>
      <w:pPr>
        <w:pStyle w:val="TextBody"/>
        <w:bidi w:val="0"/>
        <w:spacing w:before="0" w:after="0"/>
        <w:jc w:val="center"/>
        <w:rPr>
          <w:rFonts w:ascii="Times New Roman" w:hAnsi="Times New Roman"/>
          <w:b/>
          <w:sz w:val="20"/>
        </w:rPr>
      </w:pPr>
      <w:r>
        <w:rPr>
          <w:rFonts w:ascii="Times New Roman" w:hAnsi="Times New Roman"/>
          <w:b/>
          <w:sz w:val="20"/>
        </w:rPr>
        <w:t xml:space="preserve">(All amounts in thousands, except for share or per share data) </w:t>
      </w:r>
    </w:p>
    <w:p>
      <w:pPr>
        <w:pStyle w:val="TextBody"/>
        <w:bidi w:val="0"/>
        <w:spacing w:before="240" w:after="0"/>
        <w:jc w:val="left"/>
        <w:rPr>
          <w:rFonts w:ascii="Times New Roman" w:hAnsi="Times New Roman"/>
          <w:sz w:val="20"/>
        </w:rPr>
      </w:pPr>
      <w:r>
        <w:rPr>
          <w:rFonts w:ascii="Times New Roman" w:hAnsi="Times New Roman"/>
          <w:sz w:val="20"/>
        </w:rPr>
        <w:t xml:space="preserve">Schedule I has been provided pursuant to the requirement of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12-04(a)</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4-08(e)(3)</w:t>
      </w:r>
    </w:p>
    <w:p>
      <w:pPr>
        <w:pStyle w:val="TextBody"/>
        <w:bidi w:val="0"/>
        <w:spacing w:before="240" w:after="0"/>
        <w:jc w:val="left"/>
        <w:rPr>
          <w:rFonts w:ascii="Times New Roman" w:hAnsi="Times New Roman"/>
          <w:sz w:val="20"/>
        </w:rPr>
      </w:pPr>
      <w:r>
        <w:rPr>
          <w:rFonts w:ascii="Times New Roman" w:hAnsi="Times New Roman"/>
          <w:sz w:val="20"/>
        </w:rPr>
        <w:t xml:space="preserve">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S-X,</w:t>
      </w:r>
    </w:p>
    <w:p>
      <w:pPr>
        <w:pStyle w:val="TextBody"/>
        <w:bidi w:val="0"/>
        <w:spacing w:before="240" w:after="0"/>
        <w:jc w:val="left"/>
        <w:rPr>
          <w:rFonts w:ascii="Times New Roman" w:hAnsi="Times New Roman"/>
          <w:sz w:val="20"/>
        </w:rPr>
      </w:pPr>
      <w:r>
        <w:rPr>
          <w:rFonts w:ascii="Times New Roman" w:hAnsi="Times New Roman"/>
          <w:sz w:val="20"/>
        </w:rPr>
        <w:t xml:space="preserve">which require condensed financial information as to financial position, cash flows and results of operations of a parent company as of the same dates and for the same periods for which audited consolidated financial statements have been presented when the restricted net assets of the consolidated and unconsolidated subsidiaries together exceed 25 percent of consolidated net assets as of end of the most recently completed fiscal year.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RMB16.20 billion of the restricted capital, reserves and net asset are not available for distribution or transfer respectively, and as such, the condensed financial information of Vipshop Holdings Limited (“Parent Company”) has been presented. Relevant PRC laws and regulations also restrict the subsidiaries in PRC, the VIEs and VIEs’ subsidiaries from transferring a portion of their net assets to the Parent Company in the form of loans and advances or cash dividends.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years ended December 31, 2022, 2023 and 2024, cash dividends amounted to nil, nil and US$233.3 million were declared and paid by the Parent Company, respectively.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2024, there were no material contingencies, significant provisions of long-term obligations, and mandatory dividend or redemption requirements of redeemable shares or guarantees of the Parent Company, except for those which have been separately disclosed in the Consolidated Financial Statement, if any.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preparation </w:t>
      </w:r>
    </w:p>
    <w:p>
      <w:pPr>
        <w:pStyle w:val="TextBody"/>
        <w:bidi w:val="0"/>
        <w:spacing w:before="120" w:after="0"/>
        <w:jc w:val="left"/>
        <w:rPr>
          <w:rFonts w:ascii="Times New Roman" w:hAnsi="Times New Roman"/>
          <w:sz w:val="20"/>
        </w:rPr>
      </w:pPr>
      <w:r>
        <w:rPr>
          <w:rFonts w:ascii="Times New Roman" w:hAnsi="Times New Roman"/>
          <w:sz w:val="20"/>
        </w:rPr>
        <w:t xml:space="preserve">The condensed financial information of the Parent Company has been prepared using the same accounting policies as set out in its consolidated financial statements, except that the Parent Company has used the equity method to account for its investment in its subsidiaries, VIEs and VIEs’ subsidiaries. Accordingly, the condensed financial information presented herein represents the financial information of the Parent Company. </w:t>
      </w:r>
    </w:p>
    <w:p>
      <w:pPr>
        <w:pStyle w:val="TextBody"/>
        <w:bidi w:val="0"/>
        <w:spacing w:before="240" w:after="0"/>
        <w:ind w:left="0" w:right="0" w:hanging="0"/>
        <w:jc w:val="left"/>
        <w:rPr>
          <w:rFonts w:ascii="Times New Roman" w:hAnsi="Times New Roman"/>
          <w:spacing w:val="0"/>
          <w:sz w:val="20"/>
        </w:rPr>
      </w:pPr>
      <w:r>
        <w:rPr>
          <w:rFonts w:ascii="Times New Roman" w:hAnsi="Times New Roman"/>
          <w:spacing w:val="0"/>
          <w:sz w:val="20"/>
        </w:rPr>
        <w:t xml:space="preserve">Certain information and footnote disclosures normally included in financial statements prepared in accordance with U.S. GAAP have been condensed or omitted. The footnote discloses certain supplemental information relating to the operations of the Company and, as such, these statements should be read in conjunction with the notes to the accompanying Consolidated Financial Statements.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F-64 </w:t>
      </w:r>
    </w:p>
    <w:p>
      <w:pPr>
        <w:pStyle w:val="TextBody"/>
        <w:bidi w:val="0"/>
        <w:spacing w:before="0" w:after="0"/>
        <w:jc w:val="right"/>
        <w:rPr>
          <w:rFonts w:ascii="Times New Roman" w:hAnsi="Times New Roman"/>
          <w:b/>
          <w:sz w:val="20"/>
        </w:rPr>
      </w:pPr>
      <w:bookmarkStart w:id="40" w:name="d907177dex81.htm"/>
      <w:bookmarkStart w:id="41" w:name="ksd907177dex81"/>
      <w:bookmarkEnd w:id="40"/>
      <w:bookmarkEnd w:id="41"/>
      <w:r>
        <w:rPr>
          <w:rFonts w:ascii="Times New Roman" w:hAnsi="Times New Roman"/>
          <w:b/>
          <w:sz w:val="20"/>
        </w:rPr>
        <w:t xml:space="preserve">Exhibit 8.1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List of Significant Consolidated Entities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75"/>
        <w:gridCol w:w="120"/>
        <w:gridCol w:w="5010"/>
      </w:tblGrid>
      <w:tr>
        <w:trPr/>
        <w:tc>
          <w:tcPr>
            <w:tcW w:w="50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10" w:type="dxa"/>
            <w:tcBorders/>
            <w:vAlign w:val="center"/>
          </w:tcPr>
          <w:p>
            <w:pPr>
              <w:pStyle w:val="TableContents"/>
              <w:bidi w:val="0"/>
              <w:spacing w:before="0" w:after="283"/>
              <w:jc w:val="left"/>
              <w:rPr>
                <w:sz w:val="4"/>
                <w:szCs w:val="4"/>
              </w:rPr>
            </w:pPr>
            <w:r>
              <w:rPr>
                <w:sz w:val="4"/>
                <w:szCs w:val="4"/>
              </w:rPr>
            </w:r>
          </w:p>
        </w:tc>
      </w:tr>
      <w:tr>
        <w:trPr/>
        <w:tc>
          <w:tcPr>
            <w:tcW w:w="507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501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Jurisdiction of Incorporation</w:t>
            </w:r>
          </w:p>
        </w:tc>
      </w:tr>
      <w:tr>
        <w:trPr/>
        <w:tc>
          <w:tcPr>
            <w:tcW w:w="5075" w:type="dxa"/>
            <w:tcBorders/>
          </w:tcPr>
          <w:p>
            <w:pPr>
              <w:pStyle w:val="TableContents"/>
              <w:bidi w:val="0"/>
              <w:spacing w:before="0" w:after="0"/>
              <w:jc w:val="left"/>
              <w:rPr>
                <w:rFonts w:ascii="Times New Roman" w:hAnsi="Times New Roman"/>
                <w:b/>
                <w:sz w:val="20"/>
              </w:rPr>
            </w:pPr>
            <w:r>
              <w:rPr>
                <w:rFonts w:ascii="Times New Roman" w:hAnsi="Times New Roman"/>
                <w:b/>
                <w:sz w:val="20"/>
              </w:rPr>
              <w:t>Significant Subsidiaries:</w:t>
            </w:r>
          </w:p>
        </w:tc>
        <w:tc>
          <w:tcPr>
            <w:tcW w:w="120" w:type="dxa"/>
            <w:tcBorders/>
            <w:vAlign w:val="bottom"/>
          </w:tcPr>
          <w:p>
            <w:pPr>
              <w:pStyle w:val="TableContents"/>
              <w:bidi w:val="0"/>
              <w:spacing w:before="0" w:after="283"/>
              <w:jc w:val="left"/>
              <w:rPr/>
            </w:pPr>
            <w:r>
              <w:rPr/>
              <w:t>  </w:t>
            </w:r>
          </w:p>
        </w:tc>
        <w:tc>
          <w:tcPr>
            <w:tcW w:w="5010" w:type="dxa"/>
            <w:tcBorders/>
            <w:vAlign w:val="bottom"/>
          </w:tcPr>
          <w:p>
            <w:pPr>
              <w:pStyle w:val="TableContents"/>
              <w:bidi w:val="0"/>
              <w:spacing w:before="0" w:after="283"/>
              <w:jc w:val="left"/>
              <w:rPr>
                <w:sz w:val="4"/>
                <w:szCs w:val="4"/>
              </w:rPr>
            </w:pPr>
            <w:r>
              <w:rPr>
                <w:sz w:val="4"/>
                <w:szCs w:val="4"/>
              </w:rPr>
            </w:r>
          </w:p>
        </w:tc>
      </w:tr>
      <w:tr>
        <w:trPr/>
        <w:tc>
          <w:tcPr>
            <w:tcW w:w="50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Vipshop International Holdings Limited</w:t>
            </w:r>
          </w:p>
        </w:tc>
        <w:tc>
          <w:tcPr>
            <w:tcW w:w="120" w:type="dxa"/>
            <w:tcBorders/>
            <w:vAlign w:val="bottom"/>
          </w:tcPr>
          <w:p>
            <w:pPr>
              <w:pStyle w:val="TableContents"/>
              <w:bidi w:val="0"/>
              <w:spacing w:before="0" w:after="283"/>
              <w:jc w:val="left"/>
              <w:rPr/>
            </w:pPr>
            <w:r>
              <w:rPr/>
              <w:t>  </w:t>
            </w:r>
          </w:p>
        </w:tc>
        <w:tc>
          <w:tcPr>
            <w:tcW w:w="50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Hong Kong</w:t>
            </w:r>
          </w:p>
        </w:tc>
      </w:tr>
      <w:tr>
        <w:trPr/>
        <w:tc>
          <w:tcPr>
            <w:tcW w:w="50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Vipshop (China) Co., Ltd.</w:t>
            </w:r>
          </w:p>
        </w:tc>
        <w:tc>
          <w:tcPr>
            <w:tcW w:w="120" w:type="dxa"/>
            <w:tcBorders/>
            <w:vAlign w:val="bottom"/>
          </w:tcPr>
          <w:p>
            <w:pPr>
              <w:pStyle w:val="TableContents"/>
              <w:bidi w:val="0"/>
              <w:spacing w:before="0" w:after="283"/>
              <w:jc w:val="left"/>
              <w:rPr/>
            </w:pPr>
            <w:r>
              <w:rPr/>
              <w:t>  </w:t>
            </w:r>
          </w:p>
        </w:tc>
        <w:tc>
          <w:tcPr>
            <w:tcW w:w="50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PRC</w:t>
            </w:r>
          </w:p>
        </w:tc>
      </w:tr>
      <w:tr>
        <w:trPr/>
        <w:tc>
          <w:tcPr>
            <w:tcW w:w="50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Vipshop (Zhaoqing) E-Commerce Co., Ltd.</w:t>
            </w:r>
          </w:p>
        </w:tc>
        <w:tc>
          <w:tcPr>
            <w:tcW w:w="120" w:type="dxa"/>
            <w:tcBorders/>
            <w:vAlign w:val="bottom"/>
          </w:tcPr>
          <w:p>
            <w:pPr>
              <w:pStyle w:val="TableContents"/>
              <w:bidi w:val="0"/>
              <w:spacing w:before="0" w:after="283"/>
              <w:jc w:val="left"/>
              <w:rPr/>
            </w:pPr>
            <w:r>
              <w:rPr/>
              <w:t>  </w:t>
            </w:r>
          </w:p>
        </w:tc>
        <w:tc>
          <w:tcPr>
            <w:tcW w:w="50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PRC</w:t>
            </w:r>
          </w:p>
        </w:tc>
      </w:tr>
      <w:tr>
        <w:trPr/>
        <w:tc>
          <w:tcPr>
            <w:tcW w:w="50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Vipshop (Jianyang) E-Commerce Co., Ltd.</w:t>
            </w:r>
          </w:p>
        </w:tc>
        <w:tc>
          <w:tcPr>
            <w:tcW w:w="120" w:type="dxa"/>
            <w:tcBorders/>
            <w:vAlign w:val="bottom"/>
          </w:tcPr>
          <w:p>
            <w:pPr>
              <w:pStyle w:val="TableContents"/>
              <w:bidi w:val="0"/>
              <w:spacing w:before="0" w:after="283"/>
              <w:jc w:val="left"/>
              <w:rPr/>
            </w:pPr>
            <w:r>
              <w:rPr/>
              <w:t>  </w:t>
            </w:r>
          </w:p>
        </w:tc>
        <w:tc>
          <w:tcPr>
            <w:tcW w:w="50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PRC</w:t>
            </w:r>
          </w:p>
        </w:tc>
      </w:tr>
      <w:tr>
        <w:trPr/>
        <w:tc>
          <w:tcPr>
            <w:tcW w:w="50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Vipshop (Tianjin) E-Commerce Co., Ltd.</w:t>
            </w:r>
          </w:p>
        </w:tc>
        <w:tc>
          <w:tcPr>
            <w:tcW w:w="120" w:type="dxa"/>
            <w:tcBorders/>
            <w:vAlign w:val="bottom"/>
          </w:tcPr>
          <w:p>
            <w:pPr>
              <w:pStyle w:val="TableContents"/>
              <w:bidi w:val="0"/>
              <w:spacing w:before="0" w:after="283"/>
              <w:jc w:val="left"/>
              <w:rPr/>
            </w:pPr>
            <w:r>
              <w:rPr/>
              <w:t>  </w:t>
            </w:r>
          </w:p>
        </w:tc>
        <w:tc>
          <w:tcPr>
            <w:tcW w:w="50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PRC</w:t>
            </w:r>
          </w:p>
        </w:tc>
      </w:tr>
      <w:tr>
        <w:trPr/>
        <w:tc>
          <w:tcPr>
            <w:tcW w:w="50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Guangzhou Pinwei Software Co., Ltd.</w:t>
            </w:r>
          </w:p>
        </w:tc>
        <w:tc>
          <w:tcPr>
            <w:tcW w:w="120" w:type="dxa"/>
            <w:tcBorders/>
            <w:vAlign w:val="bottom"/>
          </w:tcPr>
          <w:p>
            <w:pPr>
              <w:pStyle w:val="TableContents"/>
              <w:bidi w:val="0"/>
              <w:spacing w:before="0" w:after="283"/>
              <w:jc w:val="left"/>
              <w:rPr/>
            </w:pPr>
            <w:r>
              <w:rPr/>
              <w:t>  </w:t>
            </w:r>
          </w:p>
        </w:tc>
        <w:tc>
          <w:tcPr>
            <w:tcW w:w="50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PRC</w:t>
            </w:r>
          </w:p>
        </w:tc>
      </w:tr>
      <w:tr>
        <w:trPr/>
        <w:tc>
          <w:tcPr>
            <w:tcW w:w="50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Chongqing Pinwei E-commerce Co., Ltd</w:t>
            </w:r>
          </w:p>
        </w:tc>
        <w:tc>
          <w:tcPr>
            <w:tcW w:w="120" w:type="dxa"/>
            <w:tcBorders/>
            <w:vAlign w:val="bottom"/>
          </w:tcPr>
          <w:p>
            <w:pPr>
              <w:pStyle w:val="TableContents"/>
              <w:bidi w:val="0"/>
              <w:spacing w:before="0" w:after="283"/>
              <w:jc w:val="left"/>
              <w:rPr/>
            </w:pPr>
            <w:r>
              <w:rPr/>
              <w:t>  </w:t>
            </w:r>
          </w:p>
        </w:tc>
        <w:tc>
          <w:tcPr>
            <w:tcW w:w="50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PRC</w:t>
            </w:r>
          </w:p>
        </w:tc>
      </w:tr>
      <w:tr>
        <w:trPr/>
        <w:tc>
          <w:tcPr>
            <w:tcW w:w="50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Vipshop (Guangzhou) Software Co., Ltd.</w:t>
            </w:r>
          </w:p>
        </w:tc>
        <w:tc>
          <w:tcPr>
            <w:tcW w:w="120" w:type="dxa"/>
            <w:tcBorders/>
            <w:vAlign w:val="bottom"/>
          </w:tcPr>
          <w:p>
            <w:pPr>
              <w:pStyle w:val="TableContents"/>
              <w:bidi w:val="0"/>
              <w:spacing w:before="0" w:after="283"/>
              <w:jc w:val="left"/>
              <w:rPr/>
            </w:pPr>
            <w:r>
              <w:rPr/>
              <w:t>  </w:t>
            </w:r>
          </w:p>
        </w:tc>
        <w:tc>
          <w:tcPr>
            <w:tcW w:w="50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PRC</w:t>
            </w:r>
          </w:p>
        </w:tc>
      </w:tr>
      <w:tr>
        <w:trPr/>
        <w:tc>
          <w:tcPr>
            <w:tcW w:w="5075" w:type="dxa"/>
            <w:tcBorders/>
          </w:tcPr>
          <w:p>
            <w:pPr>
              <w:pStyle w:val="TableContents"/>
              <w:bidi w:val="0"/>
              <w:spacing w:before="0" w:after="0"/>
              <w:jc w:val="left"/>
              <w:rPr>
                <w:rFonts w:ascii="Times New Roman" w:hAnsi="Times New Roman"/>
                <w:b/>
                <w:sz w:val="20"/>
              </w:rPr>
            </w:pPr>
            <w:r>
              <w:rPr>
                <w:rFonts w:ascii="Times New Roman" w:hAnsi="Times New Roman"/>
                <w:b/>
                <w:sz w:val="20"/>
              </w:rPr>
              <w:t>Significant Consolidated Variable Interest Entity:</w:t>
            </w:r>
          </w:p>
        </w:tc>
        <w:tc>
          <w:tcPr>
            <w:tcW w:w="120" w:type="dxa"/>
            <w:tcBorders/>
            <w:vAlign w:val="bottom"/>
          </w:tcPr>
          <w:p>
            <w:pPr>
              <w:pStyle w:val="TableContents"/>
              <w:bidi w:val="0"/>
              <w:spacing w:before="0" w:after="283"/>
              <w:jc w:val="left"/>
              <w:rPr/>
            </w:pPr>
            <w:r>
              <w:rPr/>
              <w:t>  </w:t>
            </w:r>
          </w:p>
        </w:tc>
        <w:tc>
          <w:tcPr>
            <w:tcW w:w="5010" w:type="dxa"/>
            <w:tcBorders/>
            <w:vAlign w:val="bottom"/>
          </w:tcPr>
          <w:p>
            <w:pPr>
              <w:pStyle w:val="TableContents"/>
              <w:bidi w:val="0"/>
              <w:spacing w:before="0" w:after="283"/>
              <w:jc w:val="left"/>
              <w:rPr>
                <w:sz w:val="4"/>
                <w:szCs w:val="4"/>
              </w:rPr>
            </w:pPr>
            <w:r>
              <w:rPr>
                <w:sz w:val="4"/>
                <w:szCs w:val="4"/>
              </w:rPr>
            </w:r>
          </w:p>
        </w:tc>
      </w:tr>
      <w:tr>
        <w:trPr/>
        <w:tc>
          <w:tcPr>
            <w:tcW w:w="507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Guangzhou Vipshop E-Commerce Co., Ltd.</w:t>
            </w:r>
          </w:p>
        </w:tc>
        <w:tc>
          <w:tcPr>
            <w:tcW w:w="120" w:type="dxa"/>
            <w:tcBorders/>
            <w:vAlign w:val="bottom"/>
          </w:tcPr>
          <w:p>
            <w:pPr>
              <w:pStyle w:val="TableContents"/>
              <w:bidi w:val="0"/>
              <w:spacing w:before="0" w:after="283"/>
              <w:jc w:val="left"/>
              <w:rPr/>
            </w:pPr>
            <w:r>
              <w:rPr/>
              <w:t>  </w:t>
            </w:r>
          </w:p>
        </w:tc>
        <w:tc>
          <w:tcPr>
            <w:tcW w:w="501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PRC</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consolidated variable interest entities of Vipshop Holdings Limited have been omitted from this list since, considered in the aggregate as a single entity, they would not constitute a significant subsidiary as of December 31, 2024. </w:t>
            </w:r>
          </w:p>
        </w:tc>
      </w:tr>
    </w:tbl>
    <w:p>
      <w:pPr>
        <w:pStyle w:val="TextBody"/>
        <w:bidi w:val="0"/>
        <w:spacing w:before="0" w:after="0"/>
        <w:jc w:val="right"/>
        <w:rPr>
          <w:rFonts w:ascii="Times New Roman" w:hAnsi="Times New Roman"/>
          <w:b/>
          <w:sz w:val="20"/>
        </w:rPr>
      </w:pPr>
      <w:bookmarkStart w:id="42" w:name="d907177dex112.htm"/>
      <w:bookmarkStart w:id="43" w:name="ksd907177dex112"/>
      <w:bookmarkEnd w:id="42"/>
      <w:bookmarkEnd w:id="43"/>
      <w:r>
        <w:rPr>
          <w:rFonts w:ascii="Times New Roman" w:hAnsi="Times New Roman"/>
          <w:b/>
          <w:sz w:val="20"/>
        </w:rPr>
        <w:t xml:space="preserve">Exhibit 11.2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STATEMENT OF POLICIES </w:t>
      </w:r>
    </w:p>
    <w:p>
      <w:pPr>
        <w:pStyle w:val="TextBody"/>
        <w:bidi w:val="0"/>
        <w:spacing w:before="0" w:after="0"/>
        <w:jc w:val="center"/>
        <w:rPr>
          <w:rFonts w:ascii="Times New Roman" w:hAnsi="Times New Roman"/>
          <w:b/>
          <w:sz w:val="20"/>
        </w:rPr>
      </w:pPr>
      <w:r>
        <w:rPr>
          <w:rFonts w:ascii="Times New Roman" w:hAnsi="Times New Roman"/>
          <w:b/>
          <w:sz w:val="20"/>
        </w:rPr>
        <w:t xml:space="preserve">GOVERNING MATERIAL NON-PUBLIC INFORMATION AND </w:t>
      </w:r>
    </w:p>
    <w:p>
      <w:pPr>
        <w:pStyle w:val="TextBody"/>
        <w:bidi w:val="0"/>
        <w:spacing w:before="0" w:after="0"/>
        <w:jc w:val="center"/>
        <w:rPr>
          <w:rFonts w:ascii="Times New Roman" w:hAnsi="Times New Roman"/>
          <w:b/>
          <w:sz w:val="20"/>
        </w:rPr>
      </w:pPr>
      <w:r>
        <w:rPr>
          <w:rFonts w:ascii="Times New Roman" w:hAnsi="Times New Roman"/>
          <w:b/>
          <w:sz w:val="20"/>
        </w:rPr>
        <w:t xml:space="preserve">THE PREVENTION OF INSIDER TRADING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by the Board of Directors of </w:t>
      </w:r>
    </w:p>
    <w:p>
      <w:pPr>
        <w:pStyle w:val="TextBody"/>
        <w:bidi w:val="0"/>
        <w:spacing w:before="0" w:after="0"/>
        <w:jc w:val="center"/>
        <w:rPr>
          <w:rFonts w:ascii="Times New Roman" w:hAnsi="Times New Roman"/>
          <w:b/>
          <w:sz w:val="20"/>
        </w:rPr>
      </w:pPr>
      <w:r>
        <w:rPr>
          <w:rFonts w:ascii="Times New Roman" w:hAnsi="Times New Roman"/>
          <w:b/>
          <w:sz w:val="20"/>
        </w:rPr>
        <w:t xml:space="preserve">Vipshop Holdings Limited) </w:t>
      </w:r>
    </w:p>
    <w:p>
      <w:pPr>
        <w:pStyle w:val="TextBody"/>
        <w:bidi w:val="0"/>
        <w:spacing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I. SUMMARY </w:t>
      </w:r>
    </w:p>
    <w:p>
      <w:pPr>
        <w:pStyle w:val="TextBody"/>
        <w:bidi w:val="0"/>
        <w:spacing w:before="240" w:after="0"/>
        <w:jc w:val="left"/>
        <w:rPr>
          <w:rFonts w:ascii="Times New Roman" w:hAnsi="Times New Roman"/>
          <w:sz w:val="20"/>
        </w:rPr>
      </w:pPr>
      <w:r>
        <w:rPr>
          <w:rFonts w:ascii="Times New Roman" w:hAnsi="Times New Roman"/>
          <w:sz w:val="20"/>
        </w:rPr>
        <w:t>The purpose of this Amended and Restated Statement of Policies Governing Material Non-Public Information and the Prevention of Insider Trading (this </w:t>
      </w:r>
      <w:r>
        <w:rPr>
          <w:rFonts w:ascii="Times New Roman" w:hAnsi="Times New Roman"/>
          <w:sz w:val="20"/>
          <w:u w:val="single"/>
        </w:rPr>
        <w:t>Statement</w:t>
      </w:r>
      <w:r>
        <w:rPr>
          <w:rFonts w:ascii="Times New Roman" w:hAnsi="Times New Roman"/>
          <w:sz w:val="20"/>
        </w:rPr>
        <w:t>) of the Company is to promote compliance with applicable securities laws. This Statement applies to all directors, officers, employees, and consultants of Vipshop Holdings Limited and its subsidiaries and the consolidated variable interest entities (collectively, the </w:t>
      </w:r>
      <w:r>
        <w:rPr>
          <w:rFonts w:ascii="Times New Roman" w:hAnsi="Times New Roman"/>
          <w:sz w:val="20"/>
          <w:u w:val="single"/>
        </w:rPr>
        <w:t>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Preventing insider trading is necessary to comply with United States securities laws and to preserve the reputation and integrity of the Company, as well as that of all persons affiliated with it. Insider trading occurs when any person purchases or sells any securities while in possession of inside information relating to the securities that is considered to be both material and non-public. Please see Section III for a discussion of what constitutes material and non-public information. </w:t>
      </w:r>
    </w:p>
    <w:p>
      <w:pPr>
        <w:pStyle w:val="TextBody"/>
        <w:bidi w:val="0"/>
        <w:spacing w:before="240" w:after="0"/>
        <w:jc w:val="left"/>
        <w:rPr>
          <w:rFonts w:ascii="Times New Roman" w:hAnsi="Times New Roman"/>
          <w:sz w:val="20"/>
        </w:rPr>
      </w:pPr>
      <w:r>
        <w:rPr>
          <w:rFonts w:ascii="Times New Roman" w:hAnsi="Times New Roman"/>
          <w:sz w:val="20"/>
        </w:rPr>
        <w:t>The Company considers strict compliance with the policies set forth in this Statement (collectively, the </w:t>
      </w:r>
      <w:r>
        <w:rPr>
          <w:rFonts w:ascii="Times New Roman" w:hAnsi="Times New Roman"/>
          <w:sz w:val="20"/>
          <w:u w:val="single"/>
        </w:rPr>
        <w:t>Policy</w:t>
      </w:r>
      <w:r>
        <w:rPr>
          <w:rFonts w:ascii="Times New Roman" w:hAnsi="Times New Roman"/>
          <w:sz w:val="20"/>
        </w:rPr>
        <w:t xml:space="preserve">) to be a matter of utmost importance. Violation of the Policy could cause extreme reputational damage and possible legal liability to you and the Company. Knowing or willful violations of the letter or spirit of the Policy will be grounds for immediate dismissal from the Company. Violation of the Policy might expose the violator to severe criminal penalties, as well as civil liability to any person harmed by the violation. The monetary damages flowing from a violation could be multiple times the profit realized by the violator, not to mention the attorneys fees of the persons harmed. </w:t>
      </w:r>
    </w:p>
    <w:p>
      <w:pPr>
        <w:pStyle w:val="TextBody"/>
        <w:bidi w:val="0"/>
        <w:spacing w:before="240" w:after="0"/>
        <w:jc w:val="left"/>
        <w:rPr>
          <w:rFonts w:ascii="Times New Roman" w:hAnsi="Times New Roman"/>
          <w:sz w:val="20"/>
        </w:rPr>
      </w:pPr>
      <w:r>
        <w:rPr>
          <w:rFonts w:ascii="Times New Roman" w:hAnsi="Times New Roman"/>
          <w:sz w:val="20"/>
        </w:rPr>
        <w:t xml:space="preserve">This Statement applies to all directors, officers, employees, and consultants of the Company and extends to all of such persons activities within and outside their duties at the Company. </w:t>
      </w:r>
    </w:p>
    <w:p>
      <w:pPr>
        <w:pStyle w:val="TextBody"/>
        <w:bidi w:val="0"/>
        <w:spacing w:before="240" w:after="0"/>
        <w:jc w:val="left"/>
        <w:rPr>
          <w:rFonts w:ascii="Times New Roman" w:hAnsi="Times New Roman"/>
          <w:sz w:val="20"/>
        </w:rPr>
      </w:pPr>
      <w:r>
        <w:rPr>
          <w:rFonts w:ascii="Times New Roman" w:hAnsi="Times New Roman"/>
          <w:sz w:val="20"/>
        </w:rPr>
        <w:t>Every director, officer, employee, and consultant of the Company must review this Statement, and when requested by the Company, must execute and return the Certificate of Compliance attached hereto to the senior finance director of the U.S. Reporting Department of the Company (the </w:t>
      </w:r>
      <w:r>
        <w:rPr>
          <w:rFonts w:ascii="Times New Roman" w:hAnsi="Times New Roman"/>
          <w:sz w:val="20"/>
          <w:u w:val="single"/>
        </w:rPr>
        <w:t>Compliance Officer</w:t>
      </w:r>
      <w:r>
        <w:rPr>
          <w:rFonts w:ascii="Times New Roman" w:hAnsi="Times New Roman"/>
          <w:sz w:val="20"/>
        </w:rPr>
        <w:t xml:space="preserve">), within seven (7) days after receiving the request. The Statement is subject to periodic review and the Certificate of Compliance is to be renewed from time to time at the request of the board of directors of the Company.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Questions regarding the Statement should be directed to the Compliance Officer. </w:t>
      </w:r>
    </w:p>
    <w:p>
      <w:pPr>
        <w:pStyle w:val="TextBody"/>
        <w:bidi w:val="0"/>
        <w:spacing w:before="480" w:after="0"/>
        <w:jc w:val="center"/>
        <w:rPr>
          <w:rFonts w:ascii="Times New Roman" w:hAnsi="Times New Roman"/>
          <w:b/>
          <w:sz w:val="20"/>
        </w:rPr>
      </w:pPr>
      <w:r>
        <w:rPr>
          <w:rFonts w:ascii="Times New Roman" w:hAnsi="Times New Roman"/>
          <w:b/>
          <w:sz w:val="20"/>
        </w:rPr>
        <w:t xml:space="preserve">II. POLICIES PROHIBITING INSIDER TRADING </w:t>
      </w:r>
    </w:p>
    <w:p>
      <w:pPr>
        <w:pStyle w:val="TextBody"/>
        <w:bidi w:val="0"/>
        <w:spacing w:before="240" w:after="0"/>
        <w:jc w:val="left"/>
        <w:rPr>
          <w:rFonts w:ascii="Times New Roman" w:hAnsi="Times New Roman"/>
          <w:sz w:val="20"/>
        </w:rPr>
      </w:pPr>
      <w:r>
        <w:rPr>
          <w:rFonts w:ascii="Times New Roman" w:hAnsi="Times New Roman"/>
          <w:sz w:val="20"/>
        </w:rPr>
        <w:t>For purposes of this Statement, the terms purchase and sell of securities exclude the acceptance of options or other share-based awards granted by the Company and the exercise of options or vesting of other share-based awards, if applicable, that does not involve the sale of securities. Among other things, the cashless exercise of options does involve the sale of securities and therefore is subject to the policies set forth below. The Policy does not apply to the exercise of a tax withholding right pursuant to which you elect to have the Company withhold ordinary shares or American Depositary Shares (</w:t>
      </w:r>
      <w:r>
        <w:rPr>
          <w:rFonts w:ascii="Times New Roman" w:hAnsi="Times New Roman"/>
          <w:sz w:val="20"/>
          <w:u w:val="single"/>
        </w:rPr>
        <w:t>ADSs</w:t>
      </w:r>
      <w:r>
        <w:rPr>
          <w:rFonts w:ascii="Times New Roman" w:hAnsi="Times New Roman"/>
          <w:sz w:val="20"/>
        </w:rPr>
        <w:t xml:space="preserve">) subject to an option or other award to satisfy tax withholding requirements.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u w:val="single"/>
              </w:rPr>
              <w:t>No</w:t>
            </w:r>
            <w:r>
              <w:rPr>
                <w:rFonts w:ascii="Times New Roman" w:hAnsi="Times New Roman"/>
                <w:sz w:val="20"/>
                <w:u w:val="single"/>
              </w:rPr>
              <w:t xml:space="preserve"> </w:t>
            </w:r>
            <w:r>
              <w:rPr>
                <w:rFonts w:ascii="Times New Roman" w:hAnsi="Times New Roman"/>
                <w:b/>
                <w:i/>
                <w:sz w:val="20"/>
                <w:u w:val="single"/>
              </w:rPr>
              <w:t>Trading</w:t>
            </w:r>
            <w:r>
              <w:rPr>
                <w:rFonts w:ascii="Times New Roman" w:hAnsi="Times New Roman"/>
                <w:sz w:val="20"/>
              </w:rPr>
              <w:t xml:space="preserve"> </w:t>
            </w:r>
            <w:r>
              <w:rPr>
                <w:rFonts w:ascii="Times New Roman" w:hAnsi="Times New Roman"/>
                <w:b/>
                <w:i/>
                <w:sz w:val="20"/>
              </w:rPr>
              <w:t></w:t>
            </w:r>
            <w:r>
              <w:rPr>
                <w:rFonts w:ascii="Times New Roman" w:hAnsi="Times New Roman"/>
                <w:sz w:val="20"/>
              </w:rPr>
              <w:t xml:space="preserve"> No director, officer, employee, or consultant of the Company may purchase or sell any ADSs, ordinary shares or other securities of the Company or enter into a binding security trading plan in compliance with Rule 10b5-1 under the U.S. Securities Exchange Act of 1934, as amended (a </w:t>
            </w:r>
            <w:r>
              <w:rPr>
                <w:rFonts w:ascii="Times New Roman" w:hAnsi="Times New Roman"/>
                <w:sz w:val="20"/>
                <w:u w:val="single"/>
              </w:rPr>
              <w:t>Trading Plan</w:t>
            </w:r>
            <w:r>
              <w:rPr>
                <w:rFonts w:ascii="Times New Roman" w:hAnsi="Times New Roman"/>
                <w:sz w:val="20"/>
              </w:rPr>
              <w:t>), while in possession of material non-public information relating to the Company or its ADSs, ordinary shares, or other securities (the </w:t>
            </w:r>
            <w:r>
              <w:rPr>
                <w:rFonts w:ascii="Times New Roman" w:hAnsi="Times New Roman"/>
                <w:sz w:val="20"/>
                <w:u w:val="single"/>
              </w:rPr>
              <w:t>Material Information</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In the event that the Material Information possessed by you relates to the ADSs or other securities of the Company, the above policy will require waiting for at least forty-eight (48) hours after public disclosure of the Material Information by the Company, which forty-eight (48) hours shall include in all events at least one full Trading Day on the New York Stock Exchange (the </w:t>
      </w:r>
      <w:r>
        <w:rPr>
          <w:rFonts w:ascii="Times New Roman" w:hAnsi="Times New Roman"/>
          <w:sz w:val="20"/>
          <w:u w:val="single"/>
        </w:rPr>
        <w:t>NYSE</w:t>
      </w:r>
      <w:r>
        <w:rPr>
          <w:rFonts w:ascii="Times New Roman" w:hAnsi="Times New Roman"/>
          <w:sz w:val="20"/>
        </w:rPr>
        <w:t xml:space="preserve">) following such public disclosure. The term Trading Day is defined as a day on which the NYSE is open for trading. Except for public holidays in the United States, the NYSEs regular trading hours are from 9:30 a.m. to 4:00 p.m., New York City time, Monday through Friday.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u w:val="single"/>
              </w:rPr>
              <w:t>Pre-Approval of Securities Transactions by Officers, Directors, and Key Employees</w:t>
            </w:r>
            <w:r>
              <w:rPr>
                <w:rFonts w:ascii="Times New Roman" w:hAnsi="Times New Roman"/>
                <w:sz w:val="20"/>
              </w:rPr>
              <w:t xml:space="preserve"> </w:t>
            </w:r>
            <w:r>
              <w:rPr>
                <w:rFonts w:ascii="Times New Roman" w:hAnsi="Times New Roman"/>
                <w:b/>
                <w:i/>
                <w:sz w:val="20"/>
              </w:rPr>
              <w:t></w:t>
            </w:r>
            <w:r>
              <w:rPr>
                <w:rFonts w:ascii="Times New Roman" w:hAnsi="Times New Roman"/>
                <w:sz w:val="20"/>
              </w:rPr>
              <w:t xml:space="preserve"> All transactions in the securities of the Company (including without limitation, acquisitions and dispositions of the ADSs, the sale of ordinary shares issued upon exercise of options or vesting of other share-based awards, and the execution of a Trading Plan, but excluding the acceptance of options or other share-based awards granted by the Company and the exercise of options or vesting of other share-based awards that does not involve the sale of securities) by directors, officers, and key employees designated by the Company from time to time must be pre-approved by the Compliance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i/>
                <w:sz w:val="20"/>
                <w:u w:val="single"/>
              </w:rPr>
              <w:t>Pre-Approval During Limited Trading Periods</w:t>
            </w:r>
            <w:r>
              <w:rPr>
                <w:rFonts w:ascii="Times New Roman" w:hAnsi="Times New Roman"/>
                <w:sz w:val="20"/>
              </w:rPr>
              <w:t xml:space="preserve"> </w:t>
            </w:r>
            <w:r>
              <w:rPr>
                <w:rFonts w:ascii="Times New Roman" w:hAnsi="Times New Roman"/>
                <w:b/>
                <w:i/>
                <w:sz w:val="20"/>
              </w:rPr>
              <w:t></w:t>
            </w:r>
            <w:r>
              <w:rPr>
                <w:rFonts w:ascii="Times New Roman" w:hAnsi="Times New Roman"/>
                <w:sz w:val="20"/>
              </w:rPr>
              <w:t xml:space="preserve"> No director, officer, employee, or consultant of the Company may purchase or sell any securities of the Company or enter into a Trading Plan, without the prior clearance by the Compliance Officer, during any period the Company has designated as a limited trading period by the Company, regardless of whether such director, officer, employee, or consultant possesses any Material Information. The Compliance Officer may declare limited trading periods at the times that she deems appropriate, and need not provide any reason for making a declaration.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u w:val="single"/>
              </w:rPr>
              <w:t>Trading</w:t>
            </w:r>
            <w:r>
              <w:rPr>
                <w:rFonts w:ascii="Times New Roman" w:hAnsi="Times New Roman"/>
                <w:sz w:val="20"/>
                <w:u w:val="single"/>
              </w:rPr>
              <w:t xml:space="preserve"> </w:t>
            </w:r>
            <w:r>
              <w:rPr>
                <w:rFonts w:ascii="Times New Roman" w:hAnsi="Times New Roman"/>
                <w:b/>
                <w:i/>
                <w:sz w:val="20"/>
                <w:u w:val="single"/>
              </w:rPr>
              <w:t>Window</w:t>
            </w:r>
            <w:r>
              <w:rPr>
                <w:rFonts w:ascii="Times New Roman" w:hAnsi="Times New Roman"/>
                <w:sz w:val="20"/>
              </w:rPr>
              <w:t xml:space="preserve"> </w:t>
            </w:r>
            <w:r>
              <w:rPr>
                <w:rFonts w:ascii="Times New Roman" w:hAnsi="Times New Roman"/>
                <w:b/>
                <w:i/>
                <w:sz w:val="20"/>
              </w:rPr>
              <w:t></w:t>
            </w:r>
            <w:r>
              <w:rPr>
                <w:rFonts w:ascii="Times New Roman" w:hAnsi="Times New Roman"/>
                <w:sz w:val="20"/>
              </w:rPr>
              <w:t xml:space="preserve"> Assuming none of the no trading restrictions set forth in Section II-A above applies, and that Section II-B and II-C have been complied with, as necessary, no director, officer, employee, or consultant of the Company may purchase or sell any securities of the Company or enter into a Trading Plan other than during a Trading Window. A Trading Window is the period in any fiscal quarter of the Company commencing at the close of business on the second Trading Day following the date of the Companys public disclosure of its financial results for the prior year or quarter, as applicable, and ending on December 31, March 31, June 30, or September 30, as the case may be.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other words, </w:t>
      </w:r>
    </w:p>
    <w:p>
      <w:pPr>
        <w:pStyle w:val="TextBody"/>
        <w:bidi w:val="0"/>
        <w:spacing w:before="240" w:after="0"/>
        <w:jc w:val="left"/>
        <w:rPr>
          <w:rFonts w:ascii="Times New Roman" w:hAnsi="Times New Roman"/>
          <w:sz w:val="20"/>
        </w:rPr>
      </w:pPr>
      <w:r>
        <w:rPr>
          <w:rFonts w:ascii="Times New Roman" w:hAnsi="Times New Roman"/>
          <w:sz w:val="20"/>
        </w:rPr>
        <w:t xml:space="preserve">(1) beginning on January 1 of each year,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year ended on December 31 of the prior year, and </w:t>
      </w:r>
    </w:p>
    <w:p>
      <w:pPr>
        <w:pStyle w:val="TextBody"/>
        <w:bidi w:val="0"/>
        <w:spacing w:before="240" w:after="0"/>
        <w:jc w:val="left"/>
        <w:rPr>
          <w:rFonts w:ascii="Times New Roman" w:hAnsi="Times New Roman"/>
          <w:sz w:val="20"/>
        </w:rPr>
      </w:pPr>
      <w:r>
        <w:rPr>
          <w:rFonts w:ascii="Times New Roman" w:hAnsi="Times New Roman"/>
          <w:sz w:val="20"/>
        </w:rPr>
        <w:t xml:space="preserve">(2) beginning on April 1, July 1, and October 1 of each year, respectively,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quarter ended on March 31, June 30, and September 30 of that year, respectively. </w:t>
      </w:r>
    </w:p>
    <w:p>
      <w:pPr>
        <w:pStyle w:val="TextBody"/>
        <w:bidi w:val="0"/>
        <w:spacing w:before="240" w:after="0"/>
        <w:jc w:val="left"/>
        <w:rPr>
          <w:rFonts w:ascii="Times New Roman" w:hAnsi="Times New Roman"/>
          <w:sz w:val="20"/>
        </w:rPr>
      </w:pPr>
      <w:r>
        <w:rPr>
          <w:rFonts w:ascii="Times New Roman" w:hAnsi="Times New Roman"/>
          <w:sz w:val="20"/>
        </w:rPr>
        <w:t xml:space="preserve">If the Companys public disclosure of its financial results for the prior period occurs on a Trading Day more than four hours before the NYSE closes, then such date of disclosure shall be considered the first Trading Day following such public disclosure. </w:t>
      </w:r>
    </w:p>
    <w:p>
      <w:pPr>
        <w:pStyle w:val="TextBody"/>
        <w:bidi w:val="0"/>
        <w:spacing w:before="240" w:after="0"/>
        <w:jc w:val="left"/>
        <w:rPr>
          <w:rFonts w:ascii="Times New Roman" w:hAnsi="Times New Roman"/>
          <w:sz w:val="20"/>
        </w:rPr>
      </w:pPr>
      <w:r>
        <w:rPr>
          <w:rFonts w:ascii="Times New Roman" w:hAnsi="Times New Roman"/>
          <w:sz w:val="20"/>
        </w:rPr>
        <w:t xml:space="preserve">Please note that trading in any securities of the Company during the Trading Window is not a safe harbor, and all directors, officers, employees, and consultants of the Company should strictly comply with all the policies set forth in this Statement. </w:t>
      </w:r>
    </w:p>
    <w:p>
      <w:pPr>
        <w:pStyle w:val="TextBody"/>
        <w:bidi w:val="0"/>
        <w:spacing w:before="240" w:after="0"/>
        <w:jc w:val="left"/>
        <w:rPr>
          <w:rFonts w:ascii="Times New Roman" w:hAnsi="Times New Roman"/>
          <w:sz w:val="20"/>
        </w:rPr>
      </w:pPr>
      <w:r>
        <w:rPr>
          <w:rFonts w:ascii="Times New Roman" w:hAnsi="Times New Roman"/>
          <w:b/>
          <w:sz w:val="20"/>
        </w:rPr>
        <w:t>When in doubt, do not trade! Check with the Compliance Officer first.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sale of securities of the Company pursuant to an existing Trading Plan which was entered into in accordance with the Policy and in compliance with applicable law is not subject to the restrictions on trading in this Section II.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u w:val="single"/>
              </w:rPr>
              <w:t>No Tipping</w:t>
            </w:r>
            <w:r>
              <w:rPr>
                <w:rFonts w:ascii="Times New Roman" w:hAnsi="Times New Roman"/>
                <w:sz w:val="20"/>
              </w:rPr>
              <w:t xml:space="preserve"> </w:t>
            </w:r>
            <w:r>
              <w:rPr>
                <w:rFonts w:ascii="Times New Roman" w:hAnsi="Times New Roman"/>
                <w:b/>
                <w:i/>
                <w:sz w:val="20"/>
              </w:rPr>
              <w:t></w:t>
            </w:r>
            <w:r>
              <w:rPr>
                <w:rFonts w:ascii="Times New Roman" w:hAnsi="Times New Roman"/>
                <w:sz w:val="20"/>
              </w:rPr>
              <w:t xml:space="preserve"> No director, officer, employee, or consultant of the Company may directly or indirectly disclose any Material Information to anyone who trades in securities (so-called tipping), regardless of whether the person or entity who receives the information, the tippee, is related to you and regardless of whether you receive any monetary benefit from the tippee.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i/>
                <w:sz w:val="20"/>
                <w:u w:val="single"/>
              </w:rPr>
              <w:t>Confidentiality</w:t>
            </w:r>
            <w:r>
              <w:rPr>
                <w:rFonts w:ascii="Times New Roman" w:hAnsi="Times New Roman"/>
                <w:sz w:val="20"/>
              </w:rPr>
              <w:t xml:space="preserve"> </w:t>
            </w:r>
            <w:r>
              <w:rPr>
                <w:rFonts w:ascii="Times New Roman" w:hAnsi="Times New Roman"/>
                <w:b/>
                <w:i/>
                <w:sz w:val="20"/>
              </w:rPr>
              <w:t></w:t>
            </w:r>
            <w:r>
              <w:rPr>
                <w:rFonts w:ascii="Times New Roman" w:hAnsi="Times New Roman"/>
                <w:sz w:val="20"/>
              </w:rPr>
              <w:t xml:space="preserve"> No director, officer, employee, or consultant of the Company may communicate any Material Information to anyone outside the Company under any circumstances unless approved by the Compliance Officer in advance, or to anyone within the Company other than on a need-to-know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G.</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i/>
                <w:sz w:val="20"/>
                <w:u w:val="single"/>
              </w:rPr>
              <w:t>No Comment</w:t>
            </w:r>
            <w:r>
              <w:rPr>
                <w:rFonts w:ascii="Times New Roman" w:hAnsi="Times New Roman"/>
                <w:sz w:val="20"/>
              </w:rPr>
              <w:t xml:space="preserve"> </w:t>
            </w:r>
            <w:r>
              <w:rPr>
                <w:rFonts w:ascii="Times New Roman" w:hAnsi="Times New Roman"/>
                <w:b/>
                <w:i/>
                <w:sz w:val="20"/>
              </w:rPr>
              <w:t></w:t>
            </w:r>
            <w:r>
              <w:rPr>
                <w:rFonts w:ascii="Times New Roman" w:hAnsi="Times New Roman"/>
                <w:sz w:val="20"/>
              </w:rPr>
              <w:t xml:space="preserve"> No director, officer, employee, or consultant of the Company may discuss any internal matters or developments of the Company with anyone outside the Company, except as required for the performance of regular corporate duties. Unless you are expressly authorized to the contrary, if you receive any inquiries about the Company or its securities by the financial press, research analysts or others, or any requests for comments or interviews, you are required to decline comment and direct the inquiry or request to the Company Chief Financial Officer, who is responsible for coordinating and overseeing the release of information of the Company to the investing public, analysts, and others in compliance with applicable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H.</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u w:val="single"/>
              </w:rPr>
              <w:t>Corrective Action</w:t>
            </w:r>
            <w:r>
              <w:rPr>
                <w:rFonts w:ascii="Times New Roman" w:hAnsi="Times New Roman"/>
                <w:sz w:val="20"/>
              </w:rPr>
              <w:t xml:space="preserve"> </w:t>
            </w:r>
            <w:r>
              <w:rPr>
                <w:rFonts w:ascii="Times New Roman" w:hAnsi="Times New Roman"/>
                <w:b/>
                <w:i/>
                <w:sz w:val="20"/>
              </w:rPr>
              <w:t></w:t>
            </w:r>
            <w:r>
              <w:rPr>
                <w:rFonts w:ascii="Times New Roman" w:hAnsi="Times New Roman"/>
                <w:sz w:val="20"/>
              </w:rPr>
              <w:t xml:space="preserve"> If you become aware that any potential Material Information has been or may have been inadvertently disclosed, you must notify the Compliance Officer immediately so that the Company can determine whether or not corrective action, such as general disclosure to the public, is warranted.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i/>
                <w:sz w:val="20"/>
                <w:u w:val="single"/>
              </w:rPr>
              <w:t>Rule 10b5-1 Trading Plans</w:t>
            </w:r>
            <w:r>
              <w:rPr>
                <w:rFonts w:ascii="Times New Roman" w:hAnsi="Times New Roman"/>
                <w:sz w:val="20"/>
              </w:rPr>
              <w:t xml:space="preserve"> </w:t>
            </w:r>
            <w:r>
              <w:rPr>
                <w:rFonts w:ascii="Times New Roman" w:hAnsi="Times New Roman"/>
                <w:b/>
                <w:i/>
                <w:sz w:val="20"/>
              </w:rPr>
              <w:t xml:space="preserve"> </w:t>
            </w:r>
            <w:r>
              <w:rPr>
                <w:rFonts w:ascii="Times New Roman" w:hAnsi="Times New Roman"/>
                <w:sz w:val="20"/>
              </w:rPr>
              <w:t xml:space="preserve">Rule 10b5-1 provides an affirmative defense against insider trading liability under U.S. securities laws. A person subject to this Policy can rely on this defense and trade in the Companys securities, regardless of their awareness of inside information, if the transaction occurs pursuant to a pre-arranged written Trading Plan that was entered into when the person was not in possession of material non-public information and that complies with the requirements of Rule 10b5-1.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Anyone subject to this Policy who wishes to enter into a Trading Plan must submit the Trading Plan to the Compliance Officer for approval at least five business days prior to the planned entry into the Trading Plan. Trading Plans may not be adopted by a person when he or she is in possession of material non-public information about the Company or its securities and must comply with the requirements of Rule 10b5-1 (including specified waiting periods and limitations on multiple overlapping plans and single trade plans). </w:t>
      </w:r>
    </w:p>
    <w:p>
      <w:pPr>
        <w:pStyle w:val="TextBody"/>
        <w:bidi w:val="0"/>
        <w:spacing w:before="240" w:after="0"/>
        <w:jc w:val="left"/>
        <w:rPr>
          <w:rFonts w:ascii="Times New Roman" w:hAnsi="Times New Roman"/>
          <w:sz w:val="20"/>
        </w:rPr>
      </w:pPr>
      <w:r>
        <w:rPr>
          <w:rFonts w:ascii="Times New Roman" w:hAnsi="Times New Roman"/>
          <w:sz w:val="20"/>
        </w:rPr>
        <w:t xml:space="preserve">Once a Trading Plan is adopted, you must not exercise any subsequent influence over the amount of securities to be traded, the price at which they are to be traded or the date(s) of the trade(s). You may amend or replace a Trading Plan only during periods when trading is permitted in accordance with this Policy, and you must submit any proposed amendment or replacement of a Trading Plan to the Compliance Officer for approval prior to adoption. You must provide notice to the Compliance Officer prior to terminating a Trading Plan. You should understand that a modification or termination of a Trading Plan may call into question your good faith in entering into and operating the plan (and therefore may jeopardize the availability of the affirmative defense against insider trading allegations).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III. EXPLANATION OF INSIDER TRADING </w:t>
      </w:r>
    </w:p>
    <w:p>
      <w:pPr>
        <w:pStyle w:val="TextBody"/>
        <w:bidi w:val="0"/>
        <w:spacing w:before="240" w:after="0"/>
        <w:jc w:val="left"/>
        <w:rPr>
          <w:rFonts w:ascii="Times New Roman" w:hAnsi="Times New Roman"/>
          <w:sz w:val="20"/>
        </w:rPr>
      </w:pPr>
      <w:r>
        <w:rPr>
          <w:rFonts w:ascii="Times New Roman" w:hAnsi="Times New Roman"/>
          <w:sz w:val="20"/>
        </w:rPr>
        <w:t xml:space="preserve">As noted above, insider trading refers to the purchase or sale of a security while in possession of material non-public information relating to the security. Securities include not only stocks, bonds, notes, and debentures, but also options, warrants and similar instruments. Purchase and sale are defined broadly under the U.S. federal securities laws.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the grant and exercise of stock options and acquisitions and exercises of warrants or puts, calls or other options related to a security. It is generally understood that insider trading includes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by insiders while in possession of material non-public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trading by persons other than insiders while in possession of material non-public information where the information either was given in breach of an insiders fiduciary duty to keep it confidential or was misappropriated;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communicating or tipping material non-public information to others, including recommending the purchase or sale of a security while in possession of material non-public information.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noted above, for purposes of this Statement, the terms purchase and sell of securities exclude the acceptance of options or other share-based awards granted by the Company and the exercise of options or vesting of other share-based awards that does not involve the sale of securities. Among other things, the cashless exercise of options does involve the sale of securities and therefore is subject to the policies set forth in this Statement. </w:t>
      </w:r>
    </w:p>
    <w:p>
      <w:pPr>
        <w:pStyle w:val="TextBody"/>
        <w:bidi w:val="0"/>
        <w:spacing w:before="240" w:after="0"/>
        <w:jc w:val="left"/>
        <w:rPr>
          <w:rFonts w:ascii="Times New Roman" w:hAnsi="Times New Roman"/>
          <w:sz w:val="20"/>
        </w:rPr>
      </w:pPr>
      <w:r>
        <w:rPr>
          <w:rFonts w:ascii="Times New Roman" w:hAnsi="Times New Roman"/>
          <w:sz w:val="20"/>
          <w:u w:val="single"/>
        </w:rPr>
        <w:t>What Facts are Material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securities. Information may be material even if it relates to future, speculative or contingent events and even if it is significant only when considered in combination with publicly available information. Material information can be positive or negative and can relate to virtually any aspect of a companys business or to any type of security, debt or equity. </w:t>
      </w:r>
    </w:p>
    <w:p>
      <w:pPr>
        <w:pStyle w:val="TextBody"/>
        <w:bidi w:val="0"/>
        <w:spacing w:before="240" w:after="0"/>
        <w:jc w:val="left"/>
        <w:rPr>
          <w:rFonts w:ascii="Times New Roman" w:hAnsi="Times New Roman"/>
          <w:sz w:val="20"/>
        </w:rPr>
      </w:pPr>
      <w:r>
        <w:rPr>
          <w:rFonts w:ascii="Times New Roman" w:hAnsi="Times New Roman"/>
          <w:sz w:val="20"/>
        </w:rPr>
        <w:t xml:space="preserve">Examples of material information include (but are not limited to) information concerning: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corporate earnings or earnings forecasts, or changes to previously released earnings announcements or guidance;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financial condition or asset value;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negotiations for the mergers or acquisitions or dispositions of significant subsidiaries or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new contracts or the loss of a significant contract;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new products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marketing plans or changes in such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capital investment plans or changes in such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material litigation, administrative action or governmental investigations or inquiries about the Company, any of its affiliated companies, or any of its officers or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borrowings or financings;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defaults on borrowings;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new equity or debt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adoption of repurchase plans or amendment of existing repurchase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personnel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cybersecurity incident or risk that may adversely impact the Companys business, reputation or share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methods and write-offs;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substantial change in industry circumstances or competitive conditions which could significantly affect the Companys earnings or prospects for expansion. </w:t>
            </w:r>
          </w:p>
        </w:tc>
      </w:tr>
    </w:tbl>
    <w:p>
      <w:pPr>
        <w:pStyle w:val="TextBody"/>
        <w:bidi w:val="0"/>
        <w:spacing w:before="240" w:after="0"/>
        <w:jc w:val="left"/>
        <w:rPr>
          <w:rFonts w:ascii="Times New Roman" w:hAnsi="Times New Roman"/>
          <w:sz w:val="20"/>
        </w:rPr>
      </w:pPr>
      <w:r>
        <w:rPr>
          <w:rFonts w:ascii="Times New Roman" w:hAnsi="Times New Roman"/>
          <w:b/>
          <w:sz w:val="20"/>
        </w:rPr>
        <w:t>A good general rule of thumb: when in doubt, do not trade.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What is Non-public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Information is non-public if it is not available to the general public. In order for information to be considered public, it must be widely disseminated in a manner making it generally available to investors through such media as </w:t>
      </w:r>
      <w:r>
        <w:rPr>
          <w:rFonts w:ascii="Times New Roman" w:hAnsi="Times New Roman"/>
          <w:sz w:val="20"/>
          <w:u w:val="single"/>
        </w:rPr>
        <w:t>Dow Jones</w:t>
      </w:r>
      <w:r>
        <w:rPr>
          <w:rFonts w:ascii="Times New Roman" w:hAnsi="Times New Roman"/>
          <w:sz w:val="20"/>
        </w:rPr>
        <w:t xml:space="preserve">, </w:t>
      </w:r>
      <w:r>
        <w:rPr>
          <w:rFonts w:ascii="Times New Roman" w:hAnsi="Times New Roman"/>
          <w:sz w:val="20"/>
          <w:u w:val="single"/>
        </w:rPr>
        <w:t>Reuters Economic Services</w:t>
      </w:r>
      <w:r>
        <w:rPr>
          <w:rFonts w:ascii="Times New Roman" w:hAnsi="Times New Roman"/>
          <w:sz w:val="20"/>
        </w:rPr>
        <w:t xml:space="preserve">, </w:t>
      </w:r>
      <w:r>
        <w:rPr>
          <w:rFonts w:ascii="Times New Roman" w:hAnsi="Times New Roman"/>
          <w:sz w:val="20"/>
          <w:u w:val="single"/>
        </w:rPr>
        <w:t>The Wall Street Journal</w:t>
      </w:r>
      <w:r>
        <w:rPr>
          <w:rFonts w:ascii="Times New Roman" w:hAnsi="Times New Roman"/>
          <w:sz w:val="20"/>
        </w:rPr>
        <w:t xml:space="preserve">, </w:t>
      </w:r>
      <w:r>
        <w:rPr>
          <w:rFonts w:ascii="Times New Roman" w:hAnsi="Times New Roman"/>
          <w:sz w:val="20"/>
          <w:u w:val="single"/>
        </w:rPr>
        <w:t>Bloomberg</w:t>
      </w:r>
      <w:r>
        <w:rPr>
          <w:rFonts w:ascii="Times New Roman" w:hAnsi="Times New Roman"/>
          <w:sz w:val="20"/>
        </w:rPr>
        <w:t xml:space="preserve">, </w:t>
      </w:r>
      <w:r>
        <w:rPr>
          <w:rFonts w:ascii="Times New Roman" w:hAnsi="Times New Roman"/>
          <w:sz w:val="20"/>
          <w:u w:val="single"/>
        </w:rPr>
        <w:t>Associated Press</w:t>
      </w:r>
      <w:r>
        <w:rPr>
          <w:rFonts w:ascii="Times New Roman" w:hAnsi="Times New Roman"/>
          <w:sz w:val="20"/>
        </w:rPr>
        <w:t xml:space="preserve">, </w:t>
      </w:r>
      <w:r>
        <w:rPr>
          <w:rFonts w:ascii="Times New Roman" w:hAnsi="Times New Roman"/>
          <w:sz w:val="20"/>
          <w:u w:val="single"/>
        </w:rPr>
        <w:t>PR Newswire</w:t>
      </w:r>
      <w:r>
        <w:rPr>
          <w:rFonts w:ascii="Times New Roman" w:hAnsi="Times New Roman"/>
          <w:sz w:val="20"/>
        </w:rPr>
        <w:t xml:space="preserve"> or </w:t>
      </w:r>
      <w:r>
        <w:rPr>
          <w:rFonts w:ascii="Times New Roman" w:hAnsi="Times New Roman"/>
          <w:sz w:val="20"/>
          <w:u w:val="single"/>
        </w:rPr>
        <w:t>United Press International</w:t>
      </w:r>
      <w:r>
        <w:rPr>
          <w:rFonts w:ascii="Times New Roman" w:hAnsi="Times New Roman"/>
          <w:sz w:val="20"/>
        </w:rPr>
        <w:t xml:space="preserve">. Circulation of rumors, even if accurate and reported in the media, does not constitute effective public dissemination.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Who is an Insider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Insiders include directors, officers, employees, and consultants of a company and anyone else who has material non-public information about a company. Insiders have independent fiduciary duties to their company and its shareholders not to trade on material non-public information relating to the companys securities. All directors, officers, employees and consultants of the Company are considered insiders with respect to material non-public information about business, activities and securities of the Company. The directors, officers, employees and consultants of the Company may not trade the Companys securities while in possession of material non-public information relating to the Company or tip (or communicate except on a need-to-know basis) such information to others. </w:t>
      </w:r>
    </w:p>
    <w:p>
      <w:pPr>
        <w:pStyle w:val="TextBody"/>
        <w:bidi w:val="0"/>
        <w:spacing w:before="240" w:after="0"/>
        <w:jc w:val="left"/>
        <w:rPr>
          <w:rFonts w:ascii="Times New Roman" w:hAnsi="Times New Roman"/>
          <w:sz w:val="20"/>
        </w:rPr>
      </w:pPr>
      <w:r>
        <w:rPr>
          <w:rFonts w:ascii="Times New Roman" w:hAnsi="Times New Roman"/>
          <w:sz w:val="20"/>
        </w:rPr>
        <w:t xml:space="preserve">It should be noted that trading by household members of a director, officer, employee or consultant can be the responsibility of such director, officer, employee or consultant under certain circumstances and could give rise to legal and Company-imposed sanctions. </w:t>
      </w:r>
    </w:p>
    <w:p>
      <w:pPr>
        <w:pStyle w:val="TextBody"/>
        <w:bidi w:val="0"/>
        <w:spacing w:before="240" w:after="0"/>
        <w:jc w:val="left"/>
        <w:rPr>
          <w:rFonts w:ascii="Times New Roman" w:hAnsi="Times New Roman"/>
          <w:sz w:val="20"/>
        </w:rPr>
      </w:pPr>
      <w:r>
        <w:rPr>
          <w:rFonts w:ascii="Times New Roman" w:hAnsi="Times New Roman"/>
          <w:sz w:val="20"/>
          <w:u w:val="single"/>
        </w:rPr>
        <w:t>Trading by Persons Other than Insiders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Insiders may be liable for communicating or tipping material non-public information to a third party (a </w:t>
      </w:r>
      <w:r>
        <w:rPr>
          <w:rFonts w:ascii="Times New Roman" w:hAnsi="Times New Roman"/>
          <w:sz w:val="20"/>
          <w:u w:val="single"/>
        </w:rPr>
        <w:t>tippee</w:t>
      </w:r>
      <w:r>
        <w:rPr>
          <w:rFonts w:ascii="Times New Roman" w:hAnsi="Times New Roman"/>
          <w:sz w:val="20"/>
        </w:rPr>
        <w:t xml:space="preserve">),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 </w:t>
      </w:r>
    </w:p>
    <w:p>
      <w:pPr>
        <w:pStyle w:val="TextBody"/>
        <w:bidi w:val="0"/>
        <w:spacing w:before="240" w:after="0"/>
        <w:jc w:val="left"/>
        <w:rPr>
          <w:rFonts w:ascii="Times New Roman" w:hAnsi="Times New Roman"/>
          <w:sz w:val="20"/>
        </w:rPr>
      </w:pPr>
      <w:r>
        <w:rPr>
          <w:rFonts w:ascii="Times New Roman" w:hAnsi="Times New Roman"/>
          <w:sz w:val="20"/>
        </w:rPr>
        <w:t xml:space="preserve">Tippees inherit an insiders duties and are liable for trading on material non-public information tipped to them by an insider. Similarly, just as insiders are liable for the insider trading of their tippees, so are tippees who pass the material non-public information along to others who trade on such information. In other words, a tippees liability for insider trading is no different from that of an insider. Tippees can obtain material non-public information by receiving overt tips from others or through, among other things, conversations at social, business, or other gatherings. </w:t>
      </w:r>
    </w:p>
    <w:p>
      <w:pPr>
        <w:pStyle w:val="TextBody"/>
        <w:bidi w:val="0"/>
        <w:spacing w:before="240" w:after="0"/>
        <w:jc w:val="left"/>
        <w:rPr>
          <w:rFonts w:ascii="Times New Roman" w:hAnsi="Times New Roman"/>
          <w:sz w:val="20"/>
        </w:rPr>
      </w:pPr>
      <w:r>
        <w:rPr>
          <w:rFonts w:ascii="Times New Roman" w:hAnsi="Times New Roman"/>
          <w:sz w:val="20"/>
          <w:u w:val="single"/>
        </w:rPr>
        <w:t>Penalties for Engaging in Insider Trading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Penalties for trading on or tipping material non-public information can extend significantly beyond any profits made or losses avoided, both for individuals engaging in the unlawful conduct and their employers. The United States Securities and Exchange Commission and the United States Department of Justice have made the civil and criminal prosecution of insider trading violations a top priority. Enforcement remedies available to the government or private plaintiffs under the U.S. federal securities laws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administrative sanctions;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sanctions by self-regulatory organizations in the securities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civil injunctions;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damage awards to private plaintiffs;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disgorgement of profits gained by the violator;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civil fines for the violator of up to three times the amount of profit gained or loss avoided by the violator;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civil fines for the employer or other controlling person of a violator (i.e., where the violator is an employee or other controlled person) of up to the greater of approximately US$2,500,000 or three times the amount of profit gained or loss avoided by the violator;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criminal fines for individual violators of up to US$5,000,000 (US$25,000,000 for an entity);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jail sentences of up to 20 years.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insider trading could result in serious sanctions by the Company, including immediate dismissal. Insider trading violations are not limited to violations of the U.S. federal securities laws. Other U.S. federal and state civil or criminal laws, such as the laws prohibiting mail and wire fraud and the Racketeer Influenced and Corrupt Organizations Act (RICO), also may be violated upon the occurrence of insider trading. </w:t>
      </w:r>
    </w:p>
    <w:p>
      <w:pPr>
        <w:pStyle w:val="TextBody"/>
        <w:bidi w:val="0"/>
        <w:spacing w:before="240" w:after="0"/>
        <w:jc w:val="left"/>
        <w:rPr>
          <w:rFonts w:ascii="Times New Roman" w:hAnsi="Times New Roman"/>
          <w:sz w:val="20"/>
        </w:rPr>
      </w:pPr>
      <w:r>
        <w:rPr>
          <w:rFonts w:ascii="Times New Roman" w:hAnsi="Times New Roman"/>
          <w:sz w:val="20"/>
          <w:u w:val="single"/>
        </w:rPr>
        <w:t>Material Non-public Information Regarding Other Companies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This Policy and the guidelines described herein also apply to material non-public information relating to other companies, including the Companys customers, vendors, and suppliers (the </w:t>
      </w:r>
      <w:r>
        <w:rPr>
          <w:rFonts w:ascii="Times New Roman" w:hAnsi="Times New Roman"/>
          <w:sz w:val="20"/>
          <w:u w:val="single"/>
        </w:rPr>
        <w:t>Business Partners</w:t>
      </w:r>
      <w:r>
        <w:rPr>
          <w:rFonts w:ascii="Times New Roman" w:hAnsi="Times New Roman"/>
          <w:sz w:val="20"/>
        </w:rPr>
        <w:t xml:space="preserve">), particularly when that information is obtained in the course of employment with, or other services performed by, or on behalf of, the Company. Civil and criminal penalties, and discipline, including termination of employment for cause, may result from trading on material non-public information regarding the Companys Business Partners. Each individual should treat material non-public information about the Companys Business Partners with the same care required with respect to information related directly to the Company. </w:t>
      </w:r>
    </w:p>
    <w:p>
      <w:pPr>
        <w:pStyle w:val="TextBody"/>
        <w:bidi w:val="0"/>
        <w:spacing w:before="240" w:after="0"/>
        <w:jc w:val="left"/>
        <w:rPr>
          <w:rFonts w:ascii="Times New Roman" w:hAnsi="Times New Roman"/>
          <w:sz w:val="20"/>
        </w:rPr>
      </w:pPr>
      <w:r>
        <w:rPr>
          <w:rFonts w:ascii="Times New Roman" w:hAnsi="Times New Roman"/>
          <w:sz w:val="20"/>
          <w:u w:val="single"/>
        </w:rPr>
        <w:t>Individual Responsibility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person subject to this Policy is individually responsible for complying with this Policy and ensuring the compliance of any family members, such as spouses, minor children, adult family members who share the same household, and any other person or entity whose securities trading decisions are influenced or controlled by the person whose transactions are subject to this Policy. Accordingly, you should make your family and household members aware of the need to confer with you before they trade in the Companys securities, and you should treat all such transactions for the purposes of this Policy and applicable securities laws concerning trading while in possession of material non-public information as if the transactions were for your own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u w:val="single"/>
        </w:rPr>
        <w:t>CERTIFICATION OF COMPLIANCE</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pPr>
            <w:r>
              <w:rPr/>
              <w:t>TO:</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pPr>
            <w:r>
              <w:rPr/>
              <w:t>FROM:</w:t>
            </w:r>
          </w:p>
        </w:tc>
        <w:tc>
          <w:tcPr>
            <w:tcW w:w="9083" w:type="dxa"/>
            <w:tcBorders/>
          </w:tcPr>
          <w:p>
            <w:pPr>
              <w:pStyle w:val="TableContents"/>
              <w:bidi w:val="0"/>
              <w:spacing w:before="0" w:after="0"/>
              <w:jc w:val="left"/>
              <w:rPr/>
            </w:pPr>
            <w:r>
              <w:rPr>
                <w:u w:val="single"/>
              </w:rPr>
              <w:t>          </w:t>
            </w:r>
            <w:r>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2"/>
        <w:gridCol w:w="9083"/>
      </w:tblGrid>
      <w:tr>
        <w:trPr/>
        <w:tc>
          <w:tcPr>
            <w:tcW w:w="1122" w:type="dxa"/>
            <w:tcBorders/>
          </w:tcPr>
          <w:p>
            <w:pPr>
              <w:pStyle w:val="TableContents"/>
              <w:bidi w:val="0"/>
              <w:spacing w:before="0" w:after="283"/>
              <w:jc w:val="left"/>
              <w:rPr/>
            </w:pPr>
            <w:r>
              <w:rPr/>
              <w:t>RE:</w:t>
            </w:r>
          </w:p>
        </w:tc>
        <w:tc>
          <w:tcPr>
            <w:tcW w:w="908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AMENDED AND RESTATED STATEMENT OF POLICIES OF VIPSHOP HOLDINGS LIMITED GOVERNING MATERIAL NON-PUBLIC INFORMATION AND THE PREVENTION OF INSIDER TRADING </w:t>
            </w:r>
          </w:p>
        </w:tc>
      </w:tr>
    </w:tbl>
    <w:p>
      <w:pPr>
        <w:pStyle w:val="TextBody"/>
        <w:bidi w:val="0"/>
        <w:spacing w:before="240" w:after="0"/>
        <w:jc w:val="left"/>
        <w:rPr>
          <w:rFonts w:ascii="Times New Roman" w:hAnsi="Times New Roman"/>
          <w:sz w:val="20"/>
        </w:rPr>
      </w:pPr>
      <w:r>
        <w:rPr>
          <w:rFonts w:ascii="Times New Roman" w:hAnsi="Times New Roman"/>
          <w:sz w:val="20"/>
        </w:rPr>
        <w:t>I have received, reviewed, and understand the policies set forth in the above-referenced Amended and Restated Statement of Policies (such policies, as amended from time to time, the </w:t>
      </w:r>
      <w:r>
        <w:rPr>
          <w:rFonts w:ascii="Times New Roman" w:hAnsi="Times New Roman"/>
          <w:sz w:val="20"/>
          <w:u w:val="single"/>
        </w:rPr>
        <w:t>Policy</w:t>
      </w:r>
      <w:r>
        <w:rPr>
          <w:rFonts w:ascii="Times New Roman" w:hAnsi="Times New Roman"/>
          <w:sz w:val="20"/>
        </w:rPr>
        <w:t xml:space="preserve">) and hereby undertake, as a condition to my present and continued employment at or association with Vipshop Holdings Limited or any of its subsidiaries or consolidated variable interest entities, to comply fully with the Policy. </w:t>
      </w:r>
    </w:p>
    <w:p>
      <w:pPr>
        <w:pStyle w:val="TextBody"/>
        <w:bidi w:val="0"/>
        <w:spacing w:before="240" w:after="0"/>
        <w:jc w:val="left"/>
        <w:rPr>
          <w:rFonts w:ascii="Times New Roman" w:hAnsi="Times New Roman"/>
          <w:sz w:val="20"/>
        </w:rPr>
      </w:pPr>
      <w:r>
        <w:rPr>
          <w:rFonts w:ascii="Times New Roman" w:hAnsi="Times New Roman"/>
          <w:sz w:val="20"/>
        </w:rPr>
        <w:t xml:space="preserve">I hereby certify that I have adhered to the Policy during the time period that I have been employed by or associated with Vipshop Holdings Limited or any of its subsidiaries or consolidated variable interest entities. </w:t>
      </w:r>
    </w:p>
    <w:p>
      <w:pPr>
        <w:pStyle w:val="TextBody"/>
        <w:bidi w:val="0"/>
        <w:spacing w:before="240" w:after="0"/>
        <w:jc w:val="left"/>
        <w:rPr>
          <w:rFonts w:ascii="Times New Roman" w:hAnsi="Times New Roman"/>
          <w:sz w:val="20"/>
        </w:rPr>
      </w:pPr>
      <w:r>
        <w:rPr>
          <w:rFonts w:ascii="Times New Roman" w:hAnsi="Times New Roman"/>
          <w:sz w:val="20"/>
        </w:rPr>
        <w:t xml:space="preserve">I hereby undertake to adhere to the Policy in the future.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135"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 xml:space="preserve">Signature: </w:t>
            </w:r>
            <w:r>
              <w:rPr>
                <w:b/>
                <w:u w:val="single"/>
              </w:rPr>
              <w:t>           </w:t>
            </w:r>
          </w:p>
        </w:tc>
      </w:tr>
      <w:tr>
        <w:trPr>
          <w:trHeight w:val="135"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 xml:space="preserve">Name: </w:t>
            </w:r>
            <w:r>
              <w:rPr>
                <w:b/>
                <w:u w:val="single"/>
              </w:rPr>
              <w:t>            </w:t>
            </w:r>
          </w:p>
        </w:tc>
      </w:tr>
      <w:tr>
        <w:trPr>
          <w:trHeight w:val="135"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 xml:space="preserve">ID Card Number: </w:t>
            </w:r>
            <w:r>
              <w:rPr>
                <w:b/>
                <w:u w:val="single"/>
              </w:rPr>
              <w:t>          </w:t>
            </w:r>
          </w:p>
        </w:tc>
      </w:tr>
      <w:tr>
        <w:trPr>
          <w:trHeight w:val="135"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 xml:space="preserve">Title: </w:t>
            </w:r>
            <w:r>
              <w:rPr>
                <w:b/>
                <w:u w:val="single"/>
              </w:rPr>
              <w:t>               </w:t>
            </w:r>
          </w:p>
        </w:tc>
      </w:tr>
      <w:tr>
        <w:trPr>
          <w:trHeight w:val="135"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 xml:space="preserve">Date: </w:t>
            </w:r>
            <w:r>
              <w:rPr>
                <w:b/>
                <w:u w:val="single"/>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 </w:t>
      </w:r>
    </w:p>
    <w:p>
      <w:pPr>
        <w:pStyle w:val="TextBody"/>
        <w:bidi w:val="0"/>
        <w:spacing w:before="0" w:after="0"/>
        <w:jc w:val="right"/>
        <w:rPr>
          <w:rFonts w:ascii="Times New Roman" w:hAnsi="Times New Roman"/>
          <w:b/>
          <w:sz w:val="20"/>
        </w:rPr>
      </w:pPr>
      <w:bookmarkStart w:id="44" w:name="d907177dex121.htm"/>
      <w:bookmarkStart w:id="45" w:name="ksd907177dex121"/>
      <w:bookmarkEnd w:id="44"/>
      <w:bookmarkEnd w:id="45"/>
      <w:r>
        <w:rPr>
          <w:rFonts w:ascii="Times New Roman" w:hAnsi="Times New Roman"/>
          <w:b/>
          <w:sz w:val="20"/>
        </w:rPr>
        <w:t xml:space="preserve">EXHIBIT 12.1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by the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Eric Ya Shen,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annual report on Form 20-F of Vipshop Holdings Limited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April 17, 2025</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Ya Shen</w:t>
            </w:r>
          </w:p>
        </w:tc>
      </w:tr>
      <w:tr>
        <w:trPr/>
        <w:tc>
          <w:tcPr>
            <w:tcW w:w="7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Eric Ya Shen</w:t>
            </w:r>
          </w:p>
        </w:tc>
      </w:tr>
      <w:tr>
        <w:trPr/>
        <w:tc>
          <w:tcPr>
            <w:tcW w:w="705"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46" w:name="d907177dex122.htm"/>
      <w:bookmarkStart w:id="47" w:name="ksd907177dex122"/>
      <w:bookmarkEnd w:id="46"/>
      <w:bookmarkEnd w:id="47"/>
      <w:r>
        <w:rPr>
          <w:rFonts w:ascii="Times New Roman" w:hAnsi="Times New Roman"/>
          <w:b/>
          <w:sz w:val="20"/>
        </w:rPr>
        <w:t xml:space="preserve">EXHIBIT 12.2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by the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Section 302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 Mark Wang, certify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have reviewed this annual report on Form 20-F of Vipshop Holdings Limited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Company as of, and for, the periods presented in this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Evaluated the effectiveness of the Companys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Companys other certifying officer and I have disclosed, based on our most recent evaluation of internal control over financial reporting, to the Companys auditors and the audit committee of the Companys board of directors (or persons performing the equivalent functions):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Companys ability to record, process, summarize and report financial information;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Companys internal control over financial reporting.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April 17, 2025</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Wang</w:t>
            </w:r>
          </w:p>
        </w:tc>
      </w:tr>
      <w:tr>
        <w:trPr/>
        <w:tc>
          <w:tcPr>
            <w:tcW w:w="70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Mark Wang</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48" w:name="d907177dex131.htm"/>
      <w:bookmarkStart w:id="49" w:name="ksd907177dex131"/>
      <w:bookmarkEnd w:id="48"/>
      <w:bookmarkEnd w:id="49"/>
      <w:r>
        <w:rPr>
          <w:rFonts w:ascii="Times New Roman" w:hAnsi="Times New Roman"/>
          <w:b/>
          <w:sz w:val="20"/>
        </w:rPr>
        <w:t xml:space="preserve">EXHIBIT 13.1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by the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of Vipshop Holdings Limited (the Company) on Form 20-F for the year ended December 31, 2024 as filed with the Securities and Exchange Commission on the date hereof (the Report), I, Eric Ya Shen, Chief Executive Officer of the Company, certify, pursuant to 18 U.S.C. Section 1350, as adopted pursuant to Section 906 of the Sarbanes-Oxley Act of 2002, that to my knowledge: </w:t>
      </w:r>
    </w:p>
    <w:p>
      <w:pPr>
        <w:pStyle w:val="TextBody"/>
        <w:bidi w:val="0"/>
        <w:spacing w:before="240" w:after="0"/>
        <w:jc w:val="left"/>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as amended; and </w:t>
      </w:r>
    </w:p>
    <w:p>
      <w:pPr>
        <w:pStyle w:val="TextBody"/>
        <w:bidi w:val="0"/>
        <w:spacing w:before="24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April 17, 2025</w:t>
            </w:r>
          </w:p>
        </w:tc>
      </w:tr>
      <w:tr>
        <w:trPr>
          <w:trHeight w:val="240" w:hRule="atLeast"/>
        </w:trPr>
        <w:tc>
          <w:tcPr>
            <w:tcW w:w="705" w:type="dxa"/>
            <w:tcBorders/>
            <w:vAlign w:val="center"/>
          </w:tcPr>
          <w:p>
            <w:pPr>
              <w:pStyle w:val="TableContents"/>
              <w:bidi w:val="0"/>
              <w:spacing w:before="0" w:after="283"/>
              <w:jc w:val="left"/>
              <w:rPr>
                <w:sz w:val="4"/>
                <w:szCs w:val="4"/>
              </w:rPr>
            </w:pPr>
            <w:r>
              <w:rPr>
                <w:sz w:val="4"/>
                <w:szCs w:val="4"/>
              </w:rPr>
            </w:r>
          </w:p>
        </w:tc>
        <w:tc>
          <w:tcPr>
            <w:tcW w:w="3377" w:type="dxa"/>
            <w:gridSpan w:val="2"/>
            <w:tcBorders/>
            <w:vAlign w:val="center"/>
          </w:tcPr>
          <w:p>
            <w:pPr>
              <w:pStyle w:val="TableContents"/>
              <w:bidi w:val="0"/>
              <w:spacing w:before="0" w:after="283"/>
              <w:jc w:val="left"/>
              <w:rPr>
                <w:sz w:val="4"/>
                <w:szCs w:val="4"/>
              </w:rPr>
            </w:pPr>
            <w:r>
              <w:rPr>
                <w:sz w:val="4"/>
                <w:szCs w:val="4"/>
              </w:rPr>
            </w:r>
          </w:p>
        </w:tc>
      </w:tr>
      <w:tr>
        <w:trPr/>
        <w:tc>
          <w:tcPr>
            <w:tcW w:w="705"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Eric Ya Shen</w:t>
            </w:r>
          </w:p>
        </w:tc>
      </w:tr>
      <w:tr>
        <w:trPr/>
        <w:tc>
          <w:tcPr>
            <w:tcW w:w="7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Eric Ya Shen</w:t>
            </w:r>
          </w:p>
        </w:tc>
      </w:tr>
      <w:tr>
        <w:trPr/>
        <w:tc>
          <w:tcPr>
            <w:tcW w:w="705"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50" w:name="d907177dex132.htm"/>
      <w:bookmarkStart w:id="51" w:name="ksd907177dex132"/>
      <w:bookmarkEnd w:id="50"/>
      <w:bookmarkEnd w:id="51"/>
      <w:r>
        <w:rPr>
          <w:rFonts w:ascii="Times New Roman" w:hAnsi="Times New Roman"/>
          <w:b/>
          <w:sz w:val="20"/>
        </w:rPr>
        <w:t xml:space="preserve">EXHIBIT 13.2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by the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Section 906 of the Sarbanes-Oxley Act of 2002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of Vipshop Holdings Limited (the Company) on Form 20-F for the year ended December 31, 2024 as filed with the Securities and Exchange Commission on the date hereof (the Report), I, Mark Wang, Chief Financial Officer of the Company, certify, pursuant to 18 U.S.C. Section 1350, as adopted pursuant to Section 906 of the Sarbanes-Oxley Act of 2002, that to my knowledge: </w:t>
      </w:r>
    </w:p>
    <w:p>
      <w:pPr>
        <w:pStyle w:val="TextBody"/>
        <w:bidi w:val="0"/>
        <w:spacing w:before="240" w:after="0"/>
        <w:jc w:val="left"/>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as amended; and </w:t>
      </w:r>
    </w:p>
    <w:p>
      <w:pPr>
        <w:pStyle w:val="TextBody"/>
        <w:bidi w:val="0"/>
        <w:spacing w:before="24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Company.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April 17, 2025</w:t>
            </w:r>
          </w:p>
        </w:tc>
      </w:tr>
      <w:tr>
        <w:trPr>
          <w:trHeight w:val="240" w:hRule="atLeast"/>
        </w:trPr>
        <w:tc>
          <w:tcPr>
            <w:tcW w:w="704" w:type="dxa"/>
            <w:tcBorders/>
            <w:vAlign w:val="center"/>
          </w:tcPr>
          <w:p>
            <w:pPr>
              <w:pStyle w:val="TableContents"/>
              <w:bidi w:val="0"/>
              <w:spacing w:before="0" w:after="283"/>
              <w:jc w:val="left"/>
              <w:rPr>
                <w:sz w:val="4"/>
                <w:szCs w:val="4"/>
              </w:rPr>
            </w:pPr>
            <w:r>
              <w:rPr>
                <w:sz w:val="4"/>
                <w:szCs w:val="4"/>
              </w:rPr>
            </w:r>
          </w:p>
        </w:tc>
        <w:tc>
          <w:tcPr>
            <w:tcW w:w="3378" w:type="dxa"/>
            <w:gridSpan w:val="2"/>
            <w:tcBorders/>
            <w:vAlign w:val="center"/>
          </w:tcPr>
          <w:p>
            <w:pPr>
              <w:pStyle w:val="TableContents"/>
              <w:bidi w:val="0"/>
              <w:spacing w:before="0" w:after="283"/>
              <w:jc w:val="left"/>
              <w:rPr>
                <w:sz w:val="4"/>
                <w:szCs w:val="4"/>
              </w:rPr>
            </w:pPr>
            <w:r>
              <w:rPr>
                <w:sz w:val="4"/>
                <w:szCs w:val="4"/>
              </w:rPr>
            </w:r>
          </w:p>
        </w:tc>
      </w:tr>
      <w:tr>
        <w:trPr/>
        <w:tc>
          <w:tcPr>
            <w:tcW w:w="70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Wang</w:t>
            </w:r>
          </w:p>
        </w:tc>
      </w:tr>
      <w:tr>
        <w:trPr/>
        <w:tc>
          <w:tcPr>
            <w:tcW w:w="70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Mark Wang</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52" w:name="d907177dex151.htm"/>
      <w:bookmarkStart w:id="53" w:name="ksd907177dex151"/>
      <w:bookmarkEnd w:id="52"/>
      <w:bookmarkEnd w:id="53"/>
      <w:r>
        <w:rPr>
          <w:rFonts w:ascii="Times New Roman" w:hAnsi="Times New Roman"/>
          <w:b/>
          <w:sz w:val="20"/>
        </w:rPr>
        <w:t xml:space="preserve">EXHIBIT 15.1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Registration Statements Nos. 333-181559, 333-199515, 333-222218, 333-248504 and 333-272113 on Form S-8 of our reports dated April 17, 2025, relating to the financial statements of Vipshop Holdings Limited and the effectiveness of Vipshop Holdings Limiteds internal control over financial reporting appearing in this Annual Report on Form 20-F for the year ended December 31, 2024.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Deloitte Touche Tohmatsu</w:t>
            </w:r>
          </w:p>
        </w:tc>
      </w:tr>
      <w:tr>
        <w:trPr/>
        <w:tc>
          <w:tcPr>
            <w:tcW w:w="4082" w:type="dxa"/>
            <w:tcBorders/>
          </w:tcPr>
          <w:p>
            <w:pPr>
              <w:pStyle w:val="TableContents"/>
              <w:bidi w:val="0"/>
              <w:spacing w:before="0" w:after="283"/>
              <w:jc w:val="left"/>
              <w:rPr/>
            </w:pPr>
            <w:r>
              <w:rPr/>
              <w:t>Deloitte Touche Tohmatsu</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Certified Public Accountants</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Hong Kong</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April 17, 2025</w:t>
            </w:r>
          </w:p>
        </w:tc>
      </w:tr>
    </w:tbl>
    <w:p>
      <w:pPr>
        <w:pStyle w:val="TextBody"/>
        <w:bidi w:val="0"/>
        <w:spacing w:before="0" w:after="0"/>
        <w:jc w:val="right"/>
        <w:rPr>
          <w:rFonts w:ascii="Times New Roman" w:hAnsi="Times New Roman"/>
          <w:b/>
          <w:sz w:val="20"/>
        </w:rPr>
      </w:pPr>
      <w:bookmarkStart w:id="54" w:name="d907177dex152.htm"/>
      <w:bookmarkStart w:id="55" w:name="ksd907177dex152"/>
      <w:bookmarkEnd w:id="54"/>
      <w:bookmarkEnd w:id="55"/>
      <w:r>
        <w:rPr>
          <w:rFonts w:ascii="Times New Roman" w:hAnsi="Times New Roman"/>
          <w:b/>
          <w:sz w:val="20"/>
        </w:rPr>
        <w:t xml:space="preserve">Exhibit 15.2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72"/>
        <w:gridCol w:w="122"/>
        <w:gridCol w:w="3711"/>
      </w:tblGrid>
      <w:tr>
        <w:trPr/>
        <w:tc>
          <w:tcPr>
            <w:tcW w:w="637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6372" w:type="dxa"/>
            <w:tcBorders/>
          </w:tcPr>
          <w:p>
            <w:pPr>
              <w:pStyle w:val="TableContents"/>
              <w:bidi w:val="0"/>
              <w:spacing w:before="0" w:after="0"/>
              <w:jc w:val="left"/>
              <w:rPr>
                <w:rFonts w:ascii="Times New Roman" w:hAnsi="Times New Roman"/>
                <w:sz w:val="20"/>
              </w:rPr>
            </w:pPr>
            <w:r>
              <w:rPr>
                <w:rFonts w:ascii="Times New Roman" w:hAnsi="Times New Roman"/>
                <w:sz w:val="20"/>
              </w:rPr>
              <w:t>9/F, Office Tower C1, Oriental Plaza, 1 East Chang An Ave., Dongcheng District</w:t>
            </w:r>
          </w:p>
          <w:p>
            <w:pPr>
              <w:pStyle w:val="TableContents"/>
              <w:bidi w:val="0"/>
              <w:spacing w:before="0" w:after="0"/>
              <w:jc w:val="left"/>
              <w:rPr>
                <w:rFonts w:ascii="Times New Roman" w:hAnsi="Times New Roman"/>
                <w:sz w:val="20"/>
              </w:rPr>
            </w:pPr>
            <w:r>
              <w:rPr>
                <w:rFonts w:ascii="Times New Roman" w:hAnsi="Times New Roman"/>
                <w:sz w:val="20"/>
              </w:rPr>
              <w:t>Beijing 100738, PRC</w:t>
            </w:r>
          </w:p>
          <w:p>
            <w:pPr>
              <w:pStyle w:val="TableContents"/>
              <w:bidi w:val="0"/>
              <w:spacing w:before="0" w:after="0"/>
              <w:jc w:val="left"/>
              <w:rPr>
                <w:rFonts w:ascii="Times New Roman" w:hAnsi="Times New Roman"/>
                <w:sz w:val="20"/>
              </w:rPr>
            </w:pPr>
            <w:r>
              <w:rPr>
                <w:rFonts w:ascii="Times New Roman" w:hAnsi="Times New Roman"/>
                <w:sz w:val="20"/>
              </w:rPr>
              <w:t>Tel: +86 10 8525 5500 Fax: +86 10 8525 5511 / 8525 5522</w:t>
            </w:r>
          </w:p>
          <w:p>
            <w:pPr>
              <w:pStyle w:val="TableContents"/>
              <w:bidi w:val="0"/>
              <w:spacing w:before="0" w:after="0"/>
              <w:jc w:val="left"/>
              <w:rPr>
                <w:rFonts w:ascii="Times New Roman" w:hAnsi="Times New Roman"/>
                <w:sz w:val="20"/>
              </w:rPr>
            </w:pPr>
            <w:r>
              <w:rPr>
                <w:rFonts w:ascii="Times New Roman" w:hAnsi="Times New Roman"/>
                <w:sz w:val="20"/>
              </w:rPr>
              <w:t>Beijing · Shanghai · Shenzhen · Hong Kong · Haikou · Wuhan  · Singapore · New York</w:t>
            </w:r>
          </w:p>
          <w:p>
            <w:pPr>
              <w:pStyle w:val="TableContents"/>
              <w:bidi w:val="0"/>
              <w:spacing w:before="0" w:after="20"/>
              <w:jc w:val="left"/>
              <w:rPr>
                <w:rFonts w:ascii="Times New Roman" w:hAnsi="Times New Roman"/>
                <w:sz w:val="20"/>
                <w:u w:val="single"/>
              </w:rPr>
            </w:pPr>
            <w:r>
              <w:rPr>
                <w:rFonts w:ascii="Times New Roman" w:hAnsi="Times New Roman"/>
                <w:sz w:val="20"/>
                <w:u w:val="single"/>
              </w:rPr>
              <w:t>www.hankunlaw.com</w:t>
            </w:r>
          </w:p>
        </w:tc>
        <w:tc>
          <w:tcPr>
            <w:tcW w:w="122" w:type="dxa"/>
            <w:tcBorders/>
            <w:vAlign w:val="bottom"/>
          </w:tcPr>
          <w:p>
            <w:pPr>
              <w:pStyle w:val="TableContents"/>
              <w:bidi w:val="0"/>
              <w:spacing w:before="0" w:after="283"/>
              <w:jc w:val="left"/>
              <w:rPr/>
            </w:pPr>
            <w:r>
              <w:rPr/>
              <w:t>  </w:t>
            </w:r>
          </w:p>
        </w:tc>
        <w:tc>
          <w:tcPr>
            <w:tcW w:w="3711" w:type="dxa"/>
            <w:tcBorders/>
          </w:tcPr>
          <w:p>
            <w:pPr>
              <w:pStyle w:val="TableContents"/>
              <w:bidi w:val="0"/>
              <w:spacing w:before="0" w:after="283"/>
              <w:jc w:val="right"/>
              <w:rPr/>
            </w:pPr>
            <w:r>
              <w:rPr/>
              <w:drawing>
                <wp:inline distT="0" distB="0" distL="0" distR="0">
                  <wp:extent cx="1095375"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5"/>
                          <a:stretch>
                            <a:fillRect/>
                          </a:stretch>
                        </pic:blipFill>
                        <pic:spPr bwMode="auto">
                          <a:xfrm>
                            <a:off x="0" y="0"/>
                            <a:ext cx="1095375" cy="457200"/>
                          </a:xfrm>
                          <a:prstGeom prst="rect">
                            <a:avLst/>
                          </a:prstGeom>
                        </pic:spPr>
                      </pic:pic>
                    </a:graphicData>
                  </a:graphic>
                </wp:inline>
              </w:drawing>
            </w:r>
            <w:r>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April 17, 2025 </w:t>
      </w:r>
    </w:p>
    <w:p>
      <w:pPr>
        <w:pStyle w:val="TextBody"/>
        <w:bidi w:val="0"/>
        <w:spacing w:before="240" w:after="0"/>
        <w:jc w:val="left"/>
        <w:rPr>
          <w:rFonts w:ascii="Times New Roman" w:hAnsi="Times New Roman"/>
          <w:sz w:val="20"/>
        </w:rPr>
      </w:pPr>
      <w:r>
        <w:rPr>
          <w:rFonts w:ascii="Times New Roman" w:hAnsi="Times New Roman"/>
          <w:b/>
          <w:sz w:val="20"/>
        </w:rPr>
        <w:t>VIPSHOP HOLDINGS LIMITED</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128 Dingxin Road, </w:t>
      </w:r>
    </w:p>
    <w:p>
      <w:pPr>
        <w:pStyle w:val="TextBody"/>
        <w:bidi w:val="0"/>
        <w:spacing w:before="0" w:after="0"/>
        <w:jc w:val="left"/>
        <w:rPr>
          <w:rFonts w:ascii="Times New Roman" w:hAnsi="Times New Roman"/>
          <w:sz w:val="20"/>
        </w:rPr>
      </w:pPr>
      <w:r>
        <w:rPr>
          <w:rFonts w:ascii="Times New Roman" w:hAnsi="Times New Roman"/>
          <w:sz w:val="20"/>
        </w:rPr>
        <w:t xml:space="preserve">Haizhu District, Guangzhou 510220 </w:t>
      </w:r>
    </w:p>
    <w:p>
      <w:pPr>
        <w:pStyle w:val="TextBody"/>
        <w:bidi w:val="0"/>
        <w:spacing w:before="0" w:after="0"/>
        <w:jc w:val="left"/>
        <w:rPr>
          <w:rFonts w:ascii="Times New Roman" w:hAnsi="Times New Roman"/>
          <w:sz w:val="20"/>
        </w:rPr>
      </w:pPr>
      <w:r>
        <w:rPr>
          <w:rFonts w:ascii="Times New Roman" w:hAnsi="Times New Roman"/>
          <w:sz w:val="20"/>
        </w:rPr>
        <w:t xml:space="preserve">Peoples Republic of China </w:t>
      </w:r>
    </w:p>
    <w:p>
      <w:pPr>
        <w:pStyle w:val="TextBody"/>
        <w:bidi w:val="0"/>
        <w:spacing w:before="240" w:after="0"/>
        <w:jc w:val="left"/>
        <w:rPr>
          <w:rFonts w:ascii="Times New Roman" w:hAnsi="Times New Roman"/>
          <w:sz w:val="20"/>
        </w:rPr>
      </w:pPr>
      <w:r>
        <w:rPr>
          <w:rFonts w:ascii="Times New Roman" w:hAnsi="Times New Roman"/>
          <w:sz w:val="20"/>
        </w:rPr>
        <w:t xml:space="preserve">Dear Sir/Madam: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 to our firm in Vipshop Holdings Limiteds Annual Report on Form 20-F for the fiscal year ended December 31, 2024, which will be filed by Vipshop Holdings Limited in April 2025 with the Securities and Exchange Commission pursuant to Section 13 or 15(d) of the Securities Exchange Act of 1934, and further consent to the incorporation by reference of the summaries of our opinions that appear in the Annual Report on Form 20-F of Vipshop Holdings Limited into its Registration Statements on Form S-8 (No. 333-181559, No. 333-199515, No. 333-222218, No. 333-248504, and No. 333-272113). </w:t>
      </w:r>
    </w:p>
    <w:p>
      <w:pPr>
        <w:pStyle w:val="TextBody"/>
        <w:bidi w:val="0"/>
        <w:spacing w:before="240" w:after="0"/>
        <w:jc w:val="left"/>
        <w:rPr>
          <w:rFonts w:ascii="Times New Roman" w:hAnsi="Times New Roman"/>
          <w:sz w:val="20"/>
        </w:rPr>
      </w:pPr>
      <w:r>
        <w:rPr>
          <w:rFonts w:ascii="Times New Roman" w:hAnsi="Times New Roman"/>
          <w:sz w:val="20"/>
        </w:rPr>
        <w:t xml:space="preserve">In giving such consent, we do not thereby admit that we come within the category of persons whose consent is required under Section 7 of the Securities Act of 1933, or under the Securities Exchange Act of 1934, in each case, as amended, or the regulations promulgated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Yours 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HAN KUN LAW OFFICES</w:t>
            </w:r>
          </w:p>
        </w:tc>
      </w:tr>
      <w:tr>
        <w:trPr/>
        <w:tc>
          <w:tcPr>
            <w:tcW w:w="4082" w:type="dxa"/>
            <w:tcBorders/>
          </w:tcPr>
          <w:p>
            <w:pPr>
              <w:pStyle w:val="TableContents"/>
              <w:bidi w:val="0"/>
              <w:spacing w:before="0" w:after="283"/>
              <w:jc w:val="left"/>
              <w:rPr/>
            </w:pPr>
            <w:r>
              <w:rPr/>
              <w:t>HAN KUN LAW OFFICES</w:t>
            </w:r>
          </w:p>
        </w:tc>
      </w:tr>
    </w:tbl>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center"/>
        <w:rPr/>
      </w:pPr>
      <w:r>
        <w:rPr/>
        <w:drawing>
          <wp:inline distT="0" distB="0" distL="0" distR="0">
            <wp:extent cx="7075805" cy="34861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6"/>
                    <a:stretch>
                      <a:fillRect/>
                    </a:stretch>
                  </pic:blipFill>
                  <pic:spPr bwMode="auto">
                    <a:xfrm>
                      <a:off x="0" y="0"/>
                      <a:ext cx="7075805" cy="348615"/>
                    </a:xfrm>
                    <a:prstGeom prst="rect">
                      <a:avLst/>
                    </a:prstGeom>
                  </pic:spPr>
                </pic:pic>
              </a:graphicData>
            </a:graphic>
          </wp:inline>
        </w:drawing>
      </w:r>
      <w:r>
        <w:rPr/>
        <w:t xml:space="preserve"> </w:t>
      </w:r>
    </w:p>
    <w:p>
      <w:pPr>
        <w:pStyle w:val="TextBody"/>
        <w:bidi w:val="0"/>
        <w:spacing w:before="0" w:after="0"/>
        <w:jc w:val="right"/>
        <w:rPr>
          <w:rFonts w:ascii="Times New Roman" w:hAnsi="Times New Roman"/>
          <w:b/>
          <w:sz w:val="20"/>
        </w:rPr>
      </w:pPr>
      <w:bookmarkStart w:id="56" w:name="d907177dex153.htm"/>
      <w:bookmarkStart w:id="57" w:name="ksd907177dex153"/>
      <w:bookmarkEnd w:id="56"/>
      <w:bookmarkEnd w:id="57"/>
      <w:r>
        <w:rPr>
          <w:rFonts w:ascii="Times New Roman" w:hAnsi="Times New Roman"/>
          <w:b/>
          <w:sz w:val="20"/>
        </w:rPr>
        <w:t xml:space="preserve">Exhibit 15.3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628775" cy="981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7"/>
                    <a:stretch>
                      <a:fillRect/>
                    </a:stretch>
                  </pic:blipFill>
                  <pic:spPr bwMode="auto">
                    <a:xfrm>
                      <a:off x="0" y="0"/>
                      <a:ext cx="1628775" cy="981075"/>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9"/>
        <w:gridCol w:w="110"/>
        <w:gridCol w:w="9346"/>
      </w:tblGrid>
      <w:tr>
        <w:trPr/>
        <w:tc>
          <w:tcPr>
            <w:tcW w:w="749"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9346" w:type="dxa"/>
            <w:tcBorders/>
            <w:vAlign w:val="center"/>
          </w:tcPr>
          <w:p>
            <w:pPr>
              <w:pStyle w:val="TableContents"/>
              <w:bidi w:val="0"/>
              <w:spacing w:before="0" w:after="283"/>
              <w:jc w:val="left"/>
              <w:rPr>
                <w:sz w:val="4"/>
                <w:szCs w:val="4"/>
              </w:rPr>
            </w:pPr>
            <w:r>
              <w:rPr>
                <w:sz w:val="4"/>
                <w:szCs w:val="4"/>
              </w:rPr>
            </w:r>
          </w:p>
        </w:tc>
      </w:tr>
      <w:tr>
        <w:trPr/>
        <w:tc>
          <w:tcPr>
            <w:tcW w:w="749" w:type="dxa"/>
            <w:tcBorders/>
          </w:tcPr>
          <w:p>
            <w:pPr>
              <w:pStyle w:val="TableContents"/>
              <w:bidi w:val="0"/>
              <w:spacing w:before="0" w:after="283"/>
              <w:jc w:val="left"/>
              <w:rPr>
                <w:b/>
              </w:rPr>
            </w:pPr>
            <w:r>
              <w:rPr>
                <w:b/>
              </w:rPr>
              <w:t>Office:</w:t>
            </w:r>
          </w:p>
        </w:tc>
        <w:tc>
          <w:tcPr>
            <w:tcW w:w="110" w:type="dxa"/>
            <w:tcBorders/>
            <w:vAlign w:val="bottom"/>
          </w:tcPr>
          <w:p>
            <w:pPr>
              <w:pStyle w:val="TableContents"/>
              <w:bidi w:val="0"/>
              <w:spacing w:before="0" w:after="283"/>
              <w:jc w:val="left"/>
              <w:rPr/>
            </w:pPr>
            <w:r>
              <w:rPr/>
              <w:t> </w:t>
            </w:r>
          </w:p>
        </w:tc>
        <w:tc>
          <w:tcPr>
            <w:tcW w:w="9346" w:type="dxa"/>
            <w:tcBorders/>
            <w:vAlign w:val="bottom"/>
          </w:tcPr>
          <w:p>
            <w:pPr>
              <w:pStyle w:val="TableContents"/>
              <w:bidi w:val="0"/>
              <w:spacing w:before="0" w:after="283"/>
              <w:jc w:val="left"/>
              <w:rPr/>
            </w:pPr>
            <w:r>
              <w:rPr/>
              <w:t>+852 2801 6066</w:t>
            </w:r>
          </w:p>
        </w:tc>
      </w:tr>
      <w:tr>
        <w:trPr/>
        <w:tc>
          <w:tcPr>
            <w:tcW w:w="749" w:type="dxa"/>
            <w:tcBorders/>
          </w:tcPr>
          <w:p>
            <w:pPr>
              <w:pStyle w:val="TableContents"/>
              <w:bidi w:val="0"/>
              <w:spacing w:before="0" w:after="283"/>
              <w:jc w:val="left"/>
              <w:rPr>
                <w:b/>
              </w:rPr>
            </w:pPr>
            <w:r>
              <w:rPr>
                <w:b/>
              </w:rPr>
              <w:t>Mobile:</w:t>
            </w:r>
          </w:p>
        </w:tc>
        <w:tc>
          <w:tcPr>
            <w:tcW w:w="110" w:type="dxa"/>
            <w:tcBorders/>
            <w:vAlign w:val="bottom"/>
          </w:tcPr>
          <w:p>
            <w:pPr>
              <w:pStyle w:val="TableContents"/>
              <w:bidi w:val="0"/>
              <w:spacing w:before="0" w:after="283"/>
              <w:jc w:val="left"/>
              <w:rPr/>
            </w:pPr>
            <w:r>
              <w:rPr/>
              <w:t> </w:t>
            </w:r>
          </w:p>
        </w:tc>
        <w:tc>
          <w:tcPr>
            <w:tcW w:w="9346" w:type="dxa"/>
            <w:tcBorders/>
            <w:vAlign w:val="bottom"/>
          </w:tcPr>
          <w:p>
            <w:pPr>
              <w:pStyle w:val="TableContents"/>
              <w:bidi w:val="0"/>
              <w:spacing w:before="0" w:after="283"/>
              <w:jc w:val="left"/>
              <w:rPr/>
            </w:pPr>
            <w:r>
              <w:rPr/>
              <w:t>+852 9718 8740</w:t>
            </w:r>
          </w:p>
        </w:tc>
      </w:tr>
      <w:tr>
        <w:trPr/>
        <w:tc>
          <w:tcPr>
            <w:tcW w:w="749" w:type="dxa"/>
            <w:tcBorders/>
          </w:tcPr>
          <w:p>
            <w:pPr>
              <w:pStyle w:val="TableContents"/>
              <w:bidi w:val="0"/>
              <w:spacing w:before="0" w:after="283"/>
              <w:jc w:val="left"/>
              <w:rPr>
                <w:b/>
              </w:rPr>
            </w:pPr>
            <w:r>
              <w:rPr>
                <w:b/>
              </w:rPr>
              <w:t>Email:</w:t>
            </w:r>
          </w:p>
        </w:tc>
        <w:tc>
          <w:tcPr>
            <w:tcW w:w="110" w:type="dxa"/>
            <w:tcBorders/>
            <w:vAlign w:val="bottom"/>
          </w:tcPr>
          <w:p>
            <w:pPr>
              <w:pStyle w:val="TableContents"/>
              <w:bidi w:val="0"/>
              <w:spacing w:before="0" w:after="283"/>
              <w:jc w:val="left"/>
              <w:rPr/>
            </w:pPr>
            <w:r>
              <w:rPr/>
              <w:t> </w:t>
            </w:r>
          </w:p>
        </w:tc>
        <w:tc>
          <w:tcPr>
            <w:tcW w:w="9346" w:type="dxa"/>
            <w:tcBorders/>
            <w:vAlign w:val="bottom"/>
          </w:tcPr>
          <w:p>
            <w:pPr>
              <w:pStyle w:val="TableContents"/>
              <w:bidi w:val="0"/>
              <w:spacing w:before="0" w:after="283"/>
              <w:jc w:val="left"/>
              <w:rPr/>
            </w:pPr>
            <w:r>
              <w:rPr/>
              <w:t>rthorp@tta.lawyer</w:t>
            </w:r>
          </w:p>
        </w:tc>
      </w:tr>
    </w:tbl>
    <w:p>
      <w:pPr>
        <w:pStyle w:val="TextBody"/>
        <w:bidi w:val="0"/>
        <w:spacing w:before="240" w:after="0"/>
        <w:jc w:val="left"/>
        <w:rPr>
          <w:rFonts w:ascii="Times New Roman" w:hAnsi="Times New Roman"/>
          <w:sz w:val="20"/>
        </w:rPr>
      </w:pPr>
      <w:r>
        <w:rPr>
          <w:rFonts w:ascii="Times New Roman" w:hAnsi="Times New Roman"/>
          <w:sz w:val="20"/>
        </w:rPr>
        <w:t xml:space="preserve">Vipshop Holdings Limited </w:t>
      </w:r>
    </w:p>
    <w:p>
      <w:pPr>
        <w:pStyle w:val="TextBody"/>
        <w:bidi w:val="0"/>
        <w:spacing w:before="0" w:after="0"/>
        <w:jc w:val="left"/>
        <w:rPr>
          <w:rFonts w:ascii="Times New Roman" w:hAnsi="Times New Roman"/>
          <w:sz w:val="20"/>
        </w:rPr>
      </w:pPr>
      <w:r>
        <w:rPr>
          <w:rFonts w:ascii="Times New Roman" w:hAnsi="Times New Roman"/>
          <w:sz w:val="20"/>
        </w:rPr>
        <w:t xml:space="preserve">128 Dingxin Road </w:t>
      </w:r>
    </w:p>
    <w:p>
      <w:pPr>
        <w:pStyle w:val="TextBody"/>
        <w:bidi w:val="0"/>
        <w:spacing w:before="0" w:after="0"/>
        <w:jc w:val="left"/>
        <w:rPr>
          <w:rFonts w:ascii="Times New Roman" w:hAnsi="Times New Roman"/>
          <w:sz w:val="20"/>
        </w:rPr>
      </w:pPr>
      <w:r>
        <w:rPr>
          <w:rFonts w:ascii="Times New Roman" w:hAnsi="Times New Roman"/>
          <w:sz w:val="20"/>
        </w:rPr>
        <w:t xml:space="preserve">Haizhu District, Guangzhou 510220 </w:t>
      </w:r>
    </w:p>
    <w:p>
      <w:pPr>
        <w:pStyle w:val="TextBody"/>
        <w:bidi w:val="0"/>
        <w:spacing w:before="0" w:after="0"/>
        <w:jc w:val="left"/>
        <w:rPr>
          <w:rFonts w:ascii="Times New Roman" w:hAnsi="Times New Roman"/>
          <w:sz w:val="20"/>
        </w:rPr>
      </w:pPr>
      <w:r>
        <w:rPr>
          <w:rFonts w:ascii="Times New Roman" w:hAnsi="Times New Roman"/>
          <w:sz w:val="20"/>
        </w:rPr>
        <w:t xml:space="preserve">Peoples Republic of China </w:t>
      </w:r>
    </w:p>
    <w:p>
      <w:pPr>
        <w:pStyle w:val="TextBody"/>
        <w:bidi w:val="0"/>
        <w:spacing w:before="240" w:after="0"/>
        <w:jc w:val="right"/>
        <w:rPr>
          <w:rFonts w:ascii="Times New Roman" w:hAnsi="Times New Roman"/>
          <w:sz w:val="20"/>
        </w:rPr>
      </w:pPr>
      <w:r>
        <w:rPr>
          <w:rFonts w:ascii="Times New Roman" w:hAnsi="Times New Roman"/>
          <w:sz w:val="20"/>
        </w:rPr>
        <w:t xml:space="preserve">17 April 2025 </w:t>
      </w:r>
    </w:p>
    <w:p>
      <w:pPr>
        <w:pStyle w:val="TextBody"/>
        <w:bidi w:val="0"/>
        <w:spacing w:before="240" w:after="0"/>
        <w:jc w:val="left"/>
        <w:rPr>
          <w:rFonts w:ascii="Times New Roman" w:hAnsi="Times New Roman"/>
          <w:sz w:val="20"/>
        </w:rPr>
      </w:pPr>
      <w:r>
        <w:rPr>
          <w:rFonts w:ascii="Times New Roman" w:hAnsi="Times New Roman"/>
          <w:sz w:val="20"/>
        </w:rPr>
        <w:t xml:space="preserve">Dear Sirs </w:t>
      </w:r>
    </w:p>
    <w:p>
      <w:pPr>
        <w:pStyle w:val="TextBody"/>
        <w:bidi w:val="0"/>
        <w:spacing w:before="120" w:after="0"/>
        <w:jc w:val="left"/>
        <w:rPr>
          <w:rFonts w:ascii="Times New Roman" w:hAnsi="Times New Roman"/>
          <w:b/>
          <w:sz w:val="20"/>
        </w:rPr>
      </w:pPr>
      <w:r>
        <w:rPr>
          <w:rFonts w:ascii="Times New Roman" w:hAnsi="Times New Roman"/>
          <w:b/>
          <w:sz w:val="20"/>
        </w:rPr>
        <w:t xml:space="preserve">Re: Vipshop Holdings Limited </w:t>
      </w:r>
    </w:p>
    <w:p>
      <w:pPr>
        <w:pStyle w:val="TextBody"/>
        <w:bidi w:val="0"/>
        <w:spacing w:before="120" w:after="0"/>
        <w:jc w:val="left"/>
        <w:rPr>
          <w:rFonts w:ascii="Times New Roman" w:hAnsi="Times New Roman"/>
          <w:sz w:val="20"/>
        </w:rPr>
      </w:pPr>
      <w:r>
        <w:rPr>
          <w:rFonts w:ascii="Times New Roman" w:hAnsi="Times New Roman"/>
          <w:sz w:val="20"/>
        </w:rPr>
        <w:t xml:space="preserve">We consent to the reference to our firm under the heading Item 10. Additional Information  E. Taxation on Form 20-F for the year ended 31 December 2024, which will be filed with the Securities and Exchange Commission in the month of April 2025, and further consent to the incorporation by reference of the summary of our opinion that appear in the annual report on Form 20-F into the registration statements on Form S-8 of Vipshop Holdings Limited (File No. 333-181559, File No. 333-199515, File No. 333-222218, File No. 333-248504 and File No. 333-272113). </w:t>
      </w:r>
    </w:p>
    <w:p>
      <w:pPr>
        <w:pStyle w:val="TextBody"/>
        <w:bidi w:val="0"/>
        <w:spacing w:before="240" w:after="0"/>
        <w:jc w:val="left"/>
        <w:rPr>
          <w:rFonts w:ascii="Times New Roman" w:hAnsi="Times New Roman"/>
          <w:sz w:val="20"/>
        </w:rPr>
      </w:pPr>
      <w:r>
        <w:rPr>
          <w:rFonts w:ascii="Times New Roman" w:hAnsi="Times New Roman"/>
          <w:sz w:val="20"/>
        </w:rPr>
        <w:t xml:space="preserve">Yours faithfully </w:t>
      </w:r>
    </w:p>
    <w:p>
      <w:pPr>
        <w:pStyle w:val="TextBody"/>
        <w:bidi w:val="0"/>
        <w:spacing w:before="240" w:after="0"/>
        <w:jc w:val="left"/>
        <w:rPr>
          <w:rFonts w:ascii="Times New Roman" w:hAnsi="Times New Roman"/>
          <w:sz w:val="20"/>
        </w:rPr>
      </w:pPr>
      <w:r>
        <w:rPr>
          <w:rFonts w:ascii="Times New Roman" w:hAnsi="Times New Roman"/>
          <w:sz w:val="20"/>
        </w:rPr>
        <w:t xml:space="preserve">/s/ TRAVERS THORP ALBERGA </w:t>
      </w:r>
    </w:p>
    <w:p>
      <w:pPr>
        <w:pStyle w:val="TextBody"/>
        <w:bidi w:val="0"/>
        <w:spacing w:before="0" w:after="0"/>
        <w:jc w:val="left"/>
        <w:rPr>
          <w:rFonts w:ascii="Times New Roman" w:hAnsi="Times New Roman"/>
          <w:b/>
          <w:sz w:val="20"/>
        </w:rPr>
      </w:pPr>
      <w:r>
        <w:rPr>
          <w:rFonts w:ascii="Times New Roman" w:hAnsi="Times New Roman"/>
          <w:b/>
          <w:sz w:val="20"/>
        </w:rPr>
        <w:t xml:space="preserve">TRAVERS THORP ALBERGA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right"/>
        <w:rPr/>
      </w:pPr>
      <w:r>
        <w:rPr/>
        <w:drawing>
          <wp:inline distT="0" distB="0" distL="0" distR="0">
            <wp:extent cx="2190750" cy="6667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8"/>
                    <a:stretch>
                      <a:fillRect/>
                    </a:stretch>
                  </pic:blipFill>
                  <pic:spPr bwMode="auto">
                    <a:xfrm>
                      <a:off x="0" y="0"/>
                      <a:ext cx="2190750" cy="666750"/>
                    </a:xfrm>
                    <a:prstGeom prst="rect">
                      <a:avLst/>
                    </a:prstGeom>
                  </pic:spPr>
                </pic:pic>
              </a:graphicData>
            </a:graphic>
          </wp:inline>
        </w:drawing>
      </w:r>
      <w:r>
        <w:rPr/>
        <w:t xml:space="preserv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www.sec.gov/Archives/edgar/data/1529192/000119312521118506/d69437dex12.htm" TargetMode="External"/><Relationship Id="rId5" Type="http://schemas.openxmlformats.org/officeDocument/2006/relationships/hyperlink" Target="http://www.sec.gov/Archives/edgar/data/1529192/000119312512067702/d211818dex41.htm" TargetMode="External"/><Relationship Id="rId6" Type="http://schemas.openxmlformats.org/officeDocument/2006/relationships/hyperlink" Target="http://www.sec.gov/Archives/edgar/data/1529192/000119312512240835/d356043dex43.htm" TargetMode="External"/><Relationship Id="rId7" Type="http://schemas.openxmlformats.org/officeDocument/2006/relationships/hyperlink" Target="http://www.sec.gov/Archives/edgar/data/1471515/000119380514001990/e612780_ex99-a2.htm" TargetMode="External"/><Relationship Id="rId8" Type="http://schemas.openxmlformats.org/officeDocument/2006/relationships/hyperlink" Target="http://www.sec.gov/Archives/edgar/data/1529192/000119312523106425/d434757dex24.htm" TargetMode="External"/><Relationship Id="rId9" Type="http://schemas.openxmlformats.org/officeDocument/2006/relationships/hyperlink" Target="http://www.sec.gov/Archives/edgar/data/1529192/000119312512107229/d211818dex101.htm" TargetMode="External"/><Relationship Id="rId10" Type="http://schemas.openxmlformats.org/officeDocument/2006/relationships/hyperlink" Target="http://www.sec.gov/Archives/edgar/data/1529192/000119312512107229/d211818dex1011.htm" TargetMode="External"/><Relationship Id="rId11" Type="http://schemas.openxmlformats.org/officeDocument/2006/relationships/hyperlink" Target="http://www.sec.gov/Archives/edgar/data/1529192/000119312524203214/d846859dex992.htm" TargetMode="External"/><Relationship Id="rId12" Type="http://schemas.openxmlformats.org/officeDocument/2006/relationships/hyperlink" Target="http://www.sec.gov/Archives/edgar/data/1529192/000119312512067702/d211818dex102.htm" TargetMode="External"/><Relationship Id="rId13" Type="http://schemas.openxmlformats.org/officeDocument/2006/relationships/hyperlink" Target="http://www.sec.gov/Archives/edgar/data/1529192/000119312524100774/d276706dex45.htm" TargetMode="External"/><Relationship Id="rId14" Type="http://schemas.openxmlformats.org/officeDocument/2006/relationships/hyperlink" Target="http://www.sec.gov/Archives/edgar/data/1529192/000119312524100774/d276706dex46.htm" TargetMode="External"/><Relationship Id="rId15" Type="http://schemas.openxmlformats.org/officeDocument/2006/relationships/hyperlink" Target="http://www.sec.gov/Archives/edgar/data/1529192/000119312524100774/d276706dex47.htm" TargetMode="External"/><Relationship Id="rId16" Type="http://schemas.openxmlformats.org/officeDocument/2006/relationships/hyperlink" Target="http://www.sec.gov/Archives/edgar/data/1529192/000119312524100774/d276706dex48.htm" TargetMode="External"/><Relationship Id="rId17" Type="http://schemas.openxmlformats.org/officeDocument/2006/relationships/hyperlink" Target="http://www.sec.gov/Archives/edgar/data/1529192/000119312524100774/d276706dex49.htm" TargetMode="External"/><Relationship Id="rId18" Type="http://schemas.openxmlformats.org/officeDocument/2006/relationships/hyperlink" Target="http://www.sec.gov/Archives/edgar/data/1529192/000119312524100774/d276706dex410.htm" TargetMode="External"/><Relationship Id="rId19" Type="http://schemas.openxmlformats.org/officeDocument/2006/relationships/hyperlink" Target="http://www.sec.gov/Archives/edgar/data/1529192/000119312512067702/d211818dex1010.htm" TargetMode="External"/><Relationship Id="rId20" Type="http://schemas.openxmlformats.org/officeDocument/2006/relationships/hyperlink" Target="http://www.sec.gov/Archives/edgar/data/1293451/000095014218000020/eh1800123_ex03.htm" TargetMode="External"/><Relationship Id="rId21" Type="http://schemas.openxmlformats.org/officeDocument/2006/relationships/hyperlink" Target="http://www.sec.gov/Archives/edgar/data/1529192/000119312520120336/d849102dex416.htm" TargetMode="External"/><Relationship Id="rId22" Type="http://schemas.openxmlformats.org/officeDocument/2006/relationships/hyperlink" Target="http://www.sec.gov/Archives/edgar/data/1529192/000119312524100774/d276706dex414.htm" TargetMode="External"/><Relationship Id="rId23" Type="http://schemas.openxmlformats.org/officeDocument/2006/relationships/hyperlink" Target="http://www.sec.gov/Archives/edgar/data/1529192/000119312523106425/d434757dex111.htm" TargetMode="External"/><Relationship Id="rId24" Type="http://schemas.openxmlformats.org/officeDocument/2006/relationships/hyperlink" Target="http://www.sec.gov/Archives/edgar/data/1529192/000119312524100774/d276706dex97.htm" TargetMode="External"/><Relationship Id="rId25" Type="http://schemas.openxmlformats.org/officeDocument/2006/relationships/image" Target="media/image2.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image" Target="media/image5.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196</Pages>
  <Words>148173</Words>
  <Characters>832761</Characters>
  <CharactersWithSpaces>995017</CharactersWithSpaces>
  <Paragraphs>26102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EX-15.3</dc:title>
</cp:coreProperties>
</file>