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February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440"/>
        <w:spacing w:after="0"/>
        <w:tabs>
          <w:tab w:leader="none" w:pos="5380" w:val="left"/>
          <w:tab w:leader="none" w:pos="5920" w:val="left"/>
          <w:tab w:leader="none" w:pos="688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Vipshop Reports Unaudited Fourth Quarter and Full Year 2015 Financial Results</w:t>
      </w:r>
    </w:p>
    <w:p>
      <w:pPr>
        <w:spacing w:after="0" w:line="229" w:lineRule="exact"/>
        <w:rPr>
          <w:sz w:val="24"/>
          <w:szCs w:val="24"/>
          <w:color w:val="auto"/>
        </w:rPr>
      </w:pPr>
    </w:p>
    <w:p>
      <w:pPr>
        <w:jc w:val="center"/>
        <w:ind w:left="380" w:right="2600"/>
        <w:spacing w:after="0" w:line="297" w:lineRule="auto"/>
        <w:rPr>
          <w:sz w:val="20"/>
          <w:szCs w:val="20"/>
          <w:color w:val="auto"/>
        </w:rPr>
      </w:pPr>
      <w:r>
        <w:rPr>
          <w:rFonts w:ascii="Arial" w:cs="Arial" w:eastAsia="Arial" w:hAnsi="Arial"/>
          <w:sz w:val="16"/>
          <w:szCs w:val="16"/>
          <w:i w:val="1"/>
          <w:iCs w:val="1"/>
          <w:color w:val="auto"/>
        </w:rPr>
        <w:t>4Q15 Total Net Revenue up 65% YoY to RMB13.90 Billion (US$2.15 Billion) 4Q15 Gross Profit up 60% YoY to RMB3.35 Billion (US$517 Million) 4Q15 Income from Operations up 114% YoY to RMB802 Million (US$124 Million) FY15 Total Net Revenue up 74% to RMB40.20 Billion (US$6.21 Billion) Conference Call to be Held at 8:00 AM U.S. Eastern Time on February 25, 2016</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Guangzhou, China, February 24, 2016 — Vipshop Holdings Limited (NYSE: VIPS), a leading online discount retailer for brands in China (“Vipshop” or the “Company”), today announced its unaudited financial results for the fourth quarter and full year ended December 31, 2015.</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Fourth Quarter 2015 Highlights</w:t>
      </w:r>
    </w:p>
    <w:p>
      <w:pPr>
        <w:spacing w:after="0" w:line="225" w:lineRule="exact"/>
        <w:rPr>
          <w:sz w:val="24"/>
          <w:szCs w:val="24"/>
          <w:color w:val="auto"/>
        </w:rPr>
      </w:pPr>
    </w:p>
    <w:p>
      <w:pPr>
        <w:ind w:left="680" w:right="40" w:hanging="348"/>
        <w:spacing w:after="0" w:line="295" w:lineRule="auto"/>
        <w:tabs>
          <w:tab w:leader="none" w:pos="64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 </w:t>
      </w:r>
      <w:r>
        <w:rPr>
          <w:rFonts w:ascii="Arial" w:cs="Arial" w:eastAsia="Arial" w:hAnsi="Arial"/>
          <w:sz w:val="18"/>
          <w:szCs w:val="18"/>
          <w:color w:val="auto"/>
        </w:rPr>
        <w:t>increased by 65% to RMB13.90 billion (US$2.15 billion), primarily attributable to a 58% year-over-year increase in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active customers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19.8 million and a 67% year-over-year increase in total orders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64.9 million.</w:t>
      </w:r>
    </w:p>
    <w:p>
      <w:pPr>
        <w:spacing w:after="0" w:line="68" w:lineRule="exact"/>
        <w:rPr>
          <w:rFonts w:ascii="Arial" w:cs="Arial" w:eastAsia="Arial" w:hAnsi="Arial"/>
          <w:sz w:val="18"/>
          <w:szCs w:val="18"/>
          <w:color w:val="auto"/>
        </w:rPr>
      </w:pPr>
    </w:p>
    <w:p>
      <w:pPr>
        <w:ind w:left="680" w:hanging="348"/>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60% to RMB3.35 billion (US$517 million) from RMB2.09 billion in the prior year period.</w:t>
      </w:r>
    </w:p>
    <w:p>
      <w:pPr>
        <w:spacing w:after="0" w:line="225" w:lineRule="exact"/>
        <w:rPr>
          <w:rFonts w:ascii="Arial" w:cs="Arial" w:eastAsia="Arial" w:hAnsi="Arial"/>
          <w:sz w:val="18"/>
          <w:szCs w:val="18"/>
          <w:color w:val="auto"/>
        </w:rPr>
      </w:pPr>
    </w:p>
    <w:p>
      <w:pPr>
        <w:ind w:left="720" w:right="320" w:hanging="388"/>
        <w:spacing w:after="0" w:line="282" w:lineRule="auto"/>
        <w:tabs>
          <w:tab w:leader="none" w:pos="6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increased by 114% to RMB802 million (US$124 million) from RMB375 million in the prior year period.</w:t>
      </w:r>
      <w:r>
        <w:rPr>
          <w:rFonts w:ascii="Arial" w:cs="Arial" w:eastAsia="Arial" w:hAnsi="Arial"/>
          <w:sz w:val="18"/>
          <w:szCs w:val="18"/>
          <w:b w:val="1"/>
          <w:bCs w:val="1"/>
          <w:color w:val="auto"/>
        </w:rPr>
        <w:t xml:space="preserve"> Operating margin </w:t>
      </w:r>
      <w:r>
        <w:rPr>
          <w:rFonts w:ascii="Arial" w:cs="Arial" w:eastAsia="Arial" w:hAnsi="Arial"/>
          <w:sz w:val="18"/>
          <w:szCs w:val="18"/>
          <w:color w:val="auto"/>
        </w:rPr>
        <w:t>increased to 5.8% from 4.5% in the prior year period.</w:t>
      </w:r>
    </w:p>
    <w:p>
      <w:pPr>
        <w:spacing w:after="0" w:line="161" w:lineRule="exact"/>
        <w:rPr>
          <w:rFonts w:ascii="Arial" w:cs="Arial" w:eastAsia="Arial" w:hAnsi="Arial"/>
          <w:sz w:val="18"/>
          <w:szCs w:val="18"/>
          <w:color w:val="auto"/>
        </w:rPr>
      </w:pPr>
    </w:p>
    <w:p>
      <w:pPr>
        <w:ind w:left="720" w:right="260" w:hanging="388"/>
        <w:spacing w:after="0" w:line="243" w:lineRule="auto"/>
        <w:tabs>
          <w:tab w:leader="none" w:pos="6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Non-GAAP income from operations</w:t>
      </w:r>
      <w:r>
        <w:rPr>
          <w:rFonts w:ascii="Arial" w:cs="Arial" w:eastAsia="Arial" w:hAnsi="Arial"/>
          <w:sz w:val="23"/>
          <w:szCs w:val="23"/>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96% to RMB966 million (US$149 million) from RMB493 million in the prior year period.</w:t>
      </w:r>
      <w:r>
        <w:rPr>
          <w:rFonts w:ascii="Arial" w:cs="Arial" w:eastAsia="Arial" w:hAnsi="Arial"/>
          <w:sz w:val="18"/>
          <w:szCs w:val="18"/>
          <w:b w:val="1"/>
          <w:bCs w:val="1"/>
          <w:color w:val="auto"/>
        </w:rPr>
        <w:t xml:space="preserve"> Non-GAAP operating margin</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to 6.9% from 5.9% in the prior year period.</w:t>
      </w:r>
    </w:p>
    <w:p>
      <w:pPr>
        <w:spacing w:after="0" w:line="112" w:lineRule="exact"/>
        <w:rPr>
          <w:rFonts w:ascii="Arial" w:cs="Arial" w:eastAsia="Arial" w:hAnsi="Arial"/>
          <w:sz w:val="18"/>
          <w:szCs w:val="18"/>
          <w:color w:val="auto"/>
        </w:rPr>
      </w:pPr>
    </w:p>
    <w:p>
      <w:pPr>
        <w:ind w:left="720" w:right="220" w:hanging="388"/>
        <w:spacing w:after="0" w:line="282" w:lineRule="auto"/>
        <w:tabs>
          <w:tab w:leader="none" w:pos="6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Vipshop’s shareholders </w:t>
      </w:r>
      <w:r>
        <w:rPr>
          <w:rFonts w:ascii="Arial" w:cs="Arial" w:eastAsia="Arial" w:hAnsi="Arial"/>
          <w:sz w:val="18"/>
          <w:szCs w:val="18"/>
          <w:color w:val="auto"/>
        </w:rPr>
        <w:t>increased by 45% to RMB506 million (US$78 million) from RMB349 million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year period.</w:t>
      </w:r>
    </w:p>
    <w:p>
      <w:pPr>
        <w:spacing w:after="0" w:line="161" w:lineRule="exact"/>
        <w:rPr>
          <w:rFonts w:ascii="Arial" w:cs="Arial" w:eastAsia="Arial" w:hAnsi="Arial"/>
          <w:sz w:val="18"/>
          <w:szCs w:val="18"/>
          <w:color w:val="auto"/>
        </w:rPr>
      </w:pPr>
    </w:p>
    <w:p>
      <w:pPr>
        <w:ind w:left="720" w:right="20" w:hanging="388"/>
        <w:spacing w:after="0" w:line="229" w:lineRule="auto"/>
        <w:tabs>
          <w:tab w:leader="none" w:pos="6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Non-GAAP net income attributable to Vipshop’s shareholders</w:t>
      </w:r>
      <w:r>
        <w:rPr>
          <w:rFonts w:ascii="Arial" w:cs="Arial" w:eastAsia="Arial" w:hAnsi="Arial"/>
          <w:sz w:val="23"/>
          <w:szCs w:val="23"/>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61% to RMB741 million (US$114 million) from RMB460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prior year period.</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Full Year 2015 Highlights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544" w:right="359" w:bottom="131" w:gutter="0" w:footer="0" w:header="0"/>
        </w:sectPr>
      </w:pPr>
    </w:p>
    <w:bookmarkStart w:id="1" w:name="page2"/>
    <w:bookmarkEnd w:id="1"/>
    <w:p>
      <w:pPr>
        <w:ind w:firstLine="8"/>
        <w:spacing w:after="0" w:line="238" w:lineRule="auto"/>
        <w:tabs>
          <w:tab w:leader="none" w:pos="1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Beginning in the first quarter of 2015, the Company has updated its definition of “active customers” from “registered members who have purchased products from the Company at least once during the relevant period” to “registered members who have purchased from the Company or the Company’s online marketplace platforms at least once during the relevant period.” The active customer figures in 2014 and 2015 include active Lefeng customers after the Lefeng acquisition was completed in February 2014.</w:t>
      </w:r>
    </w:p>
    <w:p>
      <w:pPr>
        <w:spacing w:after="0" w:line="202" w:lineRule="exact"/>
        <w:rPr>
          <w:sz w:val="20"/>
          <w:szCs w:val="20"/>
          <w:color w:val="auto"/>
        </w:rPr>
      </w:pPr>
    </w:p>
    <w:p>
      <w:pPr>
        <w:ind w:right="140" w:firstLine="8"/>
        <w:spacing w:after="0" w:line="238" w:lineRule="auto"/>
        <w:tabs>
          <w:tab w:leader="none" w:pos="1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Beginning in the first quarter of 2015, the Company has updated its definition of “total orders” from “the total number of orders placed during the relevant period” to “the total number of orders placed during the relevant period, including the orders for products and services sold in the Company’s online sales business and on the Company’s online marketplace platforms, net of orders returned.” The total order figures in 2014 and 2015 include orders attributable to Lefeng after the Lefeng acquisition was completed in February 2014.</w:t>
      </w:r>
    </w:p>
    <w:p>
      <w:pPr>
        <w:spacing w:after="0" w:line="202" w:lineRule="exact"/>
        <w:rPr>
          <w:sz w:val="20"/>
          <w:szCs w:val="20"/>
          <w:color w:val="auto"/>
        </w:rPr>
      </w:pPr>
    </w:p>
    <w:p>
      <w:pPr>
        <w:ind w:right="240" w:firstLine="8"/>
        <w:spacing w:after="0" w:line="227" w:lineRule="auto"/>
        <w:tabs>
          <w:tab w:leader="none" w:pos="1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income from operations is a non-GAAP financial measure, which is defined as income from operations excluding share-based compensation expenses and amortization of intangible assets resulting from a business acquisition.</w:t>
      </w:r>
    </w:p>
    <w:p>
      <w:pPr>
        <w:spacing w:after="0" w:line="202" w:lineRule="exact"/>
        <w:rPr>
          <w:sz w:val="20"/>
          <w:szCs w:val="20"/>
          <w:color w:val="auto"/>
        </w:rPr>
      </w:pPr>
    </w:p>
    <w:p>
      <w:pPr>
        <w:ind w:firstLine="8"/>
        <w:spacing w:after="0" w:line="227" w:lineRule="auto"/>
        <w:tabs>
          <w:tab w:leader="none" w:pos="1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Non-GAAP operating income margin is a non-GAAP financial measure, which is defined as non-GAAP income from operations as a percentage of total net revenues.</w:t>
      </w:r>
    </w:p>
    <w:p>
      <w:pPr>
        <w:spacing w:after="0" w:line="202" w:lineRule="exact"/>
        <w:rPr>
          <w:sz w:val="20"/>
          <w:szCs w:val="20"/>
          <w:color w:val="auto"/>
        </w:rPr>
      </w:pPr>
    </w:p>
    <w:p>
      <w:pPr>
        <w:ind w:right="100" w:firstLine="8"/>
        <w:spacing w:after="0" w:line="269" w:lineRule="auto"/>
        <w:tabs>
          <w:tab w:leader="none" w:pos="1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Non-GAAP net income attributable to Vipshop’s shareholders is a non-GAAP financial measure. Effective from the fourth quarter of 2015, the non-GAAP net income attributable to Vipshop’s shareholders is defined as net income attributable to Vipshop’s shareholders excluding share-based compensation expenses, impairment loss of investments, and amortization of intangible assets resulting from a business acquisition and equity method investments.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right="100" w:hanging="348"/>
        <w:spacing w:after="0" w:line="282" w:lineRule="auto"/>
        <w:tabs>
          <w:tab w:leader="none" w:pos="641"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 </w:t>
      </w:r>
      <w:r>
        <w:rPr>
          <w:rFonts w:ascii="Arial" w:cs="Arial" w:eastAsia="Arial" w:hAnsi="Arial"/>
          <w:sz w:val="18"/>
          <w:szCs w:val="18"/>
          <w:color w:val="auto"/>
        </w:rPr>
        <w:t>increased by 74% to RMB40.20 billion (US$6.21 billion) over prior year, primarily attributable to a 51% year-over-year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number of active customers to 36.6 million and a 64% year-over-year increase in total orders to 193.1 million.</w:t>
      </w:r>
    </w:p>
    <w:p>
      <w:pPr>
        <w:spacing w:after="0" w:line="161"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72% to RMB9.90 billion (US$1.53 billion) from RMB5.75 billion in the prior year.</w:t>
      </w:r>
    </w:p>
    <w:p>
      <w:pPr>
        <w:spacing w:after="0" w:line="225" w:lineRule="exact"/>
        <w:rPr>
          <w:rFonts w:ascii="Arial" w:cs="Arial" w:eastAsia="Arial" w:hAnsi="Arial"/>
          <w:sz w:val="18"/>
          <w:szCs w:val="18"/>
          <w:color w:val="auto"/>
        </w:rPr>
      </w:pPr>
    </w:p>
    <w:p>
      <w:pPr>
        <w:ind w:left="660" w:right="400" w:hanging="328"/>
        <w:spacing w:after="0" w:line="282"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increased by 148% to RMB2.07 billion (US$320 million) from RMB834 million in the prior year.</w:t>
      </w:r>
      <w:r>
        <w:rPr>
          <w:rFonts w:ascii="Arial" w:cs="Arial" w:eastAsia="Arial" w:hAnsi="Arial"/>
          <w:sz w:val="18"/>
          <w:szCs w:val="18"/>
          <w:b w:val="1"/>
          <w:bCs w:val="1"/>
          <w:color w:val="auto"/>
        </w:rPr>
        <w:t xml:space="preserve"> Operating margin </w:t>
      </w:r>
      <w:r>
        <w:rPr>
          <w:rFonts w:ascii="Arial" w:cs="Arial" w:eastAsia="Arial" w:hAnsi="Arial"/>
          <w:sz w:val="18"/>
          <w:szCs w:val="18"/>
          <w:color w:val="auto"/>
        </w:rPr>
        <w:t>increased to 5.2% from 3.6% in the prior year.</w:t>
      </w:r>
    </w:p>
    <w:p>
      <w:pPr>
        <w:spacing w:after="0" w:line="161" w:lineRule="exact"/>
        <w:rPr>
          <w:rFonts w:ascii="Arial" w:cs="Arial" w:eastAsia="Arial" w:hAnsi="Arial"/>
          <w:sz w:val="18"/>
          <w:szCs w:val="18"/>
          <w:color w:val="auto"/>
        </w:rPr>
      </w:pPr>
    </w:p>
    <w:p>
      <w:pPr>
        <w:ind w:left="680" w:right="400" w:hanging="348"/>
        <w:spacing w:after="0" w:line="282" w:lineRule="auto"/>
        <w:tabs>
          <w:tab w:leader="none" w:pos="641"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Non-GAAP income from operations </w:t>
      </w:r>
      <w:r>
        <w:rPr>
          <w:rFonts w:ascii="Arial" w:cs="Arial" w:eastAsia="Arial" w:hAnsi="Arial"/>
          <w:sz w:val="18"/>
          <w:szCs w:val="18"/>
          <w:color w:val="auto"/>
        </w:rPr>
        <w:t>increased by 108% to RMB2.64 billion (US$407 million) from RMB1.27 billion in the prior year period.</w:t>
      </w:r>
      <w:r>
        <w:rPr>
          <w:rFonts w:ascii="Arial" w:cs="Arial" w:eastAsia="Arial" w:hAnsi="Arial"/>
          <w:sz w:val="18"/>
          <w:szCs w:val="18"/>
          <w:b w:val="1"/>
          <w:bCs w:val="1"/>
          <w:color w:val="auto"/>
        </w:rPr>
        <w:t xml:space="preserve"> Non-GAAP operating margin </w:t>
      </w:r>
      <w:r>
        <w:rPr>
          <w:rFonts w:ascii="Arial" w:cs="Arial" w:eastAsia="Arial" w:hAnsi="Arial"/>
          <w:sz w:val="18"/>
          <w:szCs w:val="18"/>
          <w:color w:val="auto"/>
        </w:rPr>
        <w:t>increased to 6.6% from 5.5% in the prior year.</w:t>
      </w:r>
    </w:p>
    <w:p>
      <w:pPr>
        <w:spacing w:after="0" w:line="161" w:lineRule="exact"/>
        <w:rPr>
          <w:rFonts w:ascii="Arial" w:cs="Arial" w:eastAsia="Arial" w:hAnsi="Arial"/>
          <w:sz w:val="18"/>
          <w:szCs w:val="18"/>
          <w:color w:val="auto"/>
        </w:rPr>
      </w:pPr>
    </w:p>
    <w:p>
      <w:pPr>
        <w:ind w:left="660" w:right="320" w:hanging="328"/>
        <w:spacing w:after="0" w:line="282"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Vipshop’s shareholders </w:t>
      </w:r>
      <w:r>
        <w:rPr>
          <w:rFonts w:ascii="Arial" w:cs="Arial" w:eastAsia="Arial" w:hAnsi="Arial"/>
          <w:sz w:val="18"/>
          <w:szCs w:val="18"/>
          <w:color w:val="auto"/>
        </w:rPr>
        <w:t>increased by 89% to RMB1.59 billion (US$245 million) from RMB841 million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year. </w:t>
      </w:r>
      <w:r>
        <w:rPr>
          <w:rFonts w:ascii="Arial" w:cs="Arial" w:eastAsia="Arial" w:hAnsi="Arial"/>
          <w:sz w:val="18"/>
          <w:szCs w:val="18"/>
          <w:b w:val="1"/>
          <w:bCs w:val="1"/>
          <w:color w:val="auto"/>
        </w:rPr>
        <w:t>Net margin</w:t>
      </w:r>
      <w:r>
        <w:rPr>
          <w:rFonts w:ascii="Arial" w:cs="Arial" w:eastAsia="Arial" w:hAnsi="Arial"/>
          <w:sz w:val="18"/>
          <w:szCs w:val="18"/>
          <w:color w:val="auto"/>
        </w:rPr>
        <w:t xml:space="preserve"> increased to 4.0% from 3.6% in the prior year.</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attributable to Vipshop’s shareholders </w:t>
      </w:r>
      <w:r>
        <w:rPr>
          <w:rFonts w:ascii="Arial" w:cs="Arial" w:eastAsia="Arial" w:hAnsi="Arial"/>
          <w:sz w:val="18"/>
          <w:szCs w:val="18"/>
          <w:color w:val="auto"/>
        </w:rPr>
        <w:t>increased by 78% to RMB2.20 billion (US$339 million) from RMB1.23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Mr. Eric Shen, chairman and chief executive officer of Vipshop, stated, “In 2015, we topped RMB40 billion in annual sales and attracted nearly 37 million active customers as of the end of the year. Looking at the fourth quarter 2015 results, we are very pleased to see our strategies to expand market share pay off, as evidenced by the reacceleration of revenue, active users and total orders on our platform. We also continued to enhance the user experience by optimizing our platform for mobile interaction and purchasing, as well as expanding our product categories through various initiatives including the build out of our emerging cross-border offering. In the fourth quarter of 2015, mobile accounted for approximately 82% of our GMV, up from 66% a year ago, further validating the appeal of our flash sale offering to on-the-go shoppers. Our cross-border business continues to gain momentum and has reached approximately 5% of GMV, demonstrating solid potential to be a strong growth driver in the future. As we diversify our product offering and further enhance the customer experience, we are confident in our ability to drive further growth and value for investors.”</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Mr. Donghao Yang, chief financial officer of Vipshop, commented, “We are very pleased with our fourth quarter and full year 2015 results. What was particularly encouraging was our ability to simultaneously reaccelerate growth in revenue, active users and total orders in the fourth quarter, while maintaining stable customer acquisition costs and marketing expenses as a percentage of total revenue. Furthermore, we were able to continue to strengthen our quarterly operating margins to 5.8% from 4.5% in the prior year period, even as our gross margins slightly contracted due to increased promotional activities to expand market share. We continued to make progress building out our warehousing and logistics capabilities. By the end of January 2016, our in-house and invested last mile capabilities supported over 83% of the orders on our platform. Looking ahead, our goal is to further grow our market share and top-line through investments in new user acquisition and marketing, while maintaining discipline with our expenses and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2015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net revenue for the fourth quarter of 2015 increased by 65% to RMB13.90 billion (US$2.15 billion) from RMB8.41 billion in the prior year period, primarily driven by the growth in the numbers of total active customers, repeat customers, total orders, as well as the increasing revenue contribution from the mobile platform.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number of active customers for the fourth quarter of 2015 increased by 58% to 19.8 million from 12.5 million in the prior year period. The number of total orders for the fourth quarter of 2015 increased by 67% to 64.9 million from 38.9 million in the prior year period</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spacing w:after="0" w:line="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an effort to increase focus on its core flash sales business, the Company began to substantially scale down its lower-margin group-buy business in the third quarter of 2014. Excluding the impact of the group-buy business and Lefeng, the number of total customers and total orders for Vipshop’s core flash sales</w:t>
      </w:r>
    </w:p>
    <w:p>
      <w:pPr>
        <w:sectPr>
          <w:pgSz w:w="11900" w:h="16838" w:orient="portrait"/>
          <w:cols w:equalWidth="0" w:num="1">
            <w:col w:w="11420"/>
          </w:cols>
          <w:pgMar w:left="240" w:top="125" w:right="239" w:bottom="0" w:gutter="0" w:footer="0" w:header="0"/>
        </w:sectPr>
      </w:pPr>
    </w:p>
    <w:bookmarkStart w:id="2" w:name="page3"/>
    <w:bookmarkEnd w:id="2"/>
    <w:p>
      <w:pPr>
        <w:spacing w:after="0" w:line="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business increased by 76% and 80% year over year, respectively. On the mobile platform, the number of total active customers and total orders for Vipshop’s core flash sales business increased by 124% and 126% year over year,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Gross profit for the fourth quarter of 2015 increased by 60% to RMB3.35 billion (US$517 million) from RMB2.09 billion in the prior year period. Gross margin was 24.1%, as compared with 24.9% in the prior year period. The decline in gross margin is primarily attributable to increased promotional activities and sales to drive user and order growth on the platform.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EXPENSES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Total operating expenses for the fourth quarter of 2015 were RMB2.72 billion (US$420 million), as compared with the RMB1.78 billion in the prior year period. As a percentage of total net revenue, total operating expenses decreased to 19.6% from 21.2% in the prior year period.</w:t>
      </w:r>
    </w:p>
    <w:p>
      <w:pPr>
        <w:spacing w:after="0" w:line="147" w:lineRule="exact"/>
        <w:rPr>
          <w:sz w:val="20"/>
          <w:szCs w:val="20"/>
          <w:color w:val="auto"/>
        </w:rPr>
      </w:pPr>
    </w:p>
    <w:p>
      <w:pPr>
        <w:jc w:val="both"/>
        <w:ind w:left="680" w:right="220" w:hanging="348"/>
        <w:spacing w:after="0" w:line="312" w:lineRule="auto"/>
        <w:tabs>
          <w:tab w:leader="none" w:pos="64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Fulfillment expenses </w:t>
      </w:r>
      <w:r>
        <w:rPr>
          <w:rFonts w:ascii="Arial" w:cs="Arial" w:eastAsia="Arial" w:hAnsi="Arial"/>
          <w:sz w:val="16"/>
          <w:szCs w:val="16"/>
          <w:color w:val="auto"/>
        </w:rPr>
        <w:t>for the fourth quarter of 2015 were RMB1.26 billion (US$195 million), as compared with RMB789 million in the prior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primarily reflecting the increase in sales volume, and number of orders fulfilled. As a percentage of total net revenue, fulfillment expenses decreased to 9.1% from 9.4% in the prior year period, primarily reflecting the scale effect associated with the growth in total net revenue.</w:t>
      </w:r>
    </w:p>
    <w:p>
      <w:pPr>
        <w:spacing w:after="0" w:line="146" w:lineRule="exact"/>
        <w:rPr>
          <w:rFonts w:ascii="Arial" w:cs="Arial" w:eastAsia="Arial" w:hAnsi="Arial"/>
          <w:sz w:val="16"/>
          <w:szCs w:val="16"/>
          <w:color w:val="auto"/>
        </w:rPr>
      </w:pPr>
    </w:p>
    <w:p>
      <w:pPr>
        <w:ind w:left="720" w:right="80" w:hanging="388"/>
        <w:spacing w:after="0" w:line="259"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expenses </w:t>
      </w:r>
      <w:r>
        <w:rPr>
          <w:rFonts w:ascii="Arial" w:cs="Arial" w:eastAsia="Arial" w:hAnsi="Arial"/>
          <w:sz w:val="18"/>
          <w:szCs w:val="18"/>
          <w:color w:val="auto"/>
        </w:rPr>
        <w:t>for the fourth quarter of 2015 were RMB715 million (US$110 million), as compared with RMB421 million in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reflecting the Company’s strategy to drive long-term growth through increasing investments in strengthening its brand awareness, attracting new users and expanding market share. As a percentage of total net revenue, marketing expenses were 5.1%, as compared to 5.0% in the prior year period.</w:t>
      </w:r>
    </w:p>
    <w:p>
      <w:pPr>
        <w:spacing w:after="0" w:line="186" w:lineRule="exact"/>
        <w:rPr>
          <w:rFonts w:ascii="Arial" w:cs="Arial" w:eastAsia="Arial" w:hAnsi="Arial"/>
          <w:sz w:val="18"/>
          <w:szCs w:val="18"/>
          <w:color w:val="auto"/>
        </w:rPr>
      </w:pPr>
    </w:p>
    <w:p>
      <w:pPr>
        <w:ind w:left="720" w:hanging="388"/>
        <w:spacing w:after="0" w:line="257"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and content expenses </w:t>
      </w:r>
      <w:r>
        <w:rPr>
          <w:rFonts w:ascii="Arial" w:cs="Arial" w:eastAsia="Arial" w:hAnsi="Arial"/>
          <w:sz w:val="18"/>
          <w:szCs w:val="18"/>
          <w:color w:val="auto"/>
        </w:rPr>
        <w:t>for the fourth quarter of 2015 were RMB322 million (US$50 million), as compared with RMB236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reflecting the Company’s continued efforts to invest in human capital and advanced technologies such as data analytics, which can help improve the ability to predict consumer behavior and further enhance user experience. As a percentage of total net revenue, technology and content expenses decreased to 2.3% from 2.8% in the prior year period, primarily reflecting the scale effect associated with the growth in 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right="180" w:firstLine="8"/>
        <w:spacing w:after="0" w:line="227" w:lineRule="auto"/>
        <w:tabs>
          <w:tab w:leader="none" w:pos="1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prior year period figures of active customers and total orders in this release have also been revised to reflect the broadened definitions as explained in footnotes 1 and 2 above to ensure comparability.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right="100" w:hanging="388"/>
        <w:spacing w:after="0" w:line="264"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for the fourth quarter of 2015 were RMB421 million (US$65 million), as compared with RMB334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As a percentage of total net revenue, general and administrative expenses decreased to 3.0% from 4.0% in the prior year period, primarily reflecting the scale effect associated with the growth in total net revenue.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Income from operations for the fourth quarter of 2015 increased by 114% to RMB802 million (US$124 million) from RMB375 million in the prior year period due to the growing scale of the Company’s operations and decrease in fulfillment, technology and content and general and administrative expenses as a percentage of total net revenue. Operating margin increased to 5.8% from 4.5% in the prior year period.</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Non-GAAP income from operations, which excludes share-based compensation expenses and amortization of intangible assets resulting from a business acquisition, increased by 96% to RMB966 million (US$149 million) from RMB493 million in the prior year period. Non-GAAP operating income margin increased to 6.9% from 5.9%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Exchange loss was RMB73 million (US$11 million), as compared to RMB20 million in the prior year period, primarily driven by the weakening value of the Renminbi relative to the U.S. dollar. Income tax expense was RMB163 million (US$25 million), as compared to RMB61 million in the prior year period, primarily due to the increase in net income before taxes as well as an increase in the effective tax rate over the prior year period. The lower effective tax rate in the prior year period was primarily due to the utilization of tax loss carryforward, and the recognition of catch-up tax savings of a subsidiary, which saw its income tax rate lowered to 15% from 25% after the local tax bureau approved its preferential tax treatment in the prior year period.</w:t>
      </w:r>
    </w:p>
    <w:p>
      <w:pPr>
        <w:spacing w:after="0" w:line="158"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Net income attributable to Vipshop’s shareholders increased by 45% to RMB506 million (US$78 million) from RMB349 million in the prior year period. Net margin attributable to Vipshop’s shareholders was 3.6%, as compared to 4.2% in the prior year period. Net income attributable to Vipshop’s shareholders per diluted ADS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increased to RMB0.84 (US$0.13) from RMB0.58 in the prior year period.</w:t>
      </w:r>
    </w:p>
    <w:p>
      <w:pPr>
        <w:spacing w:after="0" w:line="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Non-GAAP net income attributable to Vipshop’s shareholders, which excludes share-based compensation expenses, impairment loss of investments, and amortization of intangible assets resulting from a business acquisition and equity method investments, increased by 61% to RMB741 million (US$114 million) from RMB460 million in the prior year period. Non-GAAP net margin attributable to Vipshop’s shareholders was 5.3%, as compared to 5.5% in the prior year period. The contractions in both net margin and non-GAAP net margin attributable to Vipshop’s shareholders were primarily due to the relatively large exchange loss in the period as well as the large increase in income tax expense. Non-GAAP net income attributable to Vipshop’s shareholders per diluted ADS increased to RMB1.22 (US$0.19) from RMB0.77 in the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December 31, 2015, the Company’s weighted average number of ADSs used in computing diluted income per ADS was 628,282,951.</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2015, the Company had cash and cash equivalents of RMB3.32 billion (US$513 million) and held-to-maturity securities of RMB1.81 billion (US$279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300" w:firstLine="8"/>
        <w:spacing w:after="0" w:line="267" w:lineRule="auto"/>
        <w:tabs>
          <w:tab w:leader="none" w:pos="1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“ADS” means American Depositary Share. Effective November 3, 2014, the Company changed its ADS to Class A Ordinary Share (“Share”) ratio from one ADS representing two Shares to five ADSs representing one Share. The computations of GAAP and non-GAAP income per diluted ADS have been</w:t>
      </w:r>
    </w:p>
    <w:p>
      <w:pPr>
        <w:sectPr>
          <w:pgSz w:w="11900" w:h="16884" w:orient="portrait"/>
          <w:cols w:equalWidth="0" w:num="1">
            <w:col w:w="11420"/>
          </w:cols>
          <w:pgMar w:left="240" w:top="125" w:right="239" w:bottom="0" w:gutter="0" w:footer="0" w:header="0"/>
        </w:sectPr>
      </w:pPr>
    </w:p>
    <w:bookmarkStart w:id="3" w:name="page4"/>
    <w:bookmarkEnd w:id="3"/>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adjusted retroactively for all periods presented to reflect this 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December 31, 2015, net cash from operating activities was RMB1.61 billion (US$248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2015 Financial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revenues increased by 74% year over year for the full year of 2015 to RMB40.20 billion (US$6.21 billion) from RMB23.13 billion in the prior year, primarily driven by growth in the number of new active customers, total active customers, total orders, as well as the increasing revenue contribution from the mobile platform.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number of active customers for the full year of 2015 increased by 51% to 36.6 million from 24.3 million in the prior year. The number of total orders for the full year of 2015 increased by 64% to 193.1 million from 118.0 million in the prior year.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profit increased by 72% to RMB9.90 billion (US$1.53 billion) for the full year of 2015 from RMB5.75 billion in the prior year. Gross margin was 24.6%, as compared to 24.9% in the prior year.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Income from operations for the full year of 2015 increased by 148% to RMB2.07 billion (US$320 million) from RMB834 million in the prior year due to the growing scale of the Company’s operations and decrease in fulfillment and general and administrative expenses as a percentage of total net revenue. Operating margin increased to 5.2% from 3.6% in the prior year.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Non-GAAP income from operations for the full year of 2015 increased by 108% to RMB2.64 billion (US$407 million) from RMB1.27 billion in the prior year. Non-GAAP operating income margin increased to 6.6% from 5.5% in the prior year.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income attributable to Vipshop’s shareholders for the full year of 2015 increased by 89% to RMB1.59 billion (US$245 million) from RMB841 million in the prior year. Net margin increased to 4.0% from 3.6% in the prior year. Net income attributable to Vipshop’s shareholders per diluted ADS increased to RMB2.65 (US$0.41) from RMB1.40 in the prior year.</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Non-GAAP net income attributable to Vipshop’s shareholders for the full year of 2015 increased by 78% to RMB2.20 billion (US$339 million) from RMB1.23 billion in the prior year. Non-GAAP net margin increased to 5.5% from 5.3% in the prior year. Non-GAAP net income attributable to Vipshop’s shareholders per diluted ADS increased to RMB3.66 (US$0.56) from RMB2.05 in the prior year.</w:t>
      </w:r>
    </w:p>
    <w:p>
      <w:pPr>
        <w:spacing w:after="0" w:line="18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For the full year ended December 31, 2015, the Company’s weighted average number of ADSs used in computing diluted earnings per ADS was 600,840,315.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2015, net cash from operating activities was RMB1.92 billion (US$296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17, 2015, the Company’s board of directors approved a share repurchase program whereby the Company may purchase its own ADSs with an aggregate value of up to US$300 million over the following 24-month period, ending on November 16, 2017. As of December 31, 2015, the Company had repurchased approximately US$130 million in aggregate of its own ADSs.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first quarter of 2016, the Company expects its total net revenue to be between RMB11.8 billion and RMB12.3 billion, representing a year-over-year growth rate of approximately 37% to 43%. These forecasts reflect the Company’s current and preliminary view on the market and operational conditions, which is subject to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announcement contains currency conversions of certain Renminbi amounts into U.S. dollars at specified rates solely for the convenience of the reader. Unless otherwise noted, all translations from Renminbi to U.S. dollars are made at a rate of RMB6.4778 to US$1.00, the effective noon buying rate for December 31, 2015 as set forth in the H.10 statistical release of the Federal Reserve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will hold a conference call on Thursday, February 25, 2016 at 8:00 am Eastern Time or 9:00 pm Beijing Time to discuss its financial results and operating performance for the fourth quarter and full year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560"/>
              <w:spacing w:after="0"/>
              <w:rPr>
                <w:sz w:val="20"/>
                <w:szCs w:val="20"/>
                <w:color w:val="auto"/>
              </w:rPr>
            </w:pPr>
            <w:r>
              <w:rPr>
                <w:rFonts w:ascii="Arial" w:cs="Arial" w:eastAsia="Arial" w:hAnsi="Arial"/>
                <w:sz w:val="18"/>
                <w:szCs w:val="18"/>
                <w:color w:val="auto"/>
                <w:w w:val="89"/>
              </w:rPr>
              <w:t>+1-845-675-0438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International Toll Free:</w:t>
            </w:r>
          </w:p>
        </w:tc>
        <w:tc>
          <w:tcPr>
            <w:tcW w:w="1820" w:type="dxa"/>
            <w:vAlign w:val="bottom"/>
          </w:tcPr>
          <w:p>
            <w:pPr>
              <w:ind w:left="560"/>
              <w:spacing w:after="0"/>
              <w:rPr>
                <w:sz w:val="20"/>
                <w:szCs w:val="20"/>
                <w:color w:val="auto"/>
              </w:rPr>
            </w:pPr>
            <w:r>
              <w:rPr>
                <w:rFonts w:ascii="Arial" w:cs="Arial" w:eastAsia="Arial" w:hAnsi="Arial"/>
                <w:sz w:val="18"/>
                <w:szCs w:val="18"/>
                <w:color w:val="auto"/>
                <w:w w:val="89"/>
              </w:rPr>
              <w:t>+1-855-500-8701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China Domestic:</w:t>
            </w:r>
          </w:p>
        </w:tc>
        <w:tc>
          <w:tcPr>
            <w:tcW w:w="1820" w:type="dxa"/>
            <w:vAlign w:val="bottom"/>
          </w:tcPr>
          <w:p>
            <w:pPr>
              <w:ind w:left="560"/>
              <w:spacing w:after="0"/>
              <w:rPr>
                <w:sz w:val="20"/>
                <w:szCs w:val="20"/>
                <w:color w:val="auto"/>
              </w:rPr>
            </w:pPr>
            <w:r>
              <w:rPr>
                <w:rFonts w:ascii="Arial" w:cs="Arial" w:eastAsia="Arial" w:hAnsi="Arial"/>
                <w:sz w:val="18"/>
                <w:szCs w:val="18"/>
                <w:color w:val="auto"/>
              </w:rPr>
              <w:t>400-1200654</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Hong Kong:</w:t>
            </w:r>
          </w:p>
        </w:tc>
        <w:tc>
          <w:tcPr>
            <w:tcW w:w="1820" w:type="dxa"/>
            <w:vAlign w:val="bottom"/>
          </w:tcPr>
          <w:p>
            <w:pPr>
              <w:ind w:left="560"/>
              <w:spacing w:after="0"/>
              <w:rPr>
                <w:sz w:val="20"/>
                <w:szCs w:val="20"/>
                <w:color w:val="auto"/>
              </w:rPr>
            </w:pPr>
            <w:r>
              <w:rPr>
                <w:rFonts w:ascii="Arial" w:cs="Arial" w:eastAsia="Arial" w:hAnsi="Arial"/>
                <w:sz w:val="18"/>
                <w:szCs w:val="18"/>
                <w:color w:val="auto"/>
                <w:w w:val="93"/>
              </w:rPr>
              <w:t>+852-3018-6776</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Conference ID:</w:t>
            </w:r>
          </w:p>
        </w:tc>
        <w:tc>
          <w:tcPr>
            <w:tcW w:w="1820" w:type="dxa"/>
            <w:vAlign w:val="bottom"/>
          </w:tcPr>
          <w:p>
            <w:pPr>
              <w:ind w:left="560"/>
              <w:spacing w:after="0"/>
              <w:rPr>
                <w:sz w:val="20"/>
                <w:szCs w:val="20"/>
                <w:color w:val="auto"/>
              </w:rPr>
            </w:pPr>
            <w:r>
              <w:rPr>
                <w:rFonts w:ascii="Arial" w:cs="Arial" w:eastAsia="Arial" w:hAnsi="Arial"/>
                <w:sz w:val="18"/>
                <w:szCs w:val="18"/>
                <w:color w:val="auto"/>
              </w:rPr>
              <w:t>#54231245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replay will be accessible through March 3, 2016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1800" w:type="dxa"/>
            <w:vAlign w:val="bottom"/>
          </w:tcPr>
          <w:p>
            <w:pPr>
              <w:jc w:val="right"/>
              <w:spacing w:after="0"/>
              <w:rPr>
                <w:sz w:val="20"/>
                <w:szCs w:val="20"/>
                <w:color w:val="auto"/>
              </w:rPr>
            </w:pPr>
            <w:r>
              <w:rPr>
                <w:rFonts w:ascii="Arial" w:cs="Arial" w:eastAsia="Arial" w:hAnsi="Arial"/>
                <w:sz w:val="18"/>
                <w:szCs w:val="18"/>
                <w:color w:val="auto"/>
              </w:rPr>
              <w:t>+1-855-452-5696</w:t>
            </w:r>
          </w:p>
        </w:tc>
      </w:tr>
    </w:tbl>
    <w:p>
      <w:pPr>
        <w:sectPr>
          <w:pgSz w:w="11900" w:h="16897" w:orient="portrait"/>
          <w:cols w:equalWidth="0" w:num="1">
            <w:col w:w="11400"/>
          </w:cols>
          <w:pgMar w:left="240" w:top="125" w:right="2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International:</w:t>
            </w:r>
          </w:p>
        </w:tc>
        <w:tc>
          <w:tcPr>
            <w:tcW w:w="2020" w:type="dxa"/>
            <w:vAlign w:val="bottom"/>
          </w:tcPr>
          <w:p>
            <w:pPr>
              <w:ind w:left="840"/>
              <w:spacing w:after="0"/>
              <w:rPr>
                <w:sz w:val="20"/>
                <w:szCs w:val="20"/>
                <w:color w:val="auto"/>
              </w:rPr>
            </w:pPr>
            <w:r>
              <w:rPr>
                <w:rFonts w:ascii="Arial" w:cs="Arial" w:eastAsia="Arial" w:hAnsi="Arial"/>
                <w:sz w:val="18"/>
                <w:szCs w:val="18"/>
                <w:color w:val="auto"/>
                <w:w w:val="88"/>
              </w:rPr>
              <w:t>+61 2 90034211</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Conference ID:</w:t>
            </w:r>
          </w:p>
        </w:tc>
        <w:tc>
          <w:tcPr>
            <w:tcW w:w="2020" w:type="dxa"/>
            <w:vAlign w:val="bottom"/>
          </w:tcPr>
          <w:p>
            <w:pPr>
              <w:ind w:left="840"/>
              <w:spacing w:after="0"/>
              <w:rPr>
                <w:sz w:val="20"/>
                <w:szCs w:val="20"/>
                <w:color w:val="auto"/>
              </w:rPr>
            </w:pPr>
            <w:r>
              <w:rPr>
                <w:rFonts w:ascii="Arial" w:cs="Arial" w:eastAsia="Arial" w:hAnsi="Arial"/>
                <w:sz w:val="18"/>
                <w:szCs w:val="18"/>
                <w:color w:val="auto"/>
              </w:rPr>
              <w:t>#54231245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live and archived webcast of the conference call will also be available at the Company’s investor relations website at http://ir.vip.com.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www.vip.com.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demand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and in the attachments is as of the date of this press release, and Vipshop does not undertake any obligation to update any forward-looking statement, except as required under applicable law.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unaudited condensed consolidated financial information is prepared in conformity with accounting principles generally accepted in the United States of America (“U.S. GAAP”), except that the consolidated statement of shareholders’ equity, consolidated statements of cash flows, and the detailed notes required by Accounting Standards Codification 270 Interim Reporting (“ASC270”), have not been presented. Vipshop uses non-GAAP net income attributable to Vipshop’s shareholders, non-GAAP net income per diluted ADS, non-GAAP income from operations, non-GAAP net income margin, and non-GAAP operating income margin, each of which is a non-GAAP financial measure. Non-GAAP net income attributable to Vipshop’s shareholders is net income attributable to Vipshop’s shareholders excluding share-based compensation expenses, impairment loss of investments, and amortization of intangible assets resulting from a business acquisition and equity method investments. Non-GAAP net income per diluted ADS is non-GAAP net income divided by weighted average number of diluted ADS. Non-GAAP income from operations is income from operations excluding share-based compensation expenses and amortization of intangible assets resulting from a business acquisition. Non-GAAP operating income margin is non-GAAP income from operations as a percentage of total net revenue. Non-GAAP net income margin is non-GAAP net income as a percentage of total net revenue. The Company believes that separate analysis and exclusion of the non-cash impact of share-based compensation, impairment loss of investments and amortization of intangible assets adds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impairment loss of investments, and amortization of intangible assets. Share-based compensation expenses and amortization of intangible assets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6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5" w:name="page6"/>
    <w:bookmarkEnd w:id="5"/>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December 31,2014</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220" w:type="dxa"/>
            <w:vAlign w:val="bottom"/>
          </w:tcPr>
          <w:p>
            <w:pPr>
              <w:spacing w:after="0"/>
              <w:rPr>
                <w:sz w:val="12"/>
                <w:szCs w:val="12"/>
                <w:color w:val="auto"/>
              </w:rPr>
            </w:pPr>
          </w:p>
        </w:tc>
        <w:tc>
          <w:tcPr>
            <w:tcW w:w="12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December 31,2014</w:t>
            </w:r>
          </w:p>
        </w:tc>
        <w:tc>
          <w:tcPr>
            <w:tcW w:w="140" w:type="dxa"/>
            <w:vAlign w:val="bottom"/>
          </w:tcPr>
          <w:p>
            <w:pPr>
              <w:spacing w:after="0"/>
              <w:rPr>
                <w:sz w:val="12"/>
                <w:szCs w:val="12"/>
                <w:color w:val="auto"/>
              </w:rPr>
            </w:pPr>
          </w:p>
        </w:tc>
        <w:tc>
          <w:tcPr>
            <w:tcW w:w="13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(Unaudited)</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8,250,360</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13,657,163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2,108,303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22,685,111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39,409,961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revenues (1)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163,559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243,983</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37,664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444,202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793,251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8,413,919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13,901,146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2,145,967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23,129,313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40,203,212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(6,320,857)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(10,552,727)</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(1,629,060)</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(17,378,044)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(30,306,723)</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(4,678,552)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3,348,419</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516,907</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5,751,269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9,896,489</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Fulfillment expenses(2)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(788,516)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(1,263,359)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(2,268,949)</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(3,667,031)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Marketing expenses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(421,189)</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(714,520)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(110,303)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(1,164,149)</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(2,089,348)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content expenses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(235,848)</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(321,602)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(670,998)</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(1,076,520)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(334,445)</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(421,401)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(65,053)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(967,463)</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(1,301,472)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(2,720,882)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(420,032)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(5,071,559)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(8,134,371)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174,223</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153,977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308,431</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801,760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20,300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of investments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(89,749)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(99,749)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(12,777)</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(24,441)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(75,249)</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(85,762)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46,844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288,622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267,208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 loss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(20,197)</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(73,307)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(11,316)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(101,726)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Income before income taxes and share of</w:t>
            </w: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of affiliates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421,024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661,107</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102,059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1,060,341</w:t>
            </w:r>
          </w:p>
        </w:tc>
        <w:tc>
          <w:tcPr>
            <w:tcW w:w="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2,050,520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expense(4)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(60,957)</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(162,748)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(25,124)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(245,032)</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(457,745)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affiliates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(34,306)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(7,777)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(62,716)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(84,063)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325,761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490,582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75,734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752,593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1,508,712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noncontrolling</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15,584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88,693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80,952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line="182"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349,495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506,166</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78,140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841,286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1,589,664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Shares used in calculating earnings per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share(5):</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97,841,008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99,486,779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99,486,779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96,800,324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99,225,734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99,225,734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103,265,376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109,146,232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109,146,232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103,717,226</w:t>
            </w: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103,657,705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103,657,705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16,510,358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16,510,358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16,510,358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16,510,358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16,510,358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16,510,358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16,510,358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16,510,358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16,510,358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16,510,358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16,510,358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16,510,358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Class A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shareholders—Basic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shareholders—Diluted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Class B share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shareholders—Basic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shareholders—Diluted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per ADS (1 ordinary share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equals to 5 ADSs)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shareholders—Basic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0.87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shareholders—Diluted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943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197485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94"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(1)Other revenues primarily consist of revenues from product promotion and online advertising, fees charged to third-party merchants which the Company provides platform access for sales of their products.</w:t>
      </w:r>
    </w:p>
    <w:p>
      <w:pPr>
        <w:spacing w:after="0" w:line="166" w:lineRule="exact"/>
        <w:rPr>
          <w:sz w:val="20"/>
          <w:szCs w:val="20"/>
          <w:color w:val="auto"/>
        </w:rPr>
      </w:pPr>
    </w:p>
    <w:p>
      <w:pPr>
        <w:ind w:firstLine="8"/>
        <w:spacing w:after="0" w:line="264"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shipping and handling expenses, which amounted RMB 403million and RMB 647 million in the three month periods ended December 31, 2014 and December 31, 2015, respectively.</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ind w:left="2" w:right="160"/>
        <w:spacing w:after="0" w:line="312" w:lineRule="auto"/>
        <w:rPr>
          <w:sz w:val="20"/>
          <w:szCs w:val="20"/>
          <w:color w:val="auto"/>
        </w:rPr>
      </w:pPr>
      <w:r>
        <w:rPr>
          <w:rFonts w:ascii="Arial" w:cs="Arial" w:eastAsia="Arial" w:hAnsi="Arial"/>
          <w:sz w:val="16"/>
          <w:szCs w:val="16"/>
          <w:i w:val="1"/>
          <w:iCs w:val="1"/>
          <w:color w:val="auto"/>
        </w:rPr>
        <w:t>(1)Other revenues primarily consist of revenues from product promotion and online advertising, fees charged to third-party merchants which the Company provides platform access for sales of their product.</w:t>
      </w:r>
    </w:p>
    <w:p>
      <w:pPr>
        <w:spacing w:after="0" w:line="147" w:lineRule="exact"/>
        <w:rPr>
          <w:sz w:val="20"/>
          <w:szCs w:val="20"/>
          <w:color w:val="auto"/>
        </w:rPr>
      </w:pPr>
    </w:p>
    <w:p>
      <w:pPr>
        <w:ind w:left="2" w:right="300" w:hanging="2"/>
        <w:spacing w:after="0" w:line="264" w:lineRule="auto"/>
        <w:tabs>
          <w:tab w:leader="none" w:pos="256"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shipping and handling expenses, which amounted RMB1,175 million and RMB1,714 million in the twelve month periods ended December 31,2014 and 2015 respectively.</w:t>
      </w:r>
    </w:p>
    <w:p>
      <w:pPr>
        <w:spacing w:after="0" w:line="181" w:lineRule="exact"/>
        <w:rPr>
          <w:sz w:val="20"/>
          <w:szCs w:val="20"/>
          <w:color w:val="auto"/>
        </w:rPr>
      </w:pPr>
    </w:p>
    <w:p>
      <w:pPr>
        <w:sectPr>
          <w:pgSz w:w="11900" w:h="16894" w:orient="portrait"/>
          <w:cols w:equalWidth="0" w:num="2">
            <w:col w:w="5820" w:space="238"/>
            <w:col w:w="5362"/>
          </w:cols>
          <w:pgMar w:left="240" w:top="121" w:right="239" w:bottom="0" w:gutter="0" w:footer="0" w:header="0"/>
          <w:type w:val="continuous"/>
        </w:sectPr>
      </w:pPr>
    </w:p>
    <w:p>
      <w:pPr>
        <w:spacing w:after="0" w:line="342" w:lineRule="auto"/>
        <w:rPr>
          <w:sz w:val="20"/>
          <w:szCs w:val="20"/>
          <w:color w:val="auto"/>
        </w:rPr>
      </w:pPr>
      <w:r>
        <w:rPr>
          <w:rFonts w:ascii="Arial" w:cs="Arial" w:eastAsia="Arial" w:hAnsi="Arial"/>
          <w:sz w:val="16"/>
          <w:szCs w:val="16"/>
          <w:i w:val="1"/>
          <w:iCs w:val="1"/>
          <w:color w:val="auto"/>
        </w:rPr>
        <w:t>(3)Including amortization of intangible assets resulting from a business acquisition, which amounted to RMB 60 million and RMB 72 million in the</w:t>
      </w:r>
    </w:p>
    <w:p>
      <w:pPr>
        <w:spacing w:after="0" w:line="20" w:lineRule="exact"/>
        <w:rPr>
          <w:sz w:val="20"/>
          <w:szCs w:val="20"/>
          <w:color w:val="auto"/>
        </w:rPr>
      </w:pPr>
      <w:r>
        <w:rPr>
          <w:sz w:val="20"/>
          <w:szCs w:val="20"/>
          <w:color w:val="auto"/>
        </w:rPr>
        <w:br w:type="column"/>
      </w:r>
    </w:p>
    <w:p>
      <w:pPr>
        <w:ind w:right="120"/>
        <w:spacing w:after="0" w:line="342" w:lineRule="auto"/>
        <w:rPr>
          <w:sz w:val="20"/>
          <w:szCs w:val="20"/>
          <w:color w:val="auto"/>
        </w:rPr>
      </w:pPr>
      <w:r>
        <w:rPr>
          <w:rFonts w:ascii="Arial" w:cs="Arial" w:eastAsia="Arial" w:hAnsi="Arial"/>
          <w:sz w:val="16"/>
          <w:szCs w:val="16"/>
          <w:i w:val="1"/>
          <w:iCs w:val="1"/>
          <w:color w:val="auto"/>
        </w:rPr>
        <w:t>(3)Including amortization of intangible assets resulting from a business acquisition, which amounted to RMB212 million and RMB265 million in</w:t>
      </w:r>
    </w:p>
    <w:p>
      <w:pPr>
        <w:sectPr>
          <w:pgSz w:w="11900" w:h="16894" w:orient="portrait"/>
          <w:cols w:equalWidth="0" w:num="2">
            <w:col w:w="5420" w:space="640"/>
            <w:col w:w="5360"/>
          </w:cols>
          <w:pgMar w:left="240" w:top="121" w:right="239" w:bottom="0" w:gutter="0" w:footer="0" w:header="0"/>
          <w:type w:val="continuous"/>
        </w:sectPr>
      </w:pPr>
    </w:p>
    <w:bookmarkStart w:id="6" w:name="page7"/>
    <w:bookmarkEnd w:id="6"/>
    <w:p>
      <w:pPr>
        <w:ind w:right="580"/>
        <w:spacing w:after="0" w:line="277" w:lineRule="auto"/>
        <w:rPr>
          <w:sz w:val="20"/>
          <w:szCs w:val="20"/>
          <w:color w:val="auto"/>
        </w:rPr>
      </w:pPr>
      <w:r>
        <w:rPr>
          <w:rFonts w:ascii="Arial" w:cs="Arial" w:eastAsia="Arial" w:hAnsi="Arial"/>
          <w:sz w:val="18"/>
          <w:szCs w:val="18"/>
          <w:i w:val="1"/>
          <w:iCs w:val="1"/>
          <w:color w:val="auto"/>
        </w:rPr>
        <w:t>three months period ended December 31, 2014 and December 31, 2015,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(4)Included income tax benefits of RMB 15 million and RMB 18 million related to the reversal of deferred tax liabilities, which was recognized on the businss acquisition of Lefeng for the three months period ended December 31, 2014 and December 31, 2015, respectively.</w:t>
      </w:r>
    </w:p>
    <w:p>
      <w:pPr>
        <w:spacing w:after="0" w:line="187" w:lineRule="exact"/>
        <w:rPr>
          <w:sz w:val="20"/>
          <w:szCs w:val="20"/>
          <w:color w:val="auto"/>
        </w:rPr>
      </w:pPr>
    </w:p>
    <w:p>
      <w:pPr>
        <w:ind w:right="60" w:firstLine="8"/>
        <w:spacing w:after="0" w:line="279" w:lineRule="auto"/>
        <w:tabs>
          <w:tab w:leader="none" w:pos="252"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Authorized share capital are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 w:lineRule="exact"/>
        <w:rPr>
          <w:sz w:val="20"/>
          <w:szCs w:val="20"/>
          <w:color w:val="auto"/>
        </w:rPr>
      </w:pPr>
      <w:r>
        <w:rPr>
          <w:sz w:val="20"/>
          <w:szCs w:val="20"/>
          <w:color w:val="auto"/>
        </w:rPr>
        <w:br w:type="column"/>
      </w:r>
    </w:p>
    <w:p>
      <w:pPr>
        <w:ind w:left="2" w:right="300"/>
        <w:spacing w:after="0" w:line="277" w:lineRule="auto"/>
        <w:rPr>
          <w:sz w:val="20"/>
          <w:szCs w:val="20"/>
          <w:color w:val="auto"/>
        </w:rPr>
      </w:pPr>
      <w:r>
        <w:rPr>
          <w:rFonts w:ascii="Arial" w:cs="Arial" w:eastAsia="Arial" w:hAnsi="Arial"/>
          <w:sz w:val="18"/>
          <w:szCs w:val="18"/>
          <w:i w:val="1"/>
          <w:iCs w:val="1"/>
          <w:color w:val="auto"/>
        </w:rPr>
        <w:t>the twelve months period ended December 31, 2014 and December 31, 2015, respectively.</w:t>
      </w:r>
    </w:p>
    <w:p>
      <w:pPr>
        <w:spacing w:after="0" w:line="170" w:lineRule="exact"/>
        <w:rPr>
          <w:sz w:val="20"/>
          <w:szCs w:val="20"/>
          <w:color w:val="auto"/>
        </w:rPr>
      </w:pPr>
    </w:p>
    <w:p>
      <w:pPr>
        <w:ind w:left="2" w:right="100"/>
        <w:spacing w:after="0" w:line="279" w:lineRule="auto"/>
        <w:rPr>
          <w:sz w:val="20"/>
          <w:szCs w:val="20"/>
          <w:color w:val="auto"/>
        </w:rPr>
      </w:pPr>
      <w:r>
        <w:rPr>
          <w:rFonts w:ascii="Arial" w:cs="Arial" w:eastAsia="Arial" w:hAnsi="Arial"/>
          <w:sz w:val="17"/>
          <w:szCs w:val="17"/>
          <w:i w:val="1"/>
          <w:iCs w:val="1"/>
          <w:color w:val="auto"/>
        </w:rPr>
        <w:t>(4)Included income tax benefits of RMB54 million and RMB67 million related to the reversal of deferred tax liabilities, which was recognized on the businss acquisition of Lefeng for the twelve months period ended December 31, 2014 and December 31, 2015, respectively.</w:t>
      </w:r>
    </w:p>
    <w:p>
      <w:pPr>
        <w:spacing w:after="0" w:line="171" w:lineRule="exact"/>
        <w:rPr>
          <w:sz w:val="20"/>
          <w:szCs w:val="20"/>
          <w:color w:val="auto"/>
        </w:rPr>
      </w:pPr>
    </w:p>
    <w:p>
      <w:pPr>
        <w:ind w:left="2" w:right="60" w:hanging="2"/>
        <w:spacing w:after="0" w:line="257" w:lineRule="auto"/>
        <w:tabs>
          <w:tab w:leader="none" w:pos="253"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Authorized share capital are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0" w:lineRule="exact"/>
        <w:rPr>
          <w:sz w:val="20"/>
          <w:szCs w:val="20"/>
          <w:color w:val="auto"/>
        </w:rPr>
      </w:pPr>
    </w:p>
    <w:p>
      <w:pPr>
        <w:sectPr>
          <w:pgSz w:w="11900" w:h="16838" w:orient="portrait"/>
          <w:cols w:equalWidth="0" w:num="2">
            <w:col w:w="5780" w:space="278"/>
            <w:col w:w="5402"/>
          </w:cols>
          <w:pgMar w:left="240" w:top="125" w:right="199" w:bottom="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75,734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752,593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1,508,712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net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tax:</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(55,653)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Unrealized gain or loss of available-for-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sales securities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(8,233)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(7,783)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line="195" w:lineRule="exact"/>
              <w:rPr>
                <w:sz w:val="20"/>
                <w:szCs w:val="20"/>
                <w:color w:val="auto"/>
              </w:rPr>
            </w:pPr>
            <w:r>
              <w:rPr>
                <w:rFonts w:ascii="Arial" w:cs="Arial" w:eastAsia="Arial" w:hAnsi="Arial"/>
                <w:sz w:val="18"/>
                <w:szCs w:val="18"/>
                <w:color w:val="auto"/>
              </w:rPr>
              <w:t>Less: Comprehensive loss attributable to</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(24,850)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(22,048)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(3,404)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(89,975)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(84,119)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340,207</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501,582</w:t>
            </w:r>
          </w:p>
        </w:tc>
        <w:tc>
          <w:tcPr>
            <w:tcW w:w="22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77,432</w:t>
            </w:r>
          </w:p>
        </w:tc>
        <w:tc>
          <w:tcPr>
            <w:tcW w:w="1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840,859</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1,529,395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236,100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Vipshop’s shareholders</w:t>
            </w:r>
          </w:p>
        </w:tc>
        <w:tc>
          <w:tcPr>
            <w:tcW w:w="13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2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December 31,2014</w:t>
            </w: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220" w:type="dxa"/>
            <w:vAlign w:val="bottom"/>
          </w:tcPr>
          <w:p>
            <w:pPr>
              <w:spacing w:after="0"/>
              <w:rPr>
                <w:sz w:val="12"/>
                <w:szCs w:val="12"/>
                <w:color w:val="auto"/>
              </w:rPr>
            </w:pPr>
          </w:p>
        </w:tc>
        <w:tc>
          <w:tcPr>
            <w:tcW w:w="12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December 31,2014</w:t>
            </w:r>
          </w:p>
        </w:tc>
        <w:tc>
          <w:tcPr>
            <w:tcW w:w="160" w:type="dxa"/>
            <w:vAlign w:val="bottom"/>
          </w:tcPr>
          <w:p>
            <w:pPr>
              <w:spacing w:after="0"/>
              <w:rPr>
                <w:sz w:val="12"/>
                <w:szCs w:val="12"/>
                <w:color w:val="auto"/>
              </w:rPr>
            </w:pPr>
          </w:p>
        </w:tc>
        <w:tc>
          <w:tcPr>
            <w:tcW w:w="13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(Unaudited)</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 charges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are follows</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Fulfillment expenses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3,206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6,259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966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10,822</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18,665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17,293</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19,938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Technology and content expenses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23,785</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34,714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5,359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103,160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126,274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26,549</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43,594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94,219</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138,064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92,104</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14,218</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302,941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33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31,2014</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31,2015</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31,2015</w:t>
            </w:r>
          </w:p>
        </w:tc>
      </w:tr>
      <w:tr>
        <w:trPr>
          <w:trHeight w:val="119"/>
        </w:trPr>
        <w:tc>
          <w:tcPr>
            <w:tcW w:w="630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30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r>
      <w:tr>
        <w:trPr>
          <w:trHeight w:val="171"/>
        </w:trPr>
        <w:tc>
          <w:tcPr>
            <w:tcW w:w="63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4,790,751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3,324,384</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513,196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Restricted cash</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3,768,338</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1,807,403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279,015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41,447</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351,423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54,250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30,991</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31,856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receivables and prepayments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767,074</w:t>
            </w:r>
          </w:p>
        </w:tc>
        <w:tc>
          <w:tcPr>
            <w:tcW w:w="1480" w:type="dxa"/>
            <w:vAlign w:val="bottom"/>
          </w:tcPr>
          <w:p>
            <w:pPr>
              <w:jc w:val="right"/>
              <w:spacing w:after="0"/>
              <w:rPr>
                <w:sz w:val="20"/>
                <w:szCs w:val="20"/>
                <w:color w:val="auto"/>
              </w:rPr>
            </w:pPr>
            <w:r>
              <w:rPr>
                <w:rFonts w:ascii="Arial" w:cs="Arial" w:eastAsia="Arial" w:hAnsi="Arial"/>
                <w:sz w:val="18"/>
                <w:szCs w:val="18"/>
                <w:color w:val="auto"/>
              </w:rPr>
              <w:t>1,869,461</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288,596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3,588,304</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4,566,746</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704,984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233,149</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202,003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31,184</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13,220,454</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12,153,276</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1,911,453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2,949,604</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455,340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Deposits for property and equipment</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207,509</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933,419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144,095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81,991</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197,462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1,038,949</w:t>
            </w:r>
          </w:p>
        </w:tc>
        <w:tc>
          <w:tcPr>
            <w:tcW w:w="3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744,369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114,911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287,390</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252,706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investments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102,792</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489,862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75,622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investment, non-current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269,736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40,503</w:t>
            </w:r>
          </w:p>
        </w:tc>
        <w:tc>
          <w:tcPr>
            <w:tcW w:w="1480" w:type="dxa"/>
            <w:vAlign w:val="bottom"/>
          </w:tcPr>
          <w:p>
            <w:pPr>
              <w:jc w:val="right"/>
              <w:spacing w:after="0"/>
              <w:rPr>
                <w:sz w:val="20"/>
                <w:szCs w:val="20"/>
                <w:color w:val="auto"/>
              </w:rPr>
            </w:pPr>
            <w:r>
              <w:rPr>
                <w:rFonts w:ascii="Arial" w:cs="Arial" w:eastAsia="Arial" w:hAnsi="Arial"/>
                <w:sz w:val="18"/>
                <w:szCs w:val="18"/>
                <w:color w:val="auto"/>
              </w:rPr>
              <w:t>1,936,307</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298,914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108,781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w:t>
            </w:r>
          </w:p>
        </w:tc>
      </w:tr>
      <w:tr>
        <w:trPr>
          <w:trHeight w:val="21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3,730,587</w:t>
            </w: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7,882,246</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1,216,809</w:t>
            </w:r>
          </w:p>
        </w:tc>
        <w:tc>
          <w:tcPr>
            <w:tcW w:w="100" w:type="dxa"/>
            <w:vAlign w:val="bottom"/>
            <w:tcBorders>
              <w:bottom w:val="single" w:sz="8" w:color="CCEEFF"/>
            </w:tcBorders>
          </w:tcPr>
          <w:p>
            <w:pPr>
              <w:spacing w:after="0"/>
              <w:rPr>
                <w:sz w:val="18"/>
                <w:szCs w:val="18"/>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16,951,041</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20,035,522</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3,092,952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7" w:name="page8"/>
    <w:bookmarkEnd w:id="7"/>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00" w:type="dxa"/>
            <w:vAlign w:val="bottom"/>
            <w:gridSpan w:val="2"/>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VIE without recourse to the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Company of RMB 7,490 and RMB 48,178 as of December 31, 2014 and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2015, respectively)</w:t>
            </w:r>
          </w:p>
        </w:tc>
        <w:tc>
          <w:tcPr>
            <w:tcW w:w="1480" w:type="dxa"/>
            <w:vAlign w:val="bottom"/>
          </w:tcPr>
          <w:p>
            <w:pPr>
              <w:jc w:val="right"/>
              <w:spacing w:after="0"/>
              <w:rPr>
                <w:sz w:val="20"/>
                <w:szCs w:val="20"/>
                <w:color w:val="auto"/>
              </w:rPr>
            </w:pPr>
            <w:r>
              <w:rPr>
                <w:rFonts w:ascii="Arial" w:cs="Arial" w:eastAsia="Arial" w:hAnsi="Arial"/>
                <w:sz w:val="18"/>
                <w:szCs w:val="18"/>
                <w:color w:val="auto"/>
              </w:rPr>
              <w:t>6,121,256</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6,645,262</w:t>
            </w:r>
          </w:p>
        </w:tc>
        <w:tc>
          <w:tcPr>
            <w:tcW w:w="2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1,025,852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9"/>
              </w:rPr>
              <w:t>Advance from customers (Including advance from customers of the VIE without</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recourse to the Company of RMB 1,217,429 and RMB 879,848 as of</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2014 and December 31, 2015, respectively)</w:t>
            </w:r>
          </w:p>
        </w:tc>
        <w:tc>
          <w:tcPr>
            <w:tcW w:w="1480" w:type="dxa"/>
            <w:vAlign w:val="bottom"/>
          </w:tcPr>
          <w:p>
            <w:pPr>
              <w:jc w:val="right"/>
              <w:spacing w:after="0"/>
              <w:rPr>
                <w:sz w:val="20"/>
                <w:szCs w:val="20"/>
                <w:color w:val="auto"/>
              </w:rPr>
            </w:pPr>
            <w:r>
              <w:rPr>
                <w:rFonts w:ascii="Arial" w:cs="Arial" w:eastAsia="Arial" w:hAnsi="Arial"/>
                <w:sz w:val="18"/>
                <w:szCs w:val="18"/>
                <w:color w:val="auto"/>
              </w:rPr>
              <w:t>1,422,935</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2,009,578</w:t>
            </w:r>
          </w:p>
        </w:tc>
        <w:tc>
          <w:tcPr>
            <w:tcW w:w="2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310,225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9"/>
              </w:rPr>
              <w:t>Accrued expenses and other current liabilities(Including accrued expenses and</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 current liabilities of the VIE without recourse to the Company of RMB</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5"/>
              </w:rPr>
              <w:t>944,097 and RMB 1,127,270 as of December 31, 2014 and December 31, 2015,</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480" w:type="dxa"/>
            <w:vAlign w:val="bottom"/>
          </w:tcPr>
          <w:p>
            <w:pPr>
              <w:jc w:val="right"/>
              <w:spacing w:after="0"/>
              <w:rPr>
                <w:sz w:val="20"/>
                <w:szCs w:val="20"/>
                <w:color w:val="auto"/>
              </w:rPr>
            </w:pPr>
            <w:r>
              <w:rPr>
                <w:rFonts w:ascii="Arial" w:cs="Arial" w:eastAsia="Arial" w:hAnsi="Arial"/>
                <w:sz w:val="18"/>
                <w:szCs w:val="18"/>
                <w:color w:val="auto"/>
              </w:rPr>
              <w:t>2,340,756</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3,104,622</w:t>
            </w:r>
          </w:p>
        </w:tc>
        <w:tc>
          <w:tcPr>
            <w:tcW w:w="2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479,271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5"/>
              </w:rPr>
              <w:t>Amounts due to related parties(Including amounts due to related parties of the VIE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without recourse to the Company of RMB 2,474 and RMB 82,994 as of</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2014 and December 31, 2015,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75,784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206,966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31,950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Deferred income (Including deferred income of the VIE without recourse to the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Company of RMB 178,920 and RMB 95,643 as of December 31, 2014 and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2015,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194,560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104,531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16,137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Short term loans (Including short term loans of the VIE without recourse to the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Company of nil and nil as of December 31, 2014 and December 31, 2015)</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14,665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10,155,291</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12,165,959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1,878,100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242,697</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175,416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27,080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income-non current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22,699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480" w:type="dxa"/>
            <w:vAlign w:val="bottom"/>
          </w:tcPr>
          <w:p>
            <w:pPr>
              <w:jc w:val="right"/>
              <w:spacing w:after="0"/>
              <w:rPr>
                <w:sz w:val="20"/>
                <w:szCs w:val="20"/>
                <w:color w:val="auto"/>
              </w:rPr>
            </w:pPr>
            <w:r>
              <w:rPr>
                <w:rFonts w:ascii="Arial" w:cs="Arial" w:eastAsia="Arial" w:hAnsi="Arial"/>
                <w:sz w:val="18"/>
                <w:szCs w:val="18"/>
                <w:color w:val="auto"/>
              </w:rPr>
              <w:t>3,854,985</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4,058,181</w:t>
            </w:r>
          </w:p>
        </w:tc>
        <w:tc>
          <w:tcPr>
            <w:tcW w:w="2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626,475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4,097,682</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4,256,296</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14,252,973</w:t>
            </w:r>
          </w:p>
        </w:tc>
        <w:tc>
          <w:tcPr>
            <w:tcW w:w="3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16,422,255</w:t>
            </w:r>
          </w:p>
        </w:tc>
        <w:tc>
          <w:tcPr>
            <w:tcW w:w="2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2,535,159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3"/>
              </w:rPr>
              <w:t>Class A ordinary shares (US$0.0001 par value, 483,489,642 shares authorized, and</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5"/>
              </w:rPr>
              <w:t>100,085,519 and 98,028,314 shares issued and outstanding as of December 31,</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2015 and December 31, 2014, respectively)</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4"/>
              </w:rPr>
              <w:t>Class B ordinary shares (US$0.0001 par value, 16,510,358 shares authorized, and</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6"/>
              </w:rPr>
              <w:t>16,510,358 and 16,510,358 shares issued and outstanding as of December 31,</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2015 and December 31, 2014,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Treasury shares, at cost - 1,614,135 shares as of December 31, 2015</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(844,711)</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(130,401)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2,538,217</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2,838,591</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438,203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Retained earnings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26,544</w:t>
            </w:r>
          </w:p>
        </w:tc>
        <w:tc>
          <w:tcPr>
            <w:tcW w:w="1480" w:type="dxa"/>
            <w:vAlign w:val="bottom"/>
          </w:tcPr>
          <w:p>
            <w:pPr>
              <w:jc w:val="right"/>
              <w:spacing w:after="0"/>
              <w:rPr>
                <w:sz w:val="20"/>
                <w:szCs w:val="20"/>
                <w:color w:val="auto"/>
              </w:rPr>
            </w:pPr>
            <w:r>
              <w:rPr>
                <w:rFonts w:ascii="Arial" w:cs="Arial" w:eastAsia="Arial" w:hAnsi="Arial"/>
                <w:sz w:val="18"/>
                <w:szCs w:val="18"/>
                <w:color w:val="auto"/>
              </w:rPr>
              <w:t>1,616,209</w:t>
            </w:r>
          </w:p>
        </w:tc>
        <w:tc>
          <w:tcPr>
            <w:tcW w:w="2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249,500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(10,711)</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(70,980)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143,944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74,082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11,436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2,698,068</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3,613,267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16,951,041</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20,035,522</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3,092,952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Reconciliations of GAAP and Non-GAAP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December 31,2014</w:t>
            </w:r>
          </w:p>
        </w:tc>
        <w:tc>
          <w:tcPr>
            <w:tcW w:w="12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260" w:type="dxa"/>
            <w:vAlign w:val="bottom"/>
          </w:tcPr>
          <w:p>
            <w:pPr>
              <w:spacing w:after="0"/>
              <w:rPr>
                <w:sz w:val="12"/>
                <w:szCs w:val="12"/>
                <w:color w:val="auto"/>
              </w:rPr>
            </w:pPr>
          </w:p>
        </w:tc>
        <w:tc>
          <w:tcPr>
            <w:tcW w:w="114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December 31,2014</w:t>
            </w: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12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3"/>
                <w:szCs w:val="13"/>
                <w:b w:val="1"/>
                <w:bCs w:val="1"/>
                <w:color w:val="auto"/>
              </w:rPr>
              <w:t>RMB’000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2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1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(Unaudited)</w:t>
            </w: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(Unaudited)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375,334</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801,760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123,771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833,687</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2,070,549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57,235</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92,104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14,218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225,494</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302,941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intangible assets resulting from</w:t>
            </w: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business acquisition</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59,931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71,775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212,260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264,842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income from operations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492,500</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965,639</w:t>
            </w:r>
          </w:p>
        </w:tc>
        <w:tc>
          <w:tcPr>
            <w:tcW w:w="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149,069</w:t>
            </w:r>
          </w:p>
        </w:tc>
        <w:tc>
          <w:tcPr>
            <w:tcW w:w="26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1,271,441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2,638,332</w:t>
            </w:r>
          </w:p>
        </w:tc>
        <w:tc>
          <w:tcPr>
            <w:tcW w:w="1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325,761</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490,582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75,733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752,593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1,508,712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57,235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92,104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14,218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225,494</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302,941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Impairment loss of investments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89,749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13,854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6,166</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99,749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intangible assets resulting from</w:t>
            </w: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business acquisition and equity method</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(net of tax)</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58,336</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66,867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10,322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201,118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255,918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net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447,498</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739,302</w:t>
            </w:r>
          </w:p>
        </w:tc>
        <w:tc>
          <w:tcPr>
            <w:tcW w:w="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114,127</w:t>
            </w:r>
          </w:p>
        </w:tc>
        <w:tc>
          <w:tcPr>
            <w:tcW w:w="26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1,185,371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2,167,320</w:t>
            </w:r>
          </w:p>
        </w:tc>
        <w:tc>
          <w:tcPr>
            <w:tcW w:w="1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334,576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349,495</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506,166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78,139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841,286</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1,589,664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245,402</w:t>
            </w:r>
          </w:p>
        </w:tc>
        <w:tc>
          <w:tcPr>
            <w:tcW w:w="0" w:type="dxa"/>
            <w:vAlign w:val="bottom"/>
          </w:tcPr>
          <w:p>
            <w:pPr>
              <w:spacing w:after="0"/>
              <w:rPr>
                <w:sz w:val="1"/>
                <w:szCs w:val="1"/>
                <w:color w:val="auto"/>
              </w:rPr>
            </w:pPr>
          </w:p>
        </w:tc>
      </w:tr>
    </w:tbl>
    <w:p>
      <w:pPr>
        <w:sectPr>
          <w:pgSz w:w="11900" w:h="16911" w:orient="portrait"/>
          <w:cols w:equalWidth="0" w:num="1">
            <w:col w:w="11460"/>
          </w:cols>
          <w:pgMar w:left="240" w:top="140"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57,235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92,104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14,218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225,494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302,941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Impairment loss of investments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6,166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89,749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13,854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6,166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99,749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intangible assets resulting from</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business acquisition and equity method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(exclude non-controlling</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 and net of tax)</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47,278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53,472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161,498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460,174</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741,491</w:t>
            </w: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114,466</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1,234,444</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2,198,844</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339,443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Vipshop’s shareholders</w:t>
            </w:r>
          </w:p>
        </w:tc>
        <w:tc>
          <w:tcPr>
            <w:tcW w:w="1280" w:type="dxa"/>
            <w:vAlign w:val="bottom"/>
            <w:gridSpan w:val="2"/>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7"/>
              </w:rPr>
              <w:t>Shares used in calculating earnings per share: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ordinary shares: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97,841,008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99,486,779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99,486,779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96,800,324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99,225,734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99,225,734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103,265,376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109,146,232</w:t>
            </w:r>
          </w:p>
        </w:tc>
        <w:tc>
          <w:tcPr>
            <w:tcW w:w="1140" w:type="dxa"/>
            <w:vAlign w:val="bottom"/>
          </w:tcPr>
          <w:p>
            <w:pPr>
              <w:jc w:val="right"/>
              <w:spacing w:after="0"/>
              <w:rPr>
                <w:sz w:val="20"/>
                <w:szCs w:val="20"/>
                <w:color w:val="auto"/>
              </w:rPr>
            </w:pPr>
            <w:r>
              <w:rPr>
                <w:rFonts w:ascii="Arial" w:cs="Arial" w:eastAsia="Arial" w:hAnsi="Arial"/>
                <w:sz w:val="18"/>
                <w:szCs w:val="18"/>
                <w:color w:val="auto"/>
              </w:rPr>
              <w:t>109,146,232</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103,717,226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103,657,705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103,657,705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Class B ordinary shares: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16,510,358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16,510,358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16,510,358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16,510,358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16,510,358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16,510,358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16,510,358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16,510,358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16,510,358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16,510,358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16,510,358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16,510,358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Non-GAAP net income per Class A share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shareholders—Basic</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Vipshop’s shareholders—Diluted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Non-GAAP net income per Class B share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shareholders—Basic</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Vipshop’s shareholders—Diluted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Non-GAAP net income per ADS (1 ordinary</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share equal to 5 ADSs)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shareholders—Basic</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Vipshop’s shareholders—Diluted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0.77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520" w:firstLine="6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 /s/ Donghao Yang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0" w:type="dxa"/>
            <w:vAlign w:val="bottom"/>
          </w:tcPr>
          <w:p>
            <w:pPr>
              <w:ind w:left="140"/>
              <w:spacing w:after="0" w:line="195" w:lineRule="exact"/>
              <w:rPr>
                <w:sz w:val="20"/>
                <w:szCs w:val="20"/>
                <w:color w:val="auto"/>
              </w:rPr>
            </w:pPr>
            <w:r>
              <w:rPr>
                <w:rFonts w:ascii="Arial" w:cs="Arial" w:eastAsia="Arial" w:hAnsi="Arial"/>
                <w:sz w:val="18"/>
                <w:szCs w:val="18"/>
                <w:color w:val="auto"/>
              </w:rPr>
              <w:t>:</w:t>
            </w: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5"/>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6"/>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7"/>
      <w:numFmt w:val="bullet"/>
      <w:start w:val="1"/>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2019-12-08T21:38:19Z</dcterms:created>
  <dcterms:modified xsi:type="dcterms:W3CDTF">2019-12-08T21:38:19Z</dcterms:modified>
</cp:coreProperties>
</file>