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For the month of February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001-35454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Vipshop Holdings Limited</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Vipshop Headquarters, 128 Dingxin Road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Haizhu District, Guangzhou 510220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140" w:type="dxa"/>
            <w:vAlign w:val="bottom"/>
            <w:tcBorders>
              <w:top w:val="single" w:sz="8" w:color="auto"/>
            </w:tcBorders>
            <w:gridSpan w:val="3"/>
          </w:tcPr>
          <w:p>
            <w:pPr>
              <w:jc w:val="center"/>
              <w:ind w:right="380"/>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988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 Vipshop Reports Unaudited Fourth Quarter and Full Year 2025 Financial Results</w:t>
            </w:r>
          </w:p>
        </w:tc>
      </w:tr>
      <w:tr>
        <w:trPr>
          <w:trHeight w:val="696"/>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0" w:type="dxa"/>
            <w:vAlign w:val="bottom"/>
            <w:tcBorders>
              <w:top w:val="single" w:sz="8" w:color="0000EE"/>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Vipshop Holdings Limited</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Wang</w:t>
            </w:r>
          </w:p>
        </w:tc>
      </w:tr>
      <w:tr>
        <w:trPr>
          <w:trHeight w:val="198"/>
        </w:trPr>
        <w:tc>
          <w:tcPr>
            <w:tcW w:w="780" w:type="dxa"/>
            <w:vAlign w:val="bottom"/>
            <w:gridSpan w:val="2"/>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Name: :</w:t>
            </w:r>
          </w:p>
        </w:tc>
        <w:tc>
          <w:tcPr>
            <w:tcW w:w="4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Mark Wang</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88670" cy="462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8867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Vipshop Reports Unaudited Fourth Quarter and Full Year 2025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to Be Held at 7:00 A.M. U.S. Eastern Time on February 26, 2026</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Guangzhou, China, February 26, 2026 — Vipshop Holdings Limited (NYSE: VIPS), a leading online discount retailer for brands in China (“Vipshop” or the “Company”), today announced its unaudited financial results for the quarter and full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Highlights</w:t>
      </w:r>
    </w:p>
    <w:p>
      <w:pPr>
        <w:spacing w:after="0" w:line="225" w:lineRule="exact"/>
        <w:rPr>
          <w:sz w:val="20"/>
          <w:szCs w:val="20"/>
          <w:color w:val="auto"/>
        </w:rPr>
      </w:pPr>
    </w:p>
    <w:p>
      <w:pPr>
        <w:jc w:val="both"/>
        <w:ind w:left="660" w:hanging="328"/>
        <w:spacing w:after="0" w:line="317" w:lineRule="auto"/>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Total net revenues </w:t>
      </w:r>
      <w:r>
        <w:rPr>
          <w:rFonts w:ascii="Times New Roman" w:cs="Times New Roman" w:eastAsia="Times New Roman" w:hAnsi="Times New Roman"/>
          <w:sz w:val="17"/>
          <w:szCs w:val="17"/>
          <w:color w:val="auto"/>
        </w:rPr>
        <w:t>for the fourth quarter of 2025 were RMB32.5 billion (US$4.6 billion), compared with RMB33.2 billion in the prior year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period. </w:t>
      </w:r>
      <w:r>
        <w:rPr>
          <w:rFonts w:ascii="Times New Roman" w:cs="Times New Roman" w:eastAsia="Times New Roman" w:hAnsi="Times New Roman"/>
          <w:sz w:val="17"/>
          <w:szCs w:val="17"/>
          <w:b w:val="1"/>
          <w:bCs w:val="1"/>
          <w:color w:val="auto"/>
        </w:rPr>
        <w:t>Total net revenues</w:t>
      </w:r>
      <w:r>
        <w:rPr>
          <w:rFonts w:ascii="Times New Roman" w:cs="Times New Roman" w:eastAsia="Times New Roman" w:hAnsi="Times New Roman"/>
          <w:sz w:val="17"/>
          <w:szCs w:val="17"/>
          <w:color w:val="auto"/>
        </w:rPr>
        <w:t xml:space="preserve"> for the full year of 2025 were RMB105.9 billion (US$15.1 billion), compared with RMB108.4 billion in the prior year.</w:t>
      </w:r>
    </w:p>
    <w:p>
      <w:pPr>
        <w:spacing w:after="0" w:line="135" w:lineRule="exact"/>
        <w:rPr>
          <w:rFonts w:ascii="Times New Roman" w:cs="Times New Roman" w:eastAsia="Times New Roman" w:hAnsi="Times New Roman"/>
          <w:sz w:val="17"/>
          <w:szCs w:val="17"/>
          <w:color w:val="auto"/>
        </w:rPr>
      </w:pPr>
    </w:p>
    <w:p>
      <w:pPr>
        <w:ind w:left="660" w:right="20" w:hanging="328"/>
        <w:spacing w:after="0" w:line="189"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GMV</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fourth quarter of 2025 increased by 0.6% year over year to RMB66.6 billion from RMB66.2 billion in the prior year period.</w:t>
      </w:r>
      <w:r>
        <w:rPr>
          <w:rFonts w:ascii="Times New Roman" w:cs="Times New Roman" w:eastAsia="Times New Roman" w:hAnsi="Times New Roman"/>
          <w:sz w:val="18"/>
          <w:szCs w:val="18"/>
          <w:b w:val="1"/>
          <w:bCs w:val="1"/>
          <w:color w:val="auto"/>
        </w:rPr>
        <w:t xml:space="preserve"> GMV </w:t>
      </w:r>
      <w:r>
        <w:rPr>
          <w:rFonts w:ascii="Times New Roman" w:cs="Times New Roman" w:eastAsia="Times New Roman" w:hAnsi="Times New Roman"/>
          <w:sz w:val="18"/>
          <w:szCs w:val="18"/>
          <w:color w:val="auto"/>
        </w:rPr>
        <w:t>for the full year of 2025 increased by 2.0% year over year to RMB213.5 billion from RMB209.3 billion in the prior year.</w:t>
      </w:r>
    </w:p>
    <w:p>
      <w:pPr>
        <w:spacing w:after="0" w:line="195" w:lineRule="exact"/>
        <w:rPr>
          <w:rFonts w:ascii="Times New Roman" w:cs="Times New Roman" w:eastAsia="Times New Roman" w:hAnsi="Times New Roman"/>
          <w:sz w:val="36"/>
          <w:szCs w:val="36"/>
          <w:color w:val="auto"/>
          <w:vertAlign w:val="superscript"/>
        </w:rPr>
      </w:pPr>
    </w:p>
    <w:p>
      <w:pPr>
        <w:ind w:left="660" w:right="2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for the fourth quarter of 2025 was RMB7.4 billion (US$1.1 billion), compared with RMB7.6 billion in the prior year period.</w:t>
      </w:r>
      <w:r>
        <w:rPr>
          <w:rFonts w:ascii="Times New Roman" w:cs="Times New Roman" w:eastAsia="Times New Roman" w:hAnsi="Times New Roman"/>
          <w:sz w:val="18"/>
          <w:szCs w:val="18"/>
          <w:b w:val="1"/>
          <w:bCs w:val="1"/>
          <w:color w:val="auto"/>
        </w:rPr>
        <w:t xml:space="preserve"> Gross profit </w:t>
      </w:r>
      <w:r>
        <w:rPr>
          <w:rFonts w:ascii="Times New Roman" w:cs="Times New Roman" w:eastAsia="Times New Roman" w:hAnsi="Times New Roman"/>
          <w:sz w:val="18"/>
          <w:szCs w:val="18"/>
          <w:color w:val="auto"/>
        </w:rPr>
        <w:t>for the full year of 2025 was RMB24.5 billion (US$3.5 billion), compared with RMB25.5 billion in the prior year.</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Vipshop’s shareholders </w:t>
      </w:r>
      <w:r>
        <w:rPr>
          <w:rFonts w:ascii="Times New Roman" w:cs="Times New Roman" w:eastAsia="Times New Roman" w:hAnsi="Times New Roman"/>
          <w:sz w:val="18"/>
          <w:szCs w:val="18"/>
          <w:color w:val="auto"/>
        </w:rPr>
        <w:t>for the fourth quarter of 2025 increased by 5.8% year over year to RMB2.6 billion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(US$370.3 million) from RMB2.4 billion in the prior year period. </w:t>
      </w:r>
      <w:r>
        <w:rPr>
          <w:rFonts w:ascii="Times New Roman" w:cs="Times New Roman" w:eastAsia="Times New Roman" w:hAnsi="Times New Roman"/>
          <w:sz w:val="18"/>
          <w:szCs w:val="18"/>
          <w:b w:val="1"/>
          <w:bCs w:val="1"/>
          <w:color w:val="auto"/>
        </w:rPr>
        <w:t>Net income attributable to Vipshop's shareholders</w:t>
      </w:r>
      <w:r>
        <w:rPr>
          <w:rFonts w:ascii="Times New Roman" w:cs="Times New Roman" w:eastAsia="Times New Roman" w:hAnsi="Times New Roman"/>
          <w:sz w:val="18"/>
          <w:szCs w:val="18"/>
          <w:color w:val="auto"/>
        </w:rPr>
        <w:t xml:space="preserve"> for the full year of 2025 was RMB7.2 billion (US$1.0 billion), compared with RMB7.7 billion in the prior year.</w:t>
      </w:r>
    </w:p>
    <w:p>
      <w:pPr>
        <w:spacing w:after="0" w:line="178" w:lineRule="exact"/>
        <w:rPr>
          <w:rFonts w:ascii="Times New Roman" w:cs="Times New Roman" w:eastAsia="Times New Roman" w:hAnsi="Times New Roman"/>
          <w:sz w:val="18"/>
          <w:szCs w:val="18"/>
          <w:color w:val="auto"/>
        </w:rPr>
      </w:pPr>
    </w:p>
    <w:p>
      <w:pPr>
        <w:jc w:val="both"/>
        <w:ind w:left="660" w:hanging="328"/>
        <w:spacing w:after="0" w:line="203"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net income attributable to Vipshop’s shareholders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fourth quarter of 2025 was RMB2.9 billion (US$408.7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compared with RMB3.0 billion in the prior year period. </w:t>
      </w:r>
      <w:r>
        <w:rPr>
          <w:rFonts w:ascii="Times New Roman" w:cs="Times New Roman" w:eastAsia="Times New Roman" w:hAnsi="Times New Roman"/>
          <w:sz w:val="18"/>
          <w:szCs w:val="18"/>
          <w:b w:val="1"/>
          <w:bCs w:val="1"/>
          <w:color w:val="auto"/>
        </w:rPr>
        <w:t>Non-GAAP net income attributable to Vipshop's shareholders</w:t>
      </w:r>
      <w:r>
        <w:rPr>
          <w:rFonts w:ascii="Times New Roman" w:cs="Times New Roman" w:eastAsia="Times New Roman" w:hAnsi="Times New Roman"/>
          <w:sz w:val="18"/>
          <w:szCs w:val="18"/>
          <w:color w:val="auto"/>
        </w:rPr>
        <w:t xml:space="preserve"> for the full year of 2025 was RMB8.7 billion (US$1.3 billion), compared with RMB9.0 billion in the prior year.</w:t>
      </w:r>
    </w:p>
    <w:p>
      <w:pPr>
        <w:spacing w:after="0" w:line="204" w:lineRule="exact"/>
        <w:rPr>
          <w:rFonts w:ascii="Times New Roman" w:cs="Times New Roman" w:eastAsia="Times New Roman" w:hAnsi="Times New Roman"/>
          <w:sz w:val="36"/>
          <w:szCs w:val="36"/>
          <w:color w:val="auto"/>
          <w:vertAlign w:val="superscript"/>
        </w:rPr>
      </w:pPr>
    </w:p>
    <w:p>
      <w:pPr>
        <w:ind w:left="660" w:hanging="328"/>
        <w:spacing w:after="0" w:line="188"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The number of active customers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fourth quarter of 2025 was 45.3 million, compared with 45.7 million in the prior year period.</w:t>
      </w:r>
      <w:r>
        <w:rPr>
          <w:rFonts w:ascii="Times New Roman" w:cs="Times New Roman" w:eastAsia="Times New Roman" w:hAnsi="Times New Roman"/>
          <w:sz w:val="18"/>
          <w:szCs w:val="18"/>
          <w:b w:val="1"/>
          <w:bCs w:val="1"/>
          <w:color w:val="auto"/>
        </w:rPr>
        <w:t xml:space="preserve"> The number of active customers </w:t>
      </w:r>
      <w:r>
        <w:rPr>
          <w:rFonts w:ascii="Times New Roman" w:cs="Times New Roman" w:eastAsia="Times New Roman" w:hAnsi="Times New Roman"/>
          <w:sz w:val="18"/>
          <w:szCs w:val="18"/>
          <w:color w:val="auto"/>
        </w:rPr>
        <w:t>for the full year of 2025 was 84.8 million, compared with 84.7 million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6" w:lineRule="exact"/>
        <w:rPr>
          <w:sz w:val="20"/>
          <w:szCs w:val="20"/>
          <w:color w:val="auto"/>
        </w:rPr>
      </w:pPr>
    </w:p>
    <w:p>
      <w:pPr>
        <w:jc w:val="both"/>
        <w:ind w:firstLine="8"/>
        <w:spacing w:after="0" w:line="228" w:lineRule="auto"/>
        <w:tabs>
          <w:tab w:leader="none" w:pos="133"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merchandise value (GMV)” is defined as the total value of all products and services sold through the Company’s online channels, Shan Shan Outlets, and other offline stores during the given period, including the Company’s Vipshop App mobile application, </w:t>
      </w:r>
      <w:r>
        <w:rPr>
          <w:rFonts w:ascii="Times New Roman" w:cs="Times New Roman" w:eastAsia="Times New Roman" w:hAnsi="Times New Roman"/>
          <w:sz w:val="18"/>
          <w:szCs w:val="18"/>
          <w:i w:val="1"/>
          <w:iCs w:val="1"/>
          <w:color w:val="auto"/>
        </w:rPr>
        <w:t>vip.com</w:t>
      </w:r>
      <w:r>
        <w:rPr>
          <w:rFonts w:ascii="Times New Roman" w:cs="Times New Roman" w:eastAsia="Times New Roman" w:hAnsi="Times New Roman"/>
          <w:sz w:val="18"/>
          <w:szCs w:val="18"/>
          <w:color w:val="auto"/>
        </w:rPr>
        <w:t xml:space="preserve"> website, Vipshop WeChat Mini-Program, online stores that are operated at third-party platforms, Shan Shan Outlets, and other offline stores, which were fulfilled by either the Company or its third-party merchants, regardless of whether or not the goods were delivered or returned. GMV includes shipping charges paid by buyers to sellers. For prudent considerations, the Company does not consider products or services to be sold if the orders were placed and canceled pre-shipment and only included orders that left the Company’s or other third-party vendors’ warehouses.</w:t>
      </w:r>
    </w:p>
    <w:p>
      <w:pPr>
        <w:spacing w:after="0" w:line="26" w:lineRule="exact"/>
        <w:rPr>
          <w:sz w:val="20"/>
          <w:szCs w:val="20"/>
          <w:color w:val="auto"/>
        </w:rPr>
      </w:pPr>
    </w:p>
    <w:p>
      <w:pPr>
        <w:jc w:val="both"/>
        <w:ind w:firstLine="8"/>
        <w:spacing w:after="0" w:line="219" w:lineRule="auto"/>
        <w:tabs>
          <w:tab w:leader="none" w:pos="125"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net income attributable to Vipshop’s shareholders is a non-GAAP financial measure, which, for the periods presented in this press release, is defined as net income attributable to Vipshop’s shareholders excluding (i) share-based compensation expenses, (ii) impairment loss of investments, (iii) investment gain and revaluation of investments excluding dividends, (iv) reconciling items on the share of equity method investments, and (v) tax effects on non-GAAP adjustments.</w:t>
      </w:r>
    </w:p>
    <w:p>
      <w:pPr>
        <w:spacing w:after="0" w:line="21" w:lineRule="exact"/>
        <w:rPr>
          <w:sz w:val="20"/>
          <w:szCs w:val="20"/>
          <w:color w:val="auto"/>
        </w:rPr>
      </w:pPr>
    </w:p>
    <w:p>
      <w:pPr>
        <w:ind w:right="20" w:firstLine="8"/>
        <w:spacing w:after="0" w:line="196" w:lineRule="auto"/>
        <w:tabs>
          <w:tab w:leader="none" w:pos="147"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“Active customers” is defined as registered members who have purchased from the Company’s Vipshop mobile app, </w:t>
      </w:r>
      <w:r>
        <w:rPr>
          <w:rFonts w:ascii="Times New Roman" w:cs="Times New Roman" w:eastAsia="Times New Roman" w:hAnsi="Times New Roman"/>
          <w:sz w:val="18"/>
          <w:szCs w:val="18"/>
          <w:i w:val="1"/>
          <w:iCs w:val="1"/>
          <w:color w:val="auto"/>
        </w:rPr>
        <w:t>vip.com</w:t>
      </w:r>
      <w:r>
        <w:rPr>
          <w:rFonts w:ascii="Times New Roman" w:cs="Times New Roman" w:eastAsia="Times New Roman" w:hAnsi="Times New Roman"/>
          <w:sz w:val="18"/>
          <w:szCs w:val="18"/>
          <w:color w:val="auto"/>
        </w:rPr>
        <w:t xml:space="preserve"> website and Vipshop WeChat Mini-Program at least once during the relevant period.</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88670"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88670" cy="462915"/>
                    </a:xfrm>
                    <a:prstGeom prst="rect">
                      <a:avLst/>
                    </a:prstGeom>
                    <a:noFill/>
                  </pic:spPr>
                </pic:pic>
              </a:graphicData>
            </a:graphic>
          </wp:anchor>
        </w:drawing>
      </w:r>
    </w:p>
    <w:p>
      <w:pPr>
        <w:spacing w:after="0" w:line="213" w:lineRule="exact"/>
        <w:rPr>
          <w:sz w:val="20"/>
          <w:szCs w:val="20"/>
          <w:color w:val="auto"/>
        </w:rPr>
      </w:pPr>
    </w:p>
    <w:p>
      <w:pPr>
        <w:ind w:left="660" w:hanging="328"/>
        <w:spacing w:after="0" w:line="188" w:lineRule="auto"/>
        <w:tabs>
          <w:tab w:leader="none" w:pos="6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Total orders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fourth quarter of 2025 were 206.0 million, compared with 217.5 million in the prior year period.</w:t>
      </w:r>
      <w:r>
        <w:rPr>
          <w:rFonts w:ascii="Times New Roman" w:cs="Times New Roman" w:eastAsia="Times New Roman" w:hAnsi="Times New Roman"/>
          <w:sz w:val="18"/>
          <w:szCs w:val="18"/>
          <w:b w:val="1"/>
          <w:bCs w:val="1"/>
          <w:color w:val="auto"/>
        </w:rPr>
        <w:t xml:space="preserve"> Total orders </w:t>
      </w:r>
      <w:r>
        <w:rPr>
          <w:rFonts w:ascii="Times New Roman" w:cs="Times New Roman" w:eastAsia="Times New Roman" w:hAnsi="Times New Roman"/>
          <w:sz w:val="18"/>
          <w:szCs w:val="18"/>
          <w:color w:val="auto"/>
        </w:rPr>
        <w:t>for the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of 2025 were 732.4 million, compared with 757.5 million in the prior year.</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Eric Shen, Chairman and Chief Executive Officer of Vipshop, stated, “In 2025, we navigated a dynamic landscape by focusing on strategic realignment and ensuring operational resilience, which lays a strong foundation for long-term quality growth. Throughout the year, leveraging the agility inherent in our off-price retailer model, we enhanced our merchandising capabilities while deepening customer engagement and loyalty. Notably, AI-driven enhancements delivered greater operational efficiency while enabling a more engaging customer experience. Building on this, we are now dedicated to strengthening our growth flywheel by sharpening our excellence across merchandising, customer engagement and operations, while embedding AI deeper into our core operations. We expect this to drive sustainable and profitable growth in 2026 and beyond.”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Mark Wang, Chief Financial Officer of Vipshop, further commented, “We concluded 2025 with stable topline performance and robust profitability, demonstrating clear financial resilience. This provides the flexibility to both reinvest strategically in the business and return meaningful capital to shareholders, as evidenced by the US$944.1 million returned in 2025 through dividends and share repurchases. Looking ahead, we are steadily rebuilding business momentum with continued focus on quality growth and disciplined investment. This positions us confidently for sustained growth and value creation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revenues for the fourth quarter of 2025 were RMB32.5 billion (US$4.6 billion), compared with RMB33.2 billion in the prior 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for the fourth quarter of 2025 was RMB7.4 billion (US$1.1 billion), compared with RMB7.6 billion in the prior year period. Gross margin for the fourth quarter of 2025 was 22.9%, compared with 23.0% in the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for the fourth quarter of 2025 decreased by 3.7% year over year to RMB4.9 billion (US$697.7 million) from RMB5.1 billion in the prior year period. As a percentage of total net revenues, total operating expenses for the fourth quarter of 2025 decreased to 15.0% from 15.2% in the prior year period.</w:t>
      </w:r>
    </w:p>
    <w:p>
      <w:pPr>
        <w:spacing w:after="0" w:line="172" w:lineRule="exact"/>
        <w:rPr>
          <w:sz w:val="20"/>
          <w:szCs w:val="20"/>
          <w:color w:val="auto"/>
        </w:rPr>
      </w:pPr>
    </w:p>
    <w:p>
      <w:pPr>
        <w:jc w:val="both"/>
        <w:ind w:left="660" w:right="20" w:hanging="274"/>
        <w:spacing w:after="0" w:line="268"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Fulfillment expenses </w:t>
      </w:r>
      <w:r>
        <w:rPr>
          <w:rFonts w:ascii="Times New Roman" w:cs="Times New Roman" w:eastAsia="Times New Roman" w:hAnsi="Times New Roman"/>
          <w:sz w:val="18"/>
          <w:szCs w:val="18"/>
          <w:color w:val="auto"/>
        </w:rPr>
        <w:t>for the fourth quarter of 2025 decreased by 1.0% year over year to RMB2.4 billion (US$348.6 million) from RMB2.5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in the prior year period. As a percentage of total net revenues, fulfillment expenses for the fourth quarter of 2025 were 7.5%, compared with 7.4%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2" w:lineRule="exact"/>
        <w:rPr>
          <w:sz w:val="20"/>
          <w:szCs w:val="20"/>
          <w:color w:val="auto"/>
        </w:rPr>
      </w:pPr>
    </w:p>
    <w:p>
      <w:pPr>
        <w:jc w:val="both"/>
        <w:ind w:firstLine="8"/>
        <w:spacing w:after="0" w:line="219" w:lineRule="auto"/>
        <w:tabs>
          <w:tab w:leader="none" w:pos="136"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“Total orders” is defined as the total number of orders placed during the given period, including the orders for products and services sold through the Company’s online channels, including the Company’s Vipshop App mobile application, vip.com website, Vipshop WeChat Mini-Program, online stores that are operated at third-party platforms (excluding, for the avoidance of doubt, orders from the Company’s offline stores and outlets), net of orders returned.</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8867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88670" cy="462915"/>
                    </a:xfrm>
                    <a:prstGeom prst="rect">
                      <a:avLst/>
                    </a:prstGeom>
                    <a:noFill/>
                  </pic:spPr>
                </pic:pic>
              </a:graphicData>
            </a:graphic>
          </wp:anchor>
        </w:drawing>
      </w:r>
    </w:p>
    <w:p>
      <w:pPr>
        <w:spacing w:after="0" w:line="206" w:lineRule="exact"/>
        <w:rPr>
          <w:sz w:val="20"/>
          <w:szCs w:val="20"/>
          <w:color w:val="auto"/>
        </w:rPr>
      </w:pPr>
    </w:p>
    <w:p>
      <w:pPr>
        <w:jc w:val="both"/>
        <w:ind w:left="660" w:hanging="274"/>
        <w:spacing w:after="0" w:line="268" w:lineRule="auto"/>
        <w:tabs>
          <w:tab w:leader="none" w:pos="6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Marketing expenses </w:t>
      </w:r>
      <w:r>
        <w:rPr>
          <w:rFonts w:ascii="Times New Roman" w:cs="Times New Roman" w:eastAsia="Times New Roman" w:hAnsi="Times New Roman"/>
          <w:sz w:val="18"/>
          <w:szCs w:val="18"/>
          <w:color w:val="auto"/>
        </w:rPr>
        <w:t>for the fourth quarter of 2025 decreased by 6.1% year over year to RMB873.7 million (US$124.9 million) from RMB930.3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prior year period. As a percentage of total net revenues, marketing expenses for the fourth quarter of 2025 decreased to 2.7% from 2.8% in the prior year period.</w:t>
      </w:r>
    </w:p>
    <w:p>
      <w:pPr>
        <w:spacing w:after="0" w:line="170" w:lineRule="exact"/>
        <w:rPr>
          <w:rFonts w:ascii="Times New Roman" w:cs="Times New Roman" w:eastAsia="Times New Roman" w:hAnsi="Times New Roman"/>
          <w:sz w:val="18"/>
          <w:szCs w:val="18"/>
          <w:b w:val="1"/>
          <w:bCs w:val="1"/>
          <w:i w:val="1"/>
          <w:iCs w:val="1"/>
          <w:color w:val="auto"/>
        </w:rPr>
      </w:pPr>
    </w:p>
    <w:p>
      <w:pPr>
        <w:jc w:val="both"/>
        <w:ind w:left="660" w:hanging="274"/>
        <w:spacing w:after="0" w:line="268" w:lineRule="auto"/>
        <w:tabs>
          <w:tab w:leader="none" w:pos="6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Technology and content expenses </w:t>
      </w:r>
      <w:r>
        <w:rPr>
          <w:rFonts w:ascii="Times New Roman" w:cs="Times New Roman" w:eastAsia="Times New Roman" w:hAnsi="Times New Roman"/>
          <w:sz w:val="18"/>
          <w:szCs w:val="18"/>
          <w:color w:val="auto"/>
        </w:rPr>
        <w:t>for the fourth quarter of 2025 decreased by 9.3% year over year to RMB425.5 million (US$60.8 million)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RMB469.2 million in the prior year period. As a percentage of total net revenues, technology and content expenses for the fourth quarter of 2025 decreased to 1.3% from 1.4% in the prior year period.</w:t>
      </w:r>
    </w:p>
    <w:p>
      <w:pPr>
        <w:spacing w:after="0" w:line="170" w:lineRule="exact"/>
        <w:rPr>
          <w:rFonts w:ascii="Times New Roman" w:cs="Times New Roman" w:eastAsia="Times New Roman" w:hAnsi="Times New Roman"/>
          <w:sz w:val="18"/>
          <w:szCs w:val="18"/>
          <w:b w:val="1"/>
          <w:bCs w:val="1"/>
          <w:i w:val="1"/>
          <w:iCs w:val="1"/>
          <w:color w:val="auto"/>
        </w:rPr>
      </w:pPr>
    </w:p>
    <w:p>
      <w:pPr>
        <w:jc w:val="both"/>
        <w:ind w:left="660" w:hanging="274"/>
        <w:spacing w:after="0" w:line="268" w:lineRule="auto"/>
        <w:tabs>
          <w:tab w:leader="none" w:pos="6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for the fourth quarter of 2025 decreased by 5.2% year over year to RMB1.1 billion (US$163.4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RMB1.2 billion in the prior year period. As a percentage of total net revenues, general and administrative expenses for the fourth quarter of 2025 decreased to 3.5% from 3.6% in the prior year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Income from operations for the fourth quarter of 2025 increased by 1.7% year over year to RMB2.90 billion (US$414.5 million) from RMB2.85 billion in the prior year period. Operating margin for the fourth quarter of 2025 increased to 8.9% from 8.6% in the prior year period.</w:t>
      </w:r>
    </w:p>
    <w:p>
      <w:pPr>
        <w:spacing w:after="0" w:line="165"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Non-GAAP income from operations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for the fourth quarter of 2025, which excluded share-based compensation expenses, was RMB3.2 billion (US$462.6 million), compared with RMB3.4 billion in the prior year period. Non-GAAP operating margin</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for the fourth quarter of 2025 was 10.0%, compared with 10.2% in the prior year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attributable to Vipshop’s shareholders for the fourth quarter of 2025 increased by 5.8% year over year to RMB2.6 billion (US$370.3 million) from RMB2.4 billion in the prior year period. Net margin attributable to Vipshop’s shareholders for the fourth quarter of 2025 increased to 8.0% from 7.4%</w:t>
      </w:r>
    </w:p>
    <w:p>
      <w:pPr>
        <w:ind w:right="20"/>
        <w:spacing w:after="0" w:line="209" w:lineRule="auto"/>
        <w:rPr>
          <w:sz w:val="20"/>
          <w:szCs w:val="20"/>
          <w:color w:val="auto"/>
        </w:rPr>
      </w:pPr>
      <w:r>
        <w:rPr>
          <w:rFonts w:ascii="Times New Roman" w:cs="Times New Roman" w:eastAsia="Times New Roman" w:hAnsi="Times New Roman"/>
          <w:sz w:val="18"/>
          <w:szCs w:val="18"/>
          <w:color w:val="auto"/>
        </w:rPr>
        <w:t>in the prior year period. Net income attributable to Vipshop’s shareholders per diluted ADS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for the fourth quarter of 2025 increased to RMB5.12 (US$0.73) from RMB4.69 in the prior year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net income attributable to Vipshop’s shareholders for the fourth quarter of 2025, which excluded (i) share-based compensation expenses,</w:t>
      </w:r>
    </w:p>
    <w:p>
      <w:pPr>
        <w:spacing w:after="0" w:line="27" w:lineRule="exact"/>
        <w:rPr>
          <w:sz w:val="20"/>
          <w:szCs w:val="20"/>
          <w:color w:val="auto"/>
        </w:rPr>
      </w:pPr>
    </w:p>
    <w:p>
      <w:pPr>
        <w:jc w:val="both"/>
        <w:ind w:firstLine="8"/>
        <w:spacing w:after="0" w:line="221" w:lineRule="auto"/>
        <w:tabs>
          <w:tab w:leader="none" w:pos="2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loss of investments, (iii) investment gain and revaluation of investments excluding dividends, (iv) reconciling items on the share of equity method investments, and (v) tax effects on non-GAAP adjustments, was RMB2.9 billion (US$408.7 million), compared with RMB3.0 billion in the prior year period. Non-GAAP net margin attributable to Vipshop’s shareholders</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for the fourth quarter of 2025 was 8.8%, compared with 9.0% in the prior year</w:t>
      </w:r>
    </w:p>
    <w:p>
      <w:pPr>
        <w:spacing w:after="0" w:line="2"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period. Non-GAAP net income attributable to Vipshop’s shareholders per diluted ADS</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for the fourth quarter of 2025 was RMB5.66 (US$0.81), compared with RMB5.70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6" w:lineRule="exact"/>
        <w:rPr>
          <w:sz w:val="20"/>
          <w:szCs w:val="20"/>
          <w:color w:val="auto"/>
        </w:rPr>
      </w:pPr>
    </w:p>
    <w:p>
      <w:pPr>
        <w:ind w:firstLine="8"/>
        <w:spacing w:after="0" w:line="195" w:lineRule="auto"/>
        <w:tabs>
          <w:tab w:leader="none" w:pos="124"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income from operations is a non-GAAP financial measure, which is defined as income from operations excluding share-based compensation expenses.</w:t>
      </w:r>
    </w:p>
    <w:p>
      <w:pPr>
        <w:spacing w:after="0" w:line="24" w:lineRule="exact"/>
        <w:rPr>
          <w:sz w:val="20"/>
          <w:szCs w:val="20"/>
          <w:color w:val="auto"/>
        </w:rPr>
      </w:pPr>
    </w:p>
    <w:p>
      <w:pPr>
        <w:ind w:firstLine="8"/>
        <w:spacing w:after="0" w:line="195" w:lineRule="auto"/>
        <w:tabs>
          <w:tab w:leader="none" w:pos="1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operating margin is a non-GAAP financial measure, which is defined as non-GAAP income from operations as a percentage of total net revenues.</w:t>
      </w:r>
    </w:p>
    <w:p>
      <w:pPr>
        <w:spacing w:after="0" w:line="1"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“ADS” means American depositary share, each of which represents 0.2 Class A ordinary share.</w:t>
      </w:r>
    </w:p>
    <w:p>
      <w:pPr>
        <w:spacing w:after="0" w:line="22" w:lineRule="exact"/>
        <w:rPr>
          <w:sz w:val="20"/>
          <w:szCs w:val="20"/>
          <w:color w:val="auto"/>
        </w:rPr>
      </w:pPr>
    </w:p>
    <w:p>
      <w:pPr>
        <w:ind w:firstLine="8"/>
        <w:spacing w:after="0" w:line="195" w:lineRule="auto"/>
        <w:tabs>
          <w:tab w:leader="none" w:pos="125"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net margin attributable to Vipshop’s shareholders is a non-GAAP financial measure, which is defined as non- GAAP net income attributable to Vipshop’s shareholders, as a percentage of total net revenues.</w:t>
      </w:r>
    </w:p>
    <w:p>
      <w:pPr>
        <w:spacing w:after="0" w:line="24" w:lineRule="exact"/>
        <w:rPr>
          <w:sz w:val="20"/>
          <w:szCs w:val="20"/>
          <w:color w:val="auto"/>
        </w:rPr>
      </w:pPr>
    </w:p>
    <w:p>
      <w:pPr>
        <w:jc w:val="both"/>
        <w:ind w:firstLine="8"/>
        <w:spacing w:after="0" w:line="210" w:lineRule="auto"/>
        <w:tabs>
          <w:tab w:leader="none" w:pos="136"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net income attributable to Vipshop’s shareholders per diluted ADS is a non-GAAP financial measure, which is defined as non-GAAP net income attributable to Vipshop’s shareholders, divided by the weighted average number of diluted ADSs outstanding for computing diluted earnings per ADS.</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88670"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88670" cy="462915"/>
                    </a:xfrm>
                    <a:prstGeom prst="rect">
                      <a:avLst/>
                    </a:prstGeom>
                    <a:noFill/>
                  </pic:spPr>
                </pic:pic>
              </a:graphicData>
            </a:graphic>
          </wp:anchor>
        </w:drawing>
      </w:r>
    </w:p>
    <w:p>
      <w:pPr>
        <w:spacing w:after="0" w:line="26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quarter ended December 31, 2025, the Company’s weighted average number of ADSs used in computing diluted income per ADS was 505,342,970.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AND CASH FLOW</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and restricted cash of RMB24.1 billion (US$3.4 billion) and short term investments of RMB5.8 billion (US$826.1 million).</w:t>
      </w:r>
    </w:p>
    <w:p>
      <w:pPr>
        <w:spacing w:after="0" w:line="165"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For the quarter ended December 31, 2025, net cash generated from operating activities was RMB5.5 billion (US$781.9 million), and free cash flow</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a non-GAAP measurement of liquidity, was as follows:</w:t>
      </w:r>
    </w:p>
    <w:p>
      <w:pPr>
        <w:sectPr>
          <w:pgSz w:w="11900" w:h="16838" w:orient="portrait"/>
          <w:cols w:equalWidth="0" w:num="1">
            <w:col w:w="11240"/>
          </w:cols>
          <w:pgMar w:left="320" w:top="1440" w:right="3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Reconciling items:</w:t>
      </w:r>
    </w:p>
    <w:p>
      <w:pPr>
        <w:ind w:left="180"/>
        <w:spacing w:after="0" w:line="199" w:lineRule="auto"/>
        <w:rPr>
          <w:sz w:val="20"/>
          <w:szCs w:val="20"/>
          <w:color w:val="auto"/>
        </w:rPr>
      </w:pPr>
      <w:r>
        <w:rPr>
          <w:rFonts w:ascii="Times New Roman" w:cs="Times New Roman" w:eastAsia="Times New Roman" w:hAnsi="Times New Roman"/>
          <w:sz w:val="17"/>
          <w:szCs w:val="17"/>
          <w:color w:val="auto"/>
        </w:rPr>
        <w:t>Net impact from internet financing activities</w:t>
      </w:r>
      <w:r>
        <w:rPr>
          <w:rFonts w:ascii="Times New Roman" w:cs="Times New Roman" w:eastAsia="Times New Roman" w:hAnsi="Times New Roman"/>
          <w:sz w:val="28"/>
          <w:szCs w:val="28"/>
          <w:color w:val="auto"/>
          <w:vertAlign w:val="superscript"/>
        </w:rPr>
        <w:t>11</w:t>
      </w:r>
    </w:p>
    <w:p>
      <w:pPr>
        <w:ind w:left="18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cash inflow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Results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Dec 31, 2024</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 31, 2025</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Dec 31, 2025</w:t>
            </w:r>
          </w:p>
        </w:tc>
      </w:tr>
      <w:tr>
        <w:trPr>
          <w:trHeight w:val="234"/>
        </w:trPr>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RMB’000</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RMB’000</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US$’000</w:t>
            </w:r>
          </w:p>
        </w:tc>
      </w:tr>
      <w:tr>
        <w:trPr>
          <w:trHeight w:val="228"/>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8,893,726</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5,467,910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781,901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6"/>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107,166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1,399</w:t>
            </w:r>
          </w:p>
        </w:tc>
        <w:tc>
          <w:tcPr>
            <w:tcW w:w="40" w:type="dxa"/>
            <w:vAlign w:val="bottom"/>
          </w:tcPr>
          <w:p>
            <w:pPr>
              <w:spacing w:after="0"/>
              <w:rPr>
                <w:sz w:val="24"/>
                <w:szCs w:val="24"/>
                <w:color w:val="auto"/>
              </w:rPr>
            </w:pPr>
          </w:p>
        </w:tc>
      </w:tr>
      <w:tr>
        <w:trPr>
          <w:trHeight w:val="248"/>
        </w:trPr>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(588,841)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(497,006)</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(71,071)</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8,412,051</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4,980,688</w:t>
            </w:r>
          </w:p>
        </w:tc>
        <w:tc>
          <w:tcPr>
            <w:tcW w:w="2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712,229</w:t>
            </w:r>
          </w:p>
        </w:tc>
        <w:tc>
          <w:tcPr>
            <w:tcW w:w="40" w:type="dxa"/>
            <w:vAlign w:val="bottom"/>
          </w:tcPr>
          <w:p>
            <w:pPr>
              <w:spacing w:after="0"/>
              <w:rPr>
                <w:sz w:val="19"/>
                <w:szCs w:val="19"/>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-770890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-488315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-179070</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6260" w:space="720"/>
            <w:col w:w="4260"/>
          </w:cols>
          <w:pgMar w:left="320" w:top="1440"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revenues for the full year of 2025 were RMB105.9 billion (US$15.1 billion), compared with RMB108.4 billion in the prior year.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Gross profit for the full year of 2025 was RMB24.5 billion (US$3.5 billion), compared with RMB25.5 billion in the prior year. Gross margin for the full year of 2025 was 23.1%, compared with 23.5% in the prior year.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from operations for the full year of 2025 was RMB8.1 billion (US$1.2 billion), compared with RMB9.2 billion in the prior year. Operating margin for the full year was 7.7%, compared with 8.5% in the prior year.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Non-GAAP income from operations for the full year of 2025, which excluded share-based compensation expenses, was RMB9.9 billion (US$1.4 billion), compared with RMB10.7 billion in the prior year. Non-GAAP operating margin for the full year of 2025 was 9.3%, compared with 9.9%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firstLine="8"/>
        <w:spacing w:after="0" w:line="208" w:lineRule="auto"/>
        <w:tabs>
          <w:tab w:leader="none" w:pos="201"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Free cash flow is a non-GAAP financial measure, which is defined as net cash from operating activities adding back the impact from internet financing activities and less capital expenditures, which include purchase and deposits of property and equipment and land use rights.</w:t>
      </w:r>
    </w:p>
    <w:p>
      <w:pPr>
        <w:spacing w:after="0" w:line="24" w:lineRule="exact"/>
        <w:rPr>
          <w:rFonts w:ascii="Times New Roman" w:cs="Times New Roman" w:eastAsia="Times New Roman" w:hAnsi="Times New Roman"/>
          <w:sz w:val="28"/>
          <w:szCs w:val="28"/>
          <w:color w:val="auto"/>
          <w:vertAlign w:val="superscript"/>
        </w:rPr>
      </w:pPr>
    </w:p>
    <w:p>
      <w:pPr>
        <w:ind w:firstLine="8"/>
        <w:spacing w:after="0" w:line="195" w:lineRule="auto"/>
        <w:tabs>
          <w:tab w:leader="none" w:pos="217"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impact from internet financing activities represents net cash flow relating to the Company’s financial products, which are primarily consumer financing and supplier financing that the Company provides to its customers and suppliers.</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88670" cy="462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88670" cy="462915"/>
                    </a:xfrm>
                    <a:prstGeom prst="rect">
                      <a:avLst/>
                    </a:prstGeom>
                    <a:noFill/>
                  </pic:spPr>
                </pic:pic>
              </a:graphicData>
            </a:graphic>
          </wp:anchor>
        </w:drawing>
      </w:r>
    </w:p>
    <w:p>
      <w:pPr>
        <w:spacing w:after="0" w:line="2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Vipshop’s shareholders for the full year of 2025 was RMB7.2 billion (US$1.0 billion), compared with RMB7.7 billion in the prior year. Net margin attributable to Vipshop’s shareholders for the full year of 2025 was 6.8%, compared with 7.1% in the prior year. Net income attributable to Vipshop’s shareholders per diluted ADS for the full year of 2025 was RMB14.15 (US$2.02), compared with RMB14.35 in the prior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net income attributable to Vipshop’s shareholders for the full year of 2025, which excluded (i) share-based compensation expenses,</w:t>
      </w:r>
    </w:p>
    <w:p>
      <w:pPr>
        <w:spacing w:after="0" w:line="27" w:lineRule="exact"/>
        <w:rPr>
          <w:sz w:val="20"/>
          <w:szCs w:val="20"/>
          <w:color w:val="auto"/>
        </w:rPr>
      </w:pPr>
    </w:p>
    <w:p>
      <w:pPr>
        <w:jc w:val="both"/>
        <w:ind w:firstLine="8"/>
        <w:spacing w:after="0" w:line="253" w:lineRule="auto"/>
        <w:tabs>
          <w:tab w:leader="none" w:pos="2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loss of investments, (iii) investment gain and revaluation of investments excluding dividends, (iv) reconciling items on the share of equity method investments, and (v) tax effects on non-GAAP adjustments, was RMB8.7 billion (US$1.3 billion), compared with RMB9.0 billion in the prior year. Non-GAAP net margin attributable to Vipshop’s shareholders for the full year of 2025 was 8.3%, which remained stable as compared with that in the prior year period. Non-GAAP net income attributable to Vipshop’s shareholders per diluted ADS for the full year of 2025 increased to RMB17.08 (US$2.44), compared with RMB16.75 in the prior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year of 2025, the Company’s weighted average number of ADSs used in computing diluted earnings per ADS was 511,919,450.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full year of 2025, net cash generated from operating activities was RMB7.5 billion (US$1.1 billion), and free cash flow, a non-GAAP measurement of liquidity, was as follows:</w:t>
      </w:r>
    </w:p>
    <w:p>
      <w:pPr>
        <w:sectPr>
          <w:pgSz w:w="11900" w:h="16838" w:orient="portrait"/>
          <w:cols w:equalWidth="0" w:num="1">
            <w:col w:w="11240"/>
          </w:cols>
          <w:pgMar w:left="320" w:top="1440"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trailing twelve months ended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Reconciling items: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Net impact from internet financing activities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cash inflow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Dec 31, 2024</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Dec 31, 2025</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Dec 31, 2025</w:t>
            </w:r>
          </w:p>
        </w:tc>
      </w:tr>
      <w:tr>
        <w:trPr>
          <w:trHeight w:val="234"/>
        </w:trPr>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RMB’000</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RMB’000</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US$’000</w:t>
            </w:r>
          </w:p>
        </w:tc>
      </w:tr>
      <w:tr>
        <w:trPr>
          <w:trHeight w:val="228"/>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9,128,983</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7,454,245</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1,065,943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95"/>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55,593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(35,074)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(5,016)</w:t>
            </w:r>
          </w:p>
        </w:tc>
      </w:tr>
      <w:tr>
        <w:trPr>
          <w:trHeight w:val="248"/>
        </w:trPr>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(3,562,586)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(2,066,537)</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(295,511)</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5,621,990</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5,352,634</w:t>
            </w:r>
          </w:p>
        </w:tc>
        <w:tc>
          <w:tcPr>
            <w:tcW w:w="2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765,416</w:t>
            </w:r>
          </w:p>
        </w:tc>
        <w:tc>
          <w:tcPr>
            <w:tcW w:w="40" w:type="dxa"/>
            <w:vAlign w:val="bottom"/>
          </w:tcPr>
          <w:p>
            <w:pPr>
              <w:spacing w:after="0"/>
              <w:rPr>
                <w:sz w:val="19"/>
                <w:szCs w:val="19"/>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-745490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-179070</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6260" w:space="720"/>
            <w:col w:w="4260"/>
          </w:cols>
          <w:pgMar w:left="320" w:top="1440" w:right="339" w:bottom="1440" w:gutter="0" w:footer="0" w:header="0"/>
          <w:type w:val="continuous"/>
        </w:sectPr>
      </w:pP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the Company repurchased US$305.4 million of its ADSs under its current US$1.0 billion share repurchase program, which is effective through February 2027. As of December 31, 2025, the Company had an unutilized amount of US$316.0 million under this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Declaration of 2025 Dividend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approved and declared an annual cash dividend for fiscal year 2025 in the amount of US$3.10 per ordinary share, or US$0.62 per ADS, to holders of ordinary shares and holders of ADSs of record as of the close of business on April 10, 2026. The payment date is expected to be on April 24, 2026. Holders of the Company's ADSs will receive the cash dividends through the depositary, Deutsche Bank Trust Company Americas, subject to the terms of the deposit agreement.</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88670" cy="462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88670" cy="46291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quarter of 2026, the Company expects its total net revenues to be between RMB26.3 billion and RMB27.6 billion, representing a year-over-year increase of approximately 0% to 5%. These forecasts reflect the Company’s current and preliminary view on the market and operational conditions, which is subject to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business is primarily conducted in China and the significant majority of revenues generated are denominated in Renminbi. This announcement contains currency translations of Renminbi amounts into U.S. dollars solely for the convenience of the reader. Unless otherwise noted, all translations from Renminbi to U.S. dollars are made at a rate of RMB6.9931 to US$1.00, the effective noon buying rate on December 31, 2025 as set forth in the H.10 statistical release of the Federal Reserve Board. No representation is made that the Renminbi amounts could have been, or could be, converted, realized or settled into U.S. dollars at that rate on December 31, 2025 or at any other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hold a conference call on Thursday, February 26, 2026 at 7:00 am U.S. Eastern Time, 8:00 pm Beijing Time to discuss the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participants wishing to join the conference call must pre-register online using the link provided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https://register-conf.media-server.com/register/BId8a721cb0cc8420cab7858dc569d1e68</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Once pre-registration has been completed, each participant will receive dial-in numbers and a unique access PIN via email. To join the conference, participants should use the dial-in details followed by the PIN code.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live webcast of the earnings conference call can be accessed at </w:t>
      </w:r>
      <w:r>
        <w:rPr>
          <w:rFonts w:ascii="Times New Roman" w:cs="Times New Roman" w:eastAsia="Times New Roman" w:hAnsi="Times New Roman"/>
          <w:sz w:val="18"/>
          <w:szCs w:val="18"/>
          <w:u w:val="single" w:color="auto"/>
          <w:color w:val="auto"/>
        </w:rPr>
        <w:t>https://edge.media-server.com/mmc/p/iotntvhn/</w:t>
      </w:r>
      <w:r>
        <w:rPr>
          <w:rFonts w:ascii="Times New Roman" w:cs="Times New Roman" w:eastAsia="Times New Roman" w:hAnsi="Times New Roman"/>
          <w:sz w:val="18"/>
          <w:szCs w:val="18"/>
          <w:color w:val="auto"/>
        </w:rPr>
        <w:t xml:space="preserve">. An archived webcast will be available at the Company’s investor relations website at </w:t>
      </w:r>
      <w:r>
        <w:rPr>
          <w:rFonts w:ascii="Times New Roman" w:cs="Times New Roman" w:eastAsia="Times New Roman" w:hAnsi="Times New Roman"/>
          <w:sz w:val="18"/>
          <w:szCs w:val="18"/>
          <w:u w:val="single" w:color="auto"/>
          <w:color w:val="auto"/>
        </w:rPr>
        <w:t>http://ir.vip.com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Vipshop Holdings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Vipshop Holdings Limited is a leading online discount retailer for brands in China. Vipshop offers high quality and popular branded products to consumers throughout China at a significant discount to retail prices. Since it was founded in August 2008, the Company has rapidly built a sizeable and growing base of customers and brand partners. For more information, please visit </w:t>
      </w:r>
      <w:r>
        <w:rPr>
          <w:rFonts w:ascii="Times New Roman" w:cs="Times New Roman" w:eastAsia="Times New Roman" w:hAnsi="Times New Roman"/>
          <w:sz w:val="18"/>
          <w:szCs w:val="18"/>
          <w:i w:val="1"/>
          <w:iCs w:val="1"/>
          <w:color w:val="auto"/>
        </w:rPr>
        <w:t>https://ir.vip.com/.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Vipshop’s strategic and operational plans, contain forward-looking statements. Vipshop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Vipshop’s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Vipshop’s goals and strategies; Vipshop’s future business development, results of operations and financial condition; the expected growth of the online discount retail market in China; Vipshop’s ability to attract customers and brand partners and further enhance its brand recognition; Vipshop’s expectations regarding needs for and market acceptance of flash sales products and services; competition in the discount retail industry; fluctuations in general economic and business conditions in China and assumptions underlying or related to any of the foregoing. Further information regarding these and other risks is included in Vipshop’s filings with the SEC. All information provided in this press release is as of the date of this press release, and Vipshop does not undertake any obligation to update any forward-looking statement, except as required under applicable law.</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88670" cy="462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88670" cy="46291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condensed consolidated financial information is derived from the Company’s unaudited interim condensed consolidated financial statements prepared in conformity with accounting principles generally accepted in the United States of America (“U.S. GAAP”), except that comparative consolidated statements of income and cash flows for the period presented and the detailed footnote disclosures required by Accounting Standards Codification 270, Interim Reporting (“ASC270”) have been omitted. Vipshop uses non-GAAP net income attributable to Vipshop’s shareholders, non-GAAP net income attributable to Vipshop’s shareholders per diluted ADS, non-GAAP income from operations, non-GAAP operating margin, non-GAAP net margin attributable to Vipshop’s shareholders, and free cash flow, each of which is a non-GAAP financial measure. For the periods presented in this press release, non-GAAP net income attributable to Vipshop’s shareholders is net income attributable to Vipshop’s shareholders excluding (i) share-based compensation expenses, (ii) impairment loss of investments, (iii) investment gain and revaluation of investments excluding dividends, (iv) reconciling items on the share of equity method investments, and (v) tax effects on non-GAAP adjustments. Non-GAAP net income attributable to Vipshop’s shareholders per diluted ADS is computed using non-GAAP net income attributable to Vipshop’s shareholders divided by weighted average number of diluted ADS outstanding for computing diluted earnings per ADS. Non-GAAP income from operations is income from operations excluding share-based compensation expenses. Non-GAAP operating margin is non-GAAP income from operations as a percentage of total net revenues. Non-GAAP net margin attributable to Vipshop’s shareholders is non-GAAP net income attributable to Vipshop’s shareholders as a percentage of total net revenues. Free cash flow is net cash from operating activities adding back the impact from internet financing activities and less capital expenditures, which include purchase and deposits of property and equipment and land use rights. Impact from internet financing activities added back or deducted from free cash flow contains changes in the balances of financial products, which are primarily consumer financing and supplier financing that the Company provides to customers and suppliers. The Company believes that separate analysis and exclusion of the non-cash impact of (i) share-based compensation expenses, (ii) impairment loss of investments,</w:t>
      </w:r>
    </w:p>
    <w:p>
      <w:pPr>
        <w:spacing w:after="0" w:line="10" w:lineRule="exact"/>
        <w:rPr>
          <w:sz w:val="20"/>
          <w:szCs w:val="20"/>
          <w:color w:val="auto"/>
        </w:rPr>
      </w:pPr>
    </w:p>
    <w:p>
      <w:pPr>
        <w:jc w:val="both"/>
        <w:ind w:firstLine="8"/>
        <w:spacing w:after="0" w:line="251"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 and revaluation of investments excluding dividends, (iv) reconciling items on the share of equity method investments, and (v) tax effects on non-GAAP adjustments add clarity to the constituent parts of its performance. The Company reviews these non-GAAP financial measures together with GAAP financial measures to obtain a better understanding of its operating performance. It uses these non-GAAP financial measures for planning, forecasting, and measuring results against the forecast. The Company believes that non-GAAP financial measures are useful supplemental information for investors and analysts to assess its operating performance without the effect of (i) share-based compensation expenses, (ii) impairment loss of investments, (iii) investment gain and revaluation of investments excluding dividends, (iv) reconciling items on the share of equity method investments, and (v) tax effects on non-GAAP adjustments. Free cash flow enables the Company to assess liquidity and cash flow, taking into account the impact from internet financing activities and the financial resources needed for the expansion of fulfillment infrastructure, technology platform, and Shan Shan Outlets. Share-based compensation expenses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One of the key limitations of free cash flow is that it does not represent the residual cash flow available for discretionary expenditures.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88670" cy="462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88670" cy="462915"/>
                    </a:xfrm>
                    <a:prstGeom prst="rect">
                      <a:avLst/>
                    </a:prstGeom>
                    <a:noFill/>
                  </pic:spPr>
                </pic:pic>
              </a:graphicData>
            </a:graphic>
          </wp:anchor>
        </w:drawing>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“Vipshop Holdings Limited Reconciliations of GAAP and Non-GAAP Results” at the end of this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(20) 2233-0732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IR@vipshop.com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tcBorders>
              <w:bottom w:val="single" w:sz="8" w:color="auto"/>
            </w:tcBorders>
            <w:gridSpan w:val="4"/>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Twelve Months Ended</w:t>
            </w:r>
          </w:p>
        </w:tc>
        <w:tc>
          <w:tcPr>
            <w:tcW w:w="1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1920" w:type="dxa"/>
            <w:vAlign w:val="bottom"/>
          </w:tcPr>
          <w:p>
            <w:pPr>
              <w:spacing w:after="0"/>
              <w:rPr>
                <w:sz w:val="19"/>
                <w:szCs w:val="19"/>
                <w:color w:val="auto"/>
              </w:rPr>
            </w:pPr>
          </w:p>
        </w:tc>
        <w:tc>
          <w:tcPr>
            <w:tcW w:w="15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97"/>
              </w:rPr>
              <w:t>December 31,2024</w:t>
            </w:r>
          </w:p>
        </w:tc>
        <w:tc>
          <w:tcPr>
            <w:tcW w:w="15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7"/>
              </w:rPr>
              <w:t>December 31,2025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December 31,2025</w:t>
            </w:r>
          </w:p>
        </w:tc>
        <w:tc>
          <w:tcPr>
            <w:tcW w:w="140" w:type="dxa"/>
            <w:vAlign w:val="bottom"/>
          </w:tcPr>
          <w:p>
            <w:pPr>
              <w:spacing w:after="0"/>
              <w:rPr>
                <w:sz w:val="19"/>
                <w:szCs w:val="19"/>
                <w:color w:val="auto"/>
              </w:rPr>
            </w:pP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31,2024</w:t>
            </w:r>
          </w:p>
        </w:tc>
        <w:tc>
          <w:tcPr>
            <w:tcW w:w="15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7"/>
              </w:rPr>
              <w:t>December 31,2025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December 31,2025</w:t>
            </w:r>
          </w:p>
        </w:tc>
        <w:tc>
          <w:tcPr>
            <w:tcW w:w="80" w:type="dxa"/>
            <w:vAlign w:val="bottom"/>
          </w:tcPr>
          <w:p>
            <w:pPr>
              <w:spacing w:after="0"/>
              <w:rPr>
                <w:sz w:val="19"/>
                <w:szCs w:val="19"/>
                <w:color w:val="auto"/>
              </w:rPr>
            </w:pPr>
          </w:p>
        </w:tc>
      </w:tr>
      <w:tr>
        <w:trPr>
          <w:trHeight w:val="210"/>
        </w:trPr>
        <w:tc>
          <w:tcPr>
            <w:tcW w:w="1920" w:type="dxa"/>
            <w:vAlign w:val="bottom"/>
          </w:tcPr>
          <w:p>
            <w:pPr>
              <w:spacing w:after="0"/>
              <w:rPr>
                <w:sz w:val="18"/>
                <w:szCs w:val="18"/>
                <w:color w:val="auto"/>
              </w:rPr>
            </w:pPr>
          </w:p>
        </w:tc>
        <w:tc>
          <w:tcPr>
            <w:tcW w:w="14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160" w:type="dxa"/>
            <w:vAlign w:val="bottom"/>
          </w:tcPr>
          <w:p>
            <w:pPr>
              <w:spacing w:after="0"/>
              <w:rPr>
                <w:sz w:val="18"/>
                <w:szCs w:val="18"/>
                <w:color w:val="auto"/>
              </w:rPr>
            </w:pPr>
          </w:p>
        </w:tc>
        <w:tc>
          <w:tcPr>
            <w:tcW w:w="14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140" w:type="dxa"/>
            <w:vAlign w:val="bottom"/>
          </w:tcPr>
          <w:p>
            <w:pPr>
              <w:spacing w:after="0"/>
              <w:rPr>
                <w:sz w:val="18"/>
                <w:szCs w:val="18"/>
                <w:color w:val="auto"/>
              </w:rPr>
            </w:pPr>
          </w:p>
        </w:tc>
        <w:tc>
          <w:tcPr>
            <w:tcW w:w="14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USD'000</w:t>
            </w:r>
          </w:p>
        </w:tc>
        <w:tc>
          <w:tcPr>
            <w:tcW w:w="140" w:type="dxa"/>
            <w:vAlign w:val="bottom"/>
          </w:tcPr>
          <w:p>
            <w:pPr>
              <w:spacing w:after="0"/>
              <w:rPr>
                <w:sz w:val="18"/>
                <w:szCs w:val="18"/>
                <w:color w:val="auto"/>
              </w:rPr>
            </w:pPr>
          </w:p>
        </w:tc>
        <w:tc>
          <w:tcPr>
            <w:tcW w:w="14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160" w:type="dxa"/>
            <w:vAlign w:val="bottom"/>
          </w:tcPr>
          <w:p>
            <w:pPr>
              <w:spacing w:after="0"/>
              <w:rPr>
                <w:sz w:val="18"/>
                <w:szCs w:val="18"/>
                <w:color w:val="auto"/>
              </w:rPr>
            </w:pPr>
          </w:p>
        </w:tc>
        <w:tc>
          <w:tcPr>
            <w:tcW w:w="14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140" w:type="dxa"/>
            <w:vAlign w:val="bottom"/>
          </w:tcPr>
          <w:p>
            <w:pPr>
              <w:spacing w:after="0"/>
              <w:rPr>
                <w:sz w:val="18"/>
                <w:szCs w:val="18"/>
                <w:color w:val="auto"/>
              </w:rPr>
            </w:pPr>
          </w:p>
        </w:tc>
        <w:tc>
          <w:tcPr>
            <w:tcW w:w="14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USD'000</w:t>
            </w:r>
          </w:p>
        </w:tc>
        <w:tc>
          <w:tcPr>
            <w:tcW w:w="80" w:type="dxa"/>
            <w:vAlign w:val="bottom"/>
          </w:tcPr>
          <w:p>
            <w:pPr>
              <w:spacing w:after="0"/>
              <w:rPr>
                <w:sz w:val="18"/>
                <w:szCs w:val="18"/>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15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30,889,540</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29,945,173</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4,282,103</w:t>
            </w:r>
          </w:p>
        </w:tc>
        <w:tc>
          <w:tcPr>
            <w:tcW w:w="1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100,734,550</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97,398,826</w:t>
            </w:r>
          </w:p>
        </w:tc>
        <w:tc>
          <w:tcPr>
            <w:tcW w:w="15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13,927,847</w:t>
            </w:r>
          </w:p>
        </w:tc>
      </w:tr>
      <w:tr>
        <w:trPr>
          <w:trHeight w:val="22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 (1)</w:t>
            </w:r>
          </w:p>
        </w:tc>
        <w:tc>
          <w:tcPr>
            <w:tcW w:w="15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2,334,302</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2,528,606</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361,586</w:t>
            </w: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7,686,282</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8,520,720</w:t>
            </w:r>
          </w:p>
        </w:tc>
        <w:tc>
          <w:tcPr>
            <w:tcW w:w="15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1,218,447</w:t>
            </w:r>
          </w:p>
        </w:tc>
      </w:tr>
      <w:tr>
        <w:trPr>
          <w:trHeight w:val="209"/>
        </w:trPr>
        <w:tc>
          <w:tcPr>
            <w:tcW w:w="19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revenues</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33,223,842</w:t>
            </w:r>
          </w:p>
        </w:tc>
        <w:tc>
          <w:tcPr>
            <w:tcW w:w="1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32,473,779</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4,643,689</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108,420,832</w:t>
            </w:r>
          </w:p>
        </w:tc>
        <w:tc>
          <w:tcPr>
            <w:tcW w:w="1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105,919,546</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15,146,294</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1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Cost of revenues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(25,596,304</w:t>
            </w:r>
          </w:p>
        </w:tc>
        <w:tc>
          <w:tcPr>
            <w:tcW w:w="160" w:type="dxa"/>
            <w:vAlign w:val="bottom"/>
            <w:tcBorders>
              <w:bottom w:val="single" w:sz="8" w:color="CCEEFF"/>
            </w:tcBorders>
          </w:tcPr>
          <w:p>
            <w:pPr>
              <w:jc w:val="right"/>
              <w:ind w:right="16"/>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(25,029,580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(3,579,182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(82,951,178</w:t>
            </w:r>
          </w:p>
        </w:tc>
        <w:tc>
          <w:tcPr>
            <w:tcW w:w="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(81,429,230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(11,644,225</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1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7,627,538</w:t>
            </w:r>
          </w:p>
        </w:tc>
        <w:tc>
          <w:tcPr>
            <w:tcW w:w="16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7,444,199</w:t>
            </w:r>
          </w:p>
        </w:tc>
        <w:tc>
          <w:tcPr>
            <w:tcW w:w="14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1,064,507</w:t>
            </w:r>
          </w:p>
        </w:tc>
        <w:tc>
          <w:tcPr>
            <w:tcW w:w="14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25,469,654</w:t>
            </w:r>
          </w:p>
        </w:tc>
        <w:tc>
          <w:tcPr>
            <w:tcW w:w="16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24,490,316</w:t>
            </w:r>
          </w:p>
        </w:tc>
        <w:tc>
          <w:tcPr>
            <w:tcW w:w="14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3,502,069</w:t>
            </w:r>
          </w:p>
        </w:tc>
        <w:tc>
          <w:tcPr>
            <w:tcW w:w="80" w:type="dxa"/>
            <w:vAlign w:val="bottom"/>
            <w:shd w:val="clear" w:color="auto" w:fill="CCEEFF"/>
          </w:tcPr>
          <w:p>
            <w:pPr>
              <w:spacing w:after="0"/>
              <w:rPr>
                <w:sz w:val="18"/>
                <w:szCs w:val="18"/>
                <w:color w:val="auto"/>
              </w:rPr>
            </w:pPr>
          </w:p>
        </w:tc>
      </w:tr>
      <w:tr>
        <w:trPr>
          <w:trHeight w:val="210"/>
        </w:trPr>
        <w:tc>
          <w:tcPr>
            <w:tcW w:w="1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9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Fulfillment expenses</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(2,460,984)</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(2,437,532)</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(348,562)</w:t>
            </w:r>
          </w:p>
        </w:tc>
        <w:tc>
          <w:tcPr>
            <w:tcW w:w="1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(8,346,864)</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(8,291,670)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(1,185,693)</w:t>
            </w:r>
          </w:p>
        </w:tc>
      </w:tr>
      <w:tr>
        <w:trPr>
          <w:trHeight w:val="216"/>
        </w:trPr>
        <w:tc>
          <w:tcPr>
            <w:tcW w:w="1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Marketing expenses</w:t>
            </w:r>
          </w:p>
        </w:tc>
        <w:tc>
          <w:tcPr>
            <w:tcW w:w="15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(930,293)</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(873,714)</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(124,939)</w:t>
            </w: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(2,979,654)</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(2,988,995)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(427,421)</w:t>
            </w:r>
          </w:p>
        </w:tc>
      </w:tr>
      <w:tr>
        <w:trPr>
          <w:trHeight w:val="198"/>
        </w:trPr>
        <w:tc>
          <w:tcPr>
            <w:tcW w:w="19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Technology and</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content expenses</w:t>
            </w:r>
          </w:p>
        </w:tc>
        <w:tc>
          <w:tcPr>
            <w:tcW w:w="15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(469,223)</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(425,462)</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(60,840)</w:t>
            </w:r>
          </w:p>
        </w:tc>
        <w:tc>
          <w:tcPr>
            <w:tcW w:w="1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(1,892,434)</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(1,755,123)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(250,979)</w:t>
            </w:r>
          </w:p>
        </w:tc>
      </w:tr>
      <w:tr>
        <w:trPr>
          <w:trHeight w:val="198"/>
        </w:trPr>
        <w:tc>
          <w:tcPr>
            <w:tcW w:w="19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administrative</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8"/>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expenses</w:t>
            </w:r>
          </w:p>
        </w:tc>
        <w:tc>
          <w:tcPr>
            <w:tcW w:w="15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(1,205,101)</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(1,142,656)</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(163,398)</w:t>
            </w: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(3,992,657)</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(4,374,425)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(625,534)</w:t>
            </w:r>
          </w:p>
        </w:tc>
      </w:tr>
      <w:tr>
        <w:trPr>
          <w:trHeight w:val="178"/>
        </w:trPr>
        <w:tc>
          <w:tcPr>
            <w:tcW w:w="1920" w:type="dxa"/>
            <w:vAlign w:val="bottom"/>
            <w:tcBorders>
              <w:top w:val="single" w:sz="8" w:color="CCEEFF"/>
            </w:tcBorders>
            <w:shd w:val="clear" w:color="auto" w:fill="CCEEFF"/>
          </w:tcPr>
          <w:p>
            <w:pPr>
              <w:ind w:left="340"/>
              <w:spacing w:after="0" w:line="177" w:lineRule="exact"/>
              <w:rPr>
                <w:sz w:val="20"/>
                <w:szCs w:val="20"/>
                <w:color w:val="auto"/>
              </w:rPr>
            </w:pPr>
            <w:r>
              <w:rPr>
                <w:rFonts w:ascii="Times New Roman" w:cs="Times New Roman" w:eastAsia="Times New Roman" w:hAnsi="Times New Roman"/>
                <w:sz w:val="18"/>
                <w:szCs w:val="18"/>
                <w:color w:val="auto"/>
              </w:rPr>
              <w:t>Total operating</w:t>
            </w:r>
          </w:p>
        </w:tc>
        <w:tc>
          <w:tcPr>
            <w:tcW w:w="1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48"/>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expenses</w:t>
            </w:r>
          </w:p>
        </w:tc>
        <w:tc>
          <w:tcPr>
            <w:tcW w:w="15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(5,065,601)</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(4,879,364)</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(697,739)</w:t>
            </w:r>
          </w:p>
        </w:tc>
        <w:tc>
          <w:tcPr>
            <w:tcW w:w="1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(17,211,609)</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(17,410,213)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(2,489,627)</w:t>
            </w:r>
          </w:p>
        </w:tc>
      </w:tr>
      <w:tr>
        <w:trPr>
          <w:trHeight w:val="178"/>
        </w:trPr>
        <w:tc>
          <w:tcPr>
            <w:tcW w:w="192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Other operating</w:t>
            </w:r>
          </w:p>
        </w:tc>
        <w:tc>
          <w:tcPr>
            <w:tcW w:w="14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48"/>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w:t>
            </w:r>
          </w:p>
        </w:tc>
        <w:tc>
          <w:tcPr>
            <w:tcW w:w="15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289,291</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334,011</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47,763</w:t>
            </w: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915,208</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1,055,843</w:t>
            </w:r>
          </w:p>
        </w:tc>
        <w:tc>
          <w:tcPr>
            <w:tcW w:w="15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150,984</w:t>
            </w:r>
          </w:p>
        </w:tc>
      </w:tr>
      <w:tr>
        <w:trPr>
          <w:trHeight w:val="178"/>
        </w:trPr>
        <w:tc>
          <w:tcPr>
            <w:tcW w:w="1920" w:type="dxa"/>
            <w:vAlign w:val="bottom"/>
            <w:tcBorders>
              <w:top w:val="single" w:sz="8" w:color="CCEEFF"/>
            </w:tcBorders>
            <w:shd w:val="clear" w:color="auto" w:fill="CCEEFF"/>
          </w:tcPr>
          <w:p>
            <w:pPr>
              <w:ind w:left="340"/>
              <w:spacing w:after="0" w:line="177" w:lineRule="exact"/>
              <w:rPr>
                <w:sz w:val="20"/>
                <w:szCs w:val="20"/>
                <w:color w:val="auto"/>
              </w:rPr>
            </w:pPr>
            <w:r>
              <w:rPr>
                <w:rFonts w:ascii="Times New Roman" w:cs="Times New Roman" w:eastAsia="Times New Roman" w:hAnsi="Times New Roman"/>
                <w:sz w:val="18"/>
                <w:szCs w:val="18"/>
                <w:color w:val="auto"/>
              </w:rPr>
              <w:t>Income from</w:t>
            </w:r>
          </w:p>
        </w:tc>
        <w:tc>
          <w:tcPr>
            <w:tcW w:w="1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48"/>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operations</w:t>
            </w:r>
          </w:p>
        </w:tc>
        <w:tc>
          <w:tcPr>
            <w:tcW w:w="15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2,851,228</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2,898,846</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414,531</w:t>
            </w:r>
          </w:p>
        </w:tc>
        <w:tc>
          <w:tcPr>
            <w:tcW w:w="1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9,173,253</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8,135,946</w:t>
            </w:r>
          </w:p>
        </w:tc>
        <w:tc>
          <w:tcPr>
            <w:tcW w:w="15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1,163,426</w:t>
            </w:r>
          </w:p>
        </w:tc>
      </w:tr>
      <w:tr>
        <w:trPr>
          <w:trHeight w:val="178"/>
        </w:trPr>
        <w:tc>
          <w:tcPr>
            <w:tcW w:w="192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Investment gain and</w:t>
            </w:r>
          </w:p>
        </w:tc>
        <w:tc>
          <w:tcPr>
            <w:tcW w:w="14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revaluation of</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investments</w:t>
            </w:r>
          </w:p>
        </w:tc>
        <w:tc>
          <w:tcPr>
            <w:tcW w:w="15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72,649</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23,155</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3,311</w:t>
            </w: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148,170</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144,723</w:t>
            </w:r>
          </w:p>
        </w:tc>
        <w:tc>
          <w:tcPr>
            <w:tcW w:w="15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20,695</w:t>
            </w:r>
          </w:p>
        </w:tc>
      </w:tr>
      <w:tr>
        <w:trPr>
          <w:trHeight w:val="198"/>
        </w:trPr>
        <w:tc>
          <w:tcPr>
            <w:tcW w:w="19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Impairment loss of</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investments</w:t>
            </w:r>
          </w:p>
        </w:tc>
        <w:tc>
          <w:tcPr>
            <w:tcW w:w="15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(3,000)</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(61,246)</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(15,450)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16"/>
        </w:trPr>
        <w:tc>
          <w:tcPr>
            <w:tcW w:w="1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5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(17,560)</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(29,882)</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(4,273)</w:t>
            </w: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(57,676)</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(90,037)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(12,875)</w:t>
            </w:r>
          </w:p>
        </w:tc>
      </w:tr>
      <w:tr>
        <w:trPr>
          <w:trHeight w:val="216"/>
        </w:trPr>
        <w:tc>
          <w:tcPr>
            <w:tcW w:w="1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5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227,427</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191,864</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27,436</w:t>
            </w:r>
          </w:p>
        </w:tc>
        <w:tc>
          <w:tcPr>
            <w:tcW w:w="1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809,792</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801,587</w:t>
            </w:r>
          </w:p>
        </w:tc>
        <w:tc>
          <w:tcPr>
            <w:tcW w:w="15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114,625</w:t>
            </w:r>
          </w:p>
        </w:tc>
      </w:tr>
      <w:tr>
        <w:trPr>
          <w:trHeight w:val="230"/>
        </w:trPr>
        <w:tc>
          <w:tcPr>
            <w:tcW w:w="1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Exchange gain (loss)</w:t>
            </w:r>
          </w:p>
        </w:tc>
        <w:tc>
          <w:tcPr>
            <w:tcW w:w="15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138,633</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(17,132)</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(2,450)</w:t>
            </w: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(24,813)</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(62,086)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(8,878)</w:t>
            </w:r>
          </w:p>
        </w:tc>
      </w:tr>
      <w:tr>
        <w:trPr>
          <w:trHeight w:val="178"/>
        </w:trPr>
        <w:tc>
          <w:tcPr>
            <w:tcW w:w="1920" w:type="dxa"/>
            <w:vAlign w:val="bottom"/>
            <w:tcBorders>
              <w:top w:val="single" w:sz="8" w:color="CCEEFF"/>
            </w:tcBorders>
            <w:shd w:val="clear" w:color="auto" w:fill="CCEEFF"/>
          </w:tcPr>
          <w:p>
            <w:pPr>
              <w:ind w:left="340"/>
              <w:spacing w:after="0" w:line="177" w:lineRule="exact"/>
              <w:rPr>
                <w:sz w:val="20"/>
                <w:szCs w:val="20"/>
                <w:color w:val="auto"/>
              </w:rPr>
            </w:pPr>
            <w:r>
              <w:rPr>
                <w:rFonts w:ascii="Times New Roman" w:cs="Times New Roman" w:eastAsia="Times New Roman" w:hAnsi="Times New Roman"/>
                <w:sz w:val="18"/>
                <w:szCs w:val="18"/>
                <w:color w:val="auto"/>
              </w:rPr>
              <w:t>Income before</w:t>
            </w:r>
          </w:p>
        </w:tc>
        <w:tc>
          <w:tcPr>
            <w:tcW w:w="1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expense and share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of income of</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equity method</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investees</w:t>
            </w:r>
          </w:p>
        </w:tc>
        <w:tc>
          <w:tcPr>
            <w:tcW w:w="15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3,269,377</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3,066,851</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438,555</w:t>
            </w:r>
          </w:p>
        </w:tc>
        <w:tc>
          <w:tcPr>
            <w:tcW w:w="1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9,987,480</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8,914,683</w:t>
            </w:r>
          </w:p>
        </w:tc>
        <w:tc>
          <w:tcPr>
            <w:tcW w:w="15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1,274,784</w:t>
            </w:r>
          </w:p>
        </w:tc>
      </w:tr>
      <w:tr>
        <w:trPr>
          <w:trHeight w:val="216"/>
        </w:trPr>
        <w:tc>
          <w:tcPr>
            <w:tcW w:w="1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expenses</w:t>
            </w:r>
          </w:p>
        </w:tc>
        <w:tc>
          <w:tcPr>
            <w:tcW w:w="15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(816,363)</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(583,042)</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(83,374)</w:t>
            </w: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(2,315,515)</w:t>
            </w:r>
          </w:p>
        </w:tc>
        <w:tc>
          <w:tcPr>
            <w:tcW w:w="15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(1,798,963)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(257,248)</w:t>
            </w:r>
          </w:p>
        </w:tc>
      </w:tr>
      <w:tr>
        <w:trPr>
          <w:trHeight w:val="198"/>
        </w:trPr>
        <w:tc>
          <w:tcPr>
            <w:tcW w:w="19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Share of income of</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equity method</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investees</w:t>
            </w:r>
          </w:p>
        </w:tc>
        <w:tc>
          <w:tcPr>
            <w:tcW w:w="15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32,799</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167,582</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23,964</w:t>
            </w:r>
          </w:p>
        </w:tc>
        <w:tc>
          <w:tcPr>
            <w:tcW w:w="1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166,980</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293,919</w:t>
            </w:r>
          </w:p>
        </w:tc>
        <w:tc>
          <w:tcPr>
            <w:tcW w:w="15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42,030</w:t>
            </w:r>
          </w:p>
        </w:tc>
      </w:tr>
      <w:tr>
        <w:trPr>
          <w:trHeight w:val="210"/>
        </w:trPr>
        <w:tc>
          <w:tcPr>
            <w:tcW w:w="1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2,485,813</w:t>
            </w:r>
          </w:p>
        </w:tc>
        <w:tc>
          <w:tcPr>
            <w:tcW w:w="16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2,651,391</w:t>
            </w:r>
          </w:p>
        </w:tc>
        <w:tc>
          <w:tcPr>
            <w:tcW w:w="14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379,145</w:t>
            </w:r>
          </w:p>
        </w:tc>
        <w:tc>
          <w:tcPr>
            <w:tcW w:w="14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7,838,945</w:t>
            </w:r>
          </w:p>
        </w:tc>
        <w:tc>
          <w:tcPr>
            <w:tcW w:w="16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7,409,639</w:t>
            </w:r>
          </w:p>
        </w:tc>
        <w:tc>
          <w:tcPr>
            <w:tcW w:w="14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1,059,566</w:t>
            </w:r>
          </w:p>
        </w:tc>
        <w:tc>
          <w:tcPr>
            <w:tcW w:w="80" w:type="dxa"/>
            <w:vAlign w:val="bottom"/>
            <w:tcBorders>
              <w:bottom w:val="single" w:sz="8" w:color="CCEEFF"/>
            </w:tcBorders>
          </w:tcPr>
          <w:p>
            <w:pPr>
              <w:spacing w:after="0"/>
              <w:rPr>
                <w:sz w:val="18"/>
                <w:szCs w:val="18"/>
                <w:color w:val="auto"/>
              </w:rPr>
            </w:pPr>
          </w:p>
        </w:tc>
      </w:tr>
      <w:tr>
        <w:trPr>
          <w:trHeight w:val="178"/>
        </w:trPr>
        <w:tc>
          <w:tcPr>
            <w:tcW w:w="19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attributable</w:t>
            </w: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non-controlling</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5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(39,134)</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(62,172)</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(8,890)</w:t>
            </w:r>
          </w:p>
        </w:tc>
        <w:tc>
          <w:tcPr>
            <w:tcW w:w="1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(99,010)</w:t>
            </w:r>
          </w:p>
        </w:tc>
        <w:tc>
          <w:tcPr>
            <w:tcW w:w="1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(167,149)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(23,902)</w:t>
            </w:r>
          </w:p>
        </w:tc>
      </w:tr>
      <w:tr>
        <w:trPr>
          <w:trHeight w:val="178"/>
        </w:trPr>
        <w:tc>
          <w:tcPr>
            <w:tcW w:w="192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attributable to</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Vipshop's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01"/>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shareholders</w:t>
            </w:r>
          </w:p>
        </w:tc>
        <w:tc>
          <w:tcPr>
            <w:tcW w:w="15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2,446,679</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2,589,219</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370,255</w:t>
            </w: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7,739,935</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7,242,490</w:t>
            </w:r>
          </w:p>
        </w:tc>
        <w:tc>
          <w:tcPr>
            <w:tcW w:w="15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1,035,664</w:t>
            </w:r>
          </w:p>
        </w:tc>
      </w:tr>
      <w:tr>
        <w:trPr>
          <w:trHeight w:val="151"/>
        </w:trPr>
        <w:tc>
          <w:tcPr>
            <w:tcW w:w="1920" w:type="dxa"/>
            <w:vAlign w:val="bottom"/>
            <w:tcBorders>
              <w:top w:val="single" w:sz="8" w:color="CCEEFF"/>
            </w:tcBorders>
            <w:shd w:val="clear" w:color="auto" w:fill="CCEEFF"/>
          </w:tcPr>
          <w:p>
            <w:pPr>
              <w:ind w:left="340"/>
              <w:spacing w:after="0" w:line="151" w:lineRule="exact"/>
              <w:rPr>
                <w:sz w:val="20"/>
                <w:szCs w:val="20"/>
                <w:color w:val="auto"/>
              </w:rPr>
            </w:pPr>
            <w:r>
              <w:rPr>
                <w:rFonts w:ascii="Times New Roman" w:cs="Times New Roman" w:eastAsia="Times New Roman" w:hAnsi="Times New Roman"/>
                <w:sz w:val="17"/>
                <w:szCs w:val="17"/>
                <w:color w:val="auto"/>
              </w:rPr>
              <w:t>Shares used in</w:t>
            </w:r>
          </w:p>
        </w:tc>
        <w:tc>
          <w:tcPr>
            <w:tcW w:w="14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216"/>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calculating</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earnings per share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19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Weighted average</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number of Class A</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Class B</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ordinary shares:</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5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102,688,899</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97,833,086</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97,833,086</w:t>
            </w:r>
          </w:p>
        </w:tc>
        <w:tc>
          <w:tcPr>
            <w:tcW w:w="1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106,074,914</w:t>
            </w: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100,072,178</w:t>
            </w:r>
          </w:p>
        </w:tc>
        <w:tc>
          <w:tcPr>
            <w:tcW w:w="15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100,072,178</w:t>
            </w:r>
          </w:p>
        </w:tc>
      </w:tr>
      <w:tr>
        <w:trPr>
          <w:trHeight w:val="216"/>
        </w:trPr>
        <w:tc>
          <w:tcPr>
            <w:tcW w:w="1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5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104,300,280</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101,068,594</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101,068,594</w:t>
            </w: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107,855,806</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102,383,890</w:t>
            </w:r>
          </w:p>
        </w:tc>
        <w:tc>
          <w:tcPr>
            <w:tcW w:w="15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102,383,890</w:t>
            </w:r>
          </w:p>
        </w:tc>
      </w:tr>
      <w:tr>
        <w:trPr>
          <w:trHeight w:val="198"/>
        </w:trPr>
        <w:tc>
          <w:tcPr>
            <w:tcW w:w="19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earnings per</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Class A and</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Class B ordinary</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w:t>
            </w: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19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gridSpan w:val="2"/>
          </w:tcPr>
          <w:p>
            <w:pPr>
              <w:jc w:val="right"/>
              <w:ind w:right="76"/>
              <w:spacing w:after="0" w:line="198" w:lineRule="exact"/>
              <w:rPr>
                <w:sz w:val="20"/>
                <w:szCs w:val="20"/>
                <w:color w:val="auto"/>
              </w:rPr>
            </w:pPr>
            <w:r>
              <w:rPr>
                <w:rFonts w:ascii="Times New Roman" w:cs="Times New Roman" w:eastAsia="Times New Roman" w:hAnsi="Times New Roman"/>
                <w:sz w:val="18"/>
                <w:szCs w:val="18"/>
                <w:color w:val="auto"/>
              </w:rPr>
              <w:t>23.83</w:t>
            </w:r>
          </w:p>
        </w:tc>
        <w:tc>
          <w:tcPr>
            <w:tcW w:w="1560" w:type="dxa"/>
            <w:vAlign w:val="bottom"/>
            <w:gridSpan w:val="2"/>
          </w:tcPr>
          <w:p>
            <w:pPr>
              <w:jc w:val="right"/>
              <w:ind w:right="61"/>
              <w:spacing w:after="0" w:line="198" w:lineRule="exact"/>
              <w:rPr>
                <w:sz w:val="20"/>
                <w:szCs w:val="20"/>
                <w:color w:val="auto"/>
              </w:rPr>
            </w:pPr>
            <w:r>
              <w:rPr>
                <w:rFonts w:ascii="Times New Roman" w:cs="Times New Roman" w:eastAsia="Times New Roman" w:hAnsi="Times New Roman"/>
                <w:sz w:val="18"/>
                <w:szCs w:val="18"/>
                <w:color w:val="auto"/>
              </w:rPr>
              <w:t>26.47</w:t>
            </w:r>
          </w:p>
        </w:tc>
        <w:tc>
          <w:tcPr>
            <w:tcW w:w="1560" w:type="dxa"/>
            <w:vAlign w:val="bottom"/>
            <w:gridSpan w:val="2"/>
          </w:tcPr>
          <w:p>
            <w:pPr>
              <w:jc w:val="right"/>
              <w:ind w:right="61"/>
              <w:spacing w:after="0" w:line="198" w:lineRule="exact"/>
              <w:rPr>
                <w:sz w:val="20"/>
                <w:szCs w:val="20"/>
                <w:color w:val="auto"/>
              </w:rPr>
            </w:pPr>
            <w:r>
              <w:rPr>
                <w:rFonts w:ascii="Times New Roman" w:cs="Times New Roman" w:eastAsia="Times New Roman" w:hAnsi="Times New Roman"/>
                <w:sz w:val="18"/>
                <w:szCs w:val="18"/>
                <w:color w:val="auto"/>
              </w:rPr>
              <w:t>3.79</w:t>
            </w:r>
          </w:p>
        </w:tc>
        <w:tc>
          <w:tcPr>
            <w:tcW w:w="1580" w:type="dxa"/>
            <w:vAlign w:val="bottom"/>
            <w:gridSpan w:val="2"/>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72.97</w:t>
            </w:r>
          </w:p>
        </w:tc>
        <w:tc>
          <w:tcPr>
            <w:tcW w:w="1560" w:type="dxa"/>
            <w:vAlign w:val="bottom"/>
            <w:gridSpan w:val="2"/>
          </w:tcPr>
          <w:p>
            <w:pPr>
              <w:jc w:val="right"/>
              <w:ind w:right="61"/>
              <w:spacing w:after="0" w:line="198" w:lineRule="exact"/>
              <w:rPr>
                <w:sz w:val="20"/>
                <w:szCs w:val="20"/>
                <w:color w:val="auto"/>
              </w:rPr>
            </w:pPr>
            <w:r>
              <w:rPr>
                <w:rFonts w:ascii="Times New Roman" w:cs="Times New Roman" w:eastAsia="Times New Roman" w:hAnsi="Times New Roman"/>
                <w:sz w:val="18"/>
                <w:szCs w:val="18"/>
                <w:color w:val="auto"/>
              </w:rPr>
              <w:t>72.37</w:t>
            </w:r>
          </w:p>
        </w:tc>
        <w:tc>
          <w:tcPr>
            <w:tcW w:w="1500" w:type="dxa"/>
            <w:vAlign w:val="bottom"/>
            <w:gridSpan w:val="2"/>
          </w:tcPr>
          <w:p>
            <w:pPr>
              <w:jc w:val="right"/>
              <w:ind w:right="1"/>
              <w:spacing w:after="0" w:line="198" w:lineRule="exact"/>
              <w:rPr>
                <w:sz w:val="20"/>
                <w:szCs w:val="20"/>
                <w:color w:val="auto"/>
              </w:rPr>
            </w:pPr>
            <w:r>
              <w:rPr>
                <w:rFonts w:ascii="Times New Roman" w:cs="Times New Roman" w:eastAsia="Times New Roman" w:hAnsi="Times New Roman"/>
                <w:sz w:val="18"/>
                <w:szCs w:val="18"/>
                <w:color w:val="auto"/>
              </w:rPr>
              <w:t>10.35</w:t>
            </w:r>
          </w:p>
        </w:tc>
      </w:tr>
      <w:tr>
        <w:trPr>
          <w:trHeight w:val="216"/>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attributable to</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Vipshop's</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240"/>
          </w:cols>
          <w:pgMar w:left="320" w:top="1116"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shareholders——</w:t>
            </w:r>
          </w:p>
        </w:tc>
        <w:tc>
          <w:tcPr>
            <w:tcW w:w="1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98"/>
        </w:trPr>
        <w:tc>
          <w:tcPr>
            <w:tcW w:w="23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2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attributable to</w:t>
            </w:r>
          </w:p>
        </w:tc>
        <w:tc>
          <w:tcPr>
            <w:tcW w:w="1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Vipshop's</w:t>
            </w:r>
          </w:p>
        </w:tc>
        <w:tc>
          <w:tcPr>
            <w:tcW w:w="1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shareholders——</w:t>
            </w:r>
          </w:p>
        </w:tc>
        <w:tc>
          <w:tcPr>
            <w:tcW w:w="1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4"/>
        </w:trPr>
        <w:tc>
          <w:tcPr>
            <w:tcW w:w="2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23.46</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25.62</w:t>
            </w:r>
          </w:p>
        </w:tc>
        <w:tc>
          <w:tcPr>
            <w:tcW w:w="15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3.66</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71.76</w:t>
            </w:r>
          </w:p>
        </w:tc>
        <w:tc>
          <w:tcPr>
            <w:tcW w:w="15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70.74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198"/>
        </w:trPr>
        <w:tc>
          <w:tcPr>
            <w:tcW w:w="23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earnings per</w:t>
            </w:r>
          </w:p>
        </w:tc>
        <w:tc>
          <w:tcPr>
            <w:tcW w:w="1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2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ADS (1 ordinary</w:t>
            </w:r>
          </w:p>
        </w:tc>
        <w:tc>
          <w:tcPr>
            <w:tcW w:w="1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 equals to 5</w:t>
            </w:r>
          </w:p>
        </w:tc>
        <w:tc>
          <w:tcPr>
            <w:tcW w:w="1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ADSs)</w:t>
            </w:r>
          </w:p>
        </w:tc>
        <w:tc>
          <w:tcPr>
            <w:tcW w:w="1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98"/>
        </w:trPr>
        <w:tc>
          <w:tcPr>
            <w:tcW w:w="23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2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attributable to</w:t>
            </w:r>
          </w:p>
        </w:tc>
        <w:tc>
          <w:tcPr>
            <w:tcW w:w="1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Vipshop's</w:t>
            </w:r>
          </w:p>
        </w:tc>
        <w:tc>
          <w:tcPr>
            <w:tcW w:w="1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shareholders——</w:t>
            </w:r>
          </w:p>
        </w:tc>
        <w:tc>
          <w:tcPr>
            <w:tcW w:w="1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4"/>
        </w:trPr>
        <w:tc>
          <w:tcPr>
            <w:tcW w:w="2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4.77</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5.29</w:t>
            </w:r>
          </w:p>
        </w:tc>
        <w:tc>
          <w:tcPr>
            <w:tcW w:w="15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0.76</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14.59</w:t>
            </w:r>
          </w:p>
        </w:tc>
        <w:tc>
          <w:tcPr>
            <w:tcW w:w="15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14.47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198"/>
        </w:trPr>
        <w:tc>
          <w:tcPr>
            <w:tcW w:w="23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2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attributable to</w:t>
            </w:r>
          </w:p>
        </w:tc>
        <w:tc>
          <w:tcPr>
            <w:tcW w:w="1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Vipshop's</w:t>
            </w:r>
          </w:p>
        </w:tc>
        <w:tc>
          <w:tcPr>
            <w:tcW w:w="1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shareholders——</w:t>
            </w:r>
          </w:p>
        </w:tc>
        <w:tc>
          <w:tcPr>
            <w:tcW w:w="1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4.69</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5.12</w:t>
            </w: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0.73</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14.35</w:t>
            </w:r>
          </w:p>
        </w:tc>
        <w:tc>
          <w:tcPr>
            <w:tcW w:w="15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675"/>
        </w:trPr>
        <w:tc>
          <w:tcPr>
            <w:tcW w:w="2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line="216" w:lineRule="exact"/>
        <w:rPr>
          <w:sz w:val="20"/>
          <w:szCs w:val="20"/>
          <w:color w:val="auto"/>
        </w:rPr>
      </w:pPr>
    </w:p>
    <w:p>
      <w:pPr>
        <w:jc w:val="both"/>
        <w:ind w:firstLine="8"/>
        <w:spacing w:after="0" w:line="258" w:lineRule="auto"/>
        <w:tabs>
          <w:tab w:leader="none" w:pos="27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revenues primarily consist of product promotion and online advertising revenues, lease income mainly earned from the Shan Shan Outlets ,fees charged to third-party merchants which the Company provides platform access for sales of their products, revenue from third-party logistics services, loan facilitation service income and membership fee income.</w:t>
      </w:r>
    </w:p>
    <w:p>
      <w:pPr>
        <w:spacing w:after="0" w:line="200" w:lineRule="exact"/>
        <w:rPr>
          <w:rFonts w:ascii="Times New Roman" w:cs="Times New Roman" w:eastAsia="Times New Roman" w:hAnsi="Times New Roman"/>
          <w:sz w:val="18"/>
          <w:szCs w:val="18"/>
          <w:i w:val="1"/>
          <w:iCs w:val="1"/>
          <w:color w:val="auto"/>
        </w:rPr>
      </w:pPr>
    </w:p>
    <w:p>
      <w:pPr>
        <w:spacing w:after="0" w:line="307" w:lineRule="exact"/>
        <w:rPr>
          <w:rFonts w:ascii="Times New Roman" w:cs="Times New Roman" w:eastAsia="Times New Roman" w:hAnsi="Times New Roman"/>
          <w:sz w:val="18"/>
          <w:szCs w:val="18"/>
          <w:i w:val="1"/>
          <w:iCs w:val="1"/>
          <w:color w:val="auto"/>
        </w:rPr>
      </w:pPr>
    </w:p>
    <w:p>
      <w:pPr>
        <w:jc w:val="both"/>
        <w:ind w:firstLine="8"/>
        <w:spacing w:after="0" w:line="267" w:lineRule="auto"/>
        <w:tabs>
          <w:tab w:leader="none" w:pos="266"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Fulfillment expenses include shipping and handling expenses, which amounted RMB 1.8 billion and RMB 1.7 billion in the three month periods ended December 31,2024 and December 31,2025, respectively.</w:t>
      </w:r>
    </w:p>
    <w:p>
      <w:pPr>
        <w:spacing w:after="0" w:line="200" w:lineRule="exact"/>
        <w:rPr>
          <w:rFonts w:ascii="Times New Roman" w:cs="Times New Roman" w:eastAsia="Times New Roman" w:hAnsi="Times New Roman"/>
          <w:sz w:val="18"/>
          <w:szCs w:val="18"/>
          <w:i w:val="1"/>
          <w:iCs w:val="1"/>
          <w:color w:val="auto"/>
        </w:rPr>
      </w:pPr>
    </w:p>
    <w:p>
      <w:pPr>
        <w:spacing w:after="0" w:line="297" w:lineRule="exact"/>
        <w:rPr>
          <w:rFonts w:ascii="Times New Roman" w:cs="Times New Roman" w:eastAsia="Times New Roman" w:hAnsi="Times New Roman"/>
          <w:sz w:val="18"/>
          <w:szCs w:val="18"/>
          <w:i w:val="1"/>
          <w:iCs w:val="1"/>
          <w:color w:val="auto"/>
        </w:rPr>
      </w:pPr>
    </w:p>
    <w:p>
      <w:pPr>
        <w:jc w:val="both"/>
        <w:ind w:firstLine="8"/>
        <w:spacing w:after="0" w:line="261" w:lineRule="auto"/>
        <w:tabs>
          <w:tab w:leader="none" w:pos="267"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Authorized share capital is re-classified and re-designated into Class A ordinary shares and Class B ordinary shares, with each Class A ordinary share being entitled to one vote and each Class B ordinary share being entitled to ten votes on all matters that are subject to shareholder vote.</w:t>
      </w:r>
    </w:p>
    <w:p>
      <w:pPr>
        <w:spacing w:after="0" w:line="20" w:lineRule="exact"/>
        <w:rPr>
          <w:sz w:val="20"/>
          <w:szCs w:val="20"/>
          <w:color w:val="auto"/>
        </w:rPr>
      </w:pPr>
      <w:r>
        <w:rPr>
          <w:sz w:val="20"/>
          <w:szCs w:val="20"/>
          <w:color w:val="auto"/>
        </w:rPr>
        <w:br w:type="column"/>
      </w:r>
    </w:p>
    <w:p>
      <w:pPr>
        <w:jc w:val="both"/>
        <w:ind w:left="6" w:hanging="6"/>
        <w:spacing w:after="0" w:line="256" w:lineRule="auto"/>
        <w:tabs>
          <w:tab w:leader="none" w:pos="27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revenues primarily consist of product promotion and online advertising revenues, lease income mainly earned from the Shan Shan Outlets ,fees charged to third-party merchants which the Company provides platform access for sales of their products, revenue from third-party logistics services, loan facilitation service income and membership fee income.</w:t>
      </w:r>
    </w:p>
    <w:p>
      <w:pPr>
        <w:spacing w:after="0" w:line="182" w:lineRule="exact"/>
        <w:rPr>
          <w:rFonts w:ascii="Times New Roman" w:cs="Times New Roman" w:eastAsia="Times New Roman" w:hAnsi="Times New Roman"/>
          <w:sz w:val="18"/>
          <w:szCs w:val="18"/>
          <w:i w:val="1"/>
          <w:iCs w:val="1"/>
          <w:color w:val="auto"/>
        </w:rPr>
      </w:pPr>
    </w:p>
    <w:p>
      <w:pPr>
        <w:jc w:val="both"/>
        <w:ind w:left="6" w:hanging="6"/>
        <w:spacing w:after="0" w:line="262" w:lineRule="auto"/>
        <w:tabs>
          <w:tab w:leader="none" w:pos="308"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Fulfillment expenses include shipping and handling expenses, which amounted RMB 5.9 billion and RMB 5.8</w:t>
      </w:r>
    </w:p>
    <w:p>
      <w:pPr>
        <w:ind w:left="6"/>
        <w:spacing w:after="0" w:line="260" w:lineRule="auto"/>
        <w:rPr>
          <w:sz w:val="20"/>
          <w:szCs w:val="20"/>
          <w:color w:val="auto"/>
        </w:rPr>
      </w:pPr>
      <w:r>
        <w:rPr>
          <w:rFonts w:ascii="Times New Roman" w:cs="Times New Roman" w:eastAsia="Times New Roman" w:hAnsi="Times New Roman"/>
          <w:sz w:val="18"/>
          <w:szCs w:val="18"/>
          <w:i w:val="1"/>
          <w:iCs w:val="1"/>
          <w:color w:val="auto"/>
        </w:rPr>
        <w:t>billion in the twelve month periods ended December 31,2024 and December 31,2025, respectively.</w:t>
      </w:r>
    </w:p>
    <w:p>
      <w:pPr>
        <w:spacing w:after="0" w:line="179" w:lineRule="exact"/>
        <w:rPr>
          <w:sz w:val="20"/>
          <w:szCs w:val="20"/>
          <w:color w:val="auto"/>
        </w:rPr>
      </w:pPr>
    </w:p>
    <w:p>
      <w:pPr>
        <w:jc w:val="both"/>
        <w:ind w:left="6" w:hanging="6"/>
        <w:spacing w:after="0" w:line="257" w:lineRule="auto"/>
        <w:tabs>
          <w:tab w:leader="none" w:pos="34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Authorized share capital is re-classified and re-designated into Class A ordinary shares and Class B ordinary shares, with each Class A ordinary share being entitled to one vote and each Class B ordinary share being entitled to ten votes on all matters that are subject to shareholder vote.</w:t>
      </w:r>
    </w:p>
    <w:p>
      <w:pPr>
        <w:spacing w:after="0" w:line="200" w:lineRule="exact"/>
        <w:rPr>
          <w:sz w:val="20"/>
          <w:szCs w:val="20"/>
          <w:color w:val="auto"/>
        </w:rPr>
      </w:pPr>
    </w:p>
    <w:p>
      <w:pPr>
        <w:sectPr>
          <w:pgSz w:w="11900" w:h="16838" w:orient="portrait"/>
          <w:cols w:equalWidth="0" w:num="2">
            <w:col w:w="6760" w:space="214"/>
            <w:col w:w="4266"/>
          </w:cols>
          <w:pgMar w:left="320" w:top="929" w:right="339" w:bottom="1440" w:gutter="0" w:footer="0" w:header="0"/>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gridSpan w:val="7"/>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23"/>
        </w:trPr>
        <w:tc>
          <w:tcPr>
            <w:tcW w:w="2000" w:type="dxa"/>
            <w:vAlign w:val="bottom"/>
          </w:tcPr>
          <w:p>
            <w:pPr>
              <w:spacing w:after="0"/>
              <w:rPr>
                <w:sz w:val="19"/>
                <w:szCs w:val="19"/>
                <w:color w:val="auto"/>
              </w:rPr>
            </w:pPr>
          </w:p>
        </w:tc>
        <w:tc>
          <w:tcPr>
            <w:tcW w:w="1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December 31,2024</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31,2025</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December 31,2025</w:t>
            </w:r>
          </w:p>
        </w:tc>
        <w:tc>
          <w:tcPr>
            <w:tcW w:w="120" w:type="dxa"/>
            <w:vAlign w:val="bottom"/>
          </w:tcPr>
          <w:p>
            <w:pPr>
              <w:spacing w:after="0"/>
              <w:rPr>
                <w:sz w:val="19"/>
                <w:szCs w:val="19"/>
                <w:color w:val="auto"/>
              </w:rPr>
            </w:pPr>
          </w:p>
        </w:tc>
        <w:tc>
          <w:tcPr>
            <w:tcW w:w="15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31,2024</w:t>
            </w:r>
          </w:p>
        </w:tc>
        <w:tc>
          <w:tcPr>
            <w:tcW w:w="15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31,2025</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December 31,2025</w:t>
            </w:r>
          </w:p>
        </w:tc>
        <w:tc>
          <w:tcPr>
            <w:tcW w:w="60" w:type="dxa"/>
            <w:vAlign w:val="bottom"/>
            <w:gridSpan w:val="2"/>
          </w:tcPr>
          <w:p>
            <w:pPr>
              <w:spacing w:after="0"/>
              <w:rPr>
                <w:sz w:val="19"/>
                <w:szCs w:val="19"/>
                <w:color w:val="auto"/>
              </w:rPr>
            </w:pPr>
          </w:p>
        </w:tc>
      </w:tr>
      <w:tr>
        <w:trPr>
          <w:trHeight w:val="210"/>
        </w:trPr>
        <w:tc>
          <w:tcPr>
            <w:tcW w:w="2000" w:type="dxa"/>
            <w:vAlign w:val="bottom"/>
          </w:tcPr>
          <w:p>
            <w:pPr>
              <w:spacing w:after="0"/>
              <w:rPr>
                <w:sz w:val="18"/>
                <w:szCs w:val="18"/>
                <w:color w:val="auto"/>
              </w:rPr>
            </w:pPr>
          </w:p>
        </w:tc>
        <w:tc>
          <w:tcPr>
            <w:tcW w:w="14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140" w:type="dxa"/>
            <w:vAlign w:val="bottom"/>
          </w:tcPr>
          <w:p>
            <w:pPr>
              <w:spacing w:after="0"/>
              <w:rPr>
                <w:sz w:val="18"/>
                <w:szCs w:val="18"/>
                <w:color w:val="auto"/>
              </w:rPr>
            </w:pPr>
          </w:p>
        </w:tc>
        <w:tc>
          <w:tcPr>
            <w:tcW w:w="14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USD'000</w:t>
            </w:r>
          </w:p>
        </w:tc>
        <w:tc>
          <w:tcPr>
            <w:tcW w:w="120" w:type="dxa"/>
            <w:vAlign w:val="bottom"/>
          </w:tcPr>
          <w:p>
            <w:pPr>
              <w:spacing w:after="0"/>
              <w:rPr>
                <w:sz w:val="18"/>
                <w:szCs w:val="18"/>
                <w:color w:val="auto"/>
              </w:rPr>
            </w:pPr>
          </w:p>
        </w:tc>
        <w:tc>
          <w:tcPr>
            <w:tcW w:w="14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140" w:type="dxa"/>
            <w:vAlign w:val="bottom"/>
          </w:tcPr>
          <w:p>
            <w:pPr>
              <w:spacing w:after="0"/>
              <w:rPr>
                <w:sz w:val="18"/>
                <w:szCs w:val="18"/>
                <w:color w:val="auto"/>
              </w:rPr>
            </w:pPr>
          </w:p>
        </w:tc>
        <w:tc>
          <w:tcPr>
            <w:tcW w:w="14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140" w:type="dxa"/>
            <w:vAlign w:val="bottom"/>
          </w:tcPr>
          <w:p>
            <w:pPr>
              <w:spacing w:after="0"/>
              <w:rPr>
                <w:sz w:val="18"/>
                <w:szCs w:val="18"/>
                <w:color w:val="auto"/>
              </w:rPr>
            </w:pPr>
          </w:p>
        </w:tc>
        <w:tc>
          <w:tcPr>
            <w:tcW w:w="14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USD'000</w:t>
            </w:r>
          </w:p>
        </w:tc>
        <w:tc>
          <w:tcPr>
            <w:tcW w:w="60" w:type="dxa"/>
            <w:vAlign w:val="bottom"/>
            <w:gridSpan w:val="2"/>
          </w:tcPr>
          <w:p>
            <w:pPr>
              <w:spacing w:after="0"/>
              <w:rPr>
                <w:sz w:val="18"/>
                <w:szCs w:val="18"/>
                <w:color w:val="auto"/>
              </w:rPr>
            </w:pPr>
          </w:p>
        </w:tc>
      </w:tr>
      <w:tr>
        <w:trPr>
          <w:trHeight w:val="198"/>
        </w:trPr>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expenses</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are included in the</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 as</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follows:</w:t>
            </w:r>
          </w:p>
        </w:tc>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Fulfillment expenses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22,747</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15,862</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2,268</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84,079</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68,092</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9,737</w:t>
            </w:r>
          </w:p>
        </w:tc>
        <w:tc>
          <w:tcPr>
            <w:tcW w:w="40" w:type="dxa"/>
            <w:vAlign w:val="bottom"/>
          </w:tcPr>
          <w:p>
            <w:pPr>
              <w:spacing w:after="0"/>
              <w:rPr>
                <w:sz w:val="18"/>
                <w:szCs w:val="18"/>
                <w:color w:val="auto"/>
              </w:rPr>
            </w:pPr>
          </w:p>
        </w:tc>
      </w:tr>
      <w:tr>
        <w:trPr>
          <w:trHeight w:val="216"/>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Marketing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1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12,332</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1,763</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31,215</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52,074</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7,446</w:t>
            </w:r>
          </w:p>
        </w:tc>
        <w:tc>
          <w:tcPr>
            <w:tcW w:w="40" w:type="dxa"/>
            <w:vAlign w:val="bottom"/>
            <w:shd w:val="clear" w:color="auto" w:fill="CCEEFF"/>
          </w:tcPr>
          <w:p>
            <w:pPr>
              <w:spacing w:after="0"/>
              <w:rPr>
                <w:sz w:val="18"/>
                <w:szCs w:val="18"/>
                <w:color w:val="auto"/>
              </w:rPr>
            </w:pPr>
          </w:p>
        </w:tc>
      </w:tr>
      <w:tr>
        <w:trPr>
          <w:trHeight w:val="198"/>
        </w:trPr>
        <w:tc>
          <w:tcPr>
            <w:tcW w:w="2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Technology and</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content expenses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97,919</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73,189</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10,466</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382,308</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309,364</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44,238</w:t>
            </w:r>
          </w:p>
        </w:tc>
        <w:tc>
          <w:tcPr>
            <w:tcW w:w="40" w:type="dxa"/>
            <w:vAlign w:val="bottom"/>
          </w:tcPr>
          <w:p>
            <w:pPr>
              <w:spacing w:after="0"/>
              <w:rPr>
                <w:sz w:val="20"/>
                <w:szCs w:val="20"/>
                <w:color w:val="auto"/>
              </w:rPr>
            </w:pPr>
          </w:p>
        </w:tc>
      </w:tr>
      <w:tr>
        <w:trPr>
          <w:trHeight w:val="198"/>
        </w:trPr>
        <w:tc>
          <w:tcPr>
            <w:tcW w:w="2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administrative</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48"/>
        </w:trPr>
        <w:tc>
          <w:tcPr>
            <w:tcW w:w="2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410,126</w:t>
            </w:r>
          </w:p>
        </w:tc>
        <w:tc>
          <w:tcPr>
            <w:tcW w:w="1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234,871</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33,586</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1,040,138</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1,301,533</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186,117</w:t>
            </w:r>
          </w:p>
        </w:tc>
        <w:tc>
          <w:tcPr>
            <w:tcW w:w="40" w:type="dxa"/>
            <w:vAlign w:val="bottom"/>
            <w:shd w:val="clear" w:color="auto" w:fill="CCEEFF"/>
          </w:tcPr>
          <w:p>
            <w:pPr>
              <w:spacing w:after="0"/>
              <w:rPr>
                <w:sz w:val="21"/>
                <w:szCs w:val="21"/>
                <w:color w:val="auto"/>
              </w:rPr>
            </w:pPr>
          </w:p>
        </w:tc>
      </w:tr>
      <w:tr>
        <w:trPr>
          <w:trHeight w:val="223"/>
        </w:trPr>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336,254</w:t>
            </w:r>
          </w:p>
        </w:tc>
        <w:tc>
          <w:tcPr>
            <w:tcW w:w="1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48,083</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1,537,740</w:t>
            </w:r>
          </w:p>
        </w:tc>
        <w:tc>
          <w:tcPr>
            <w:tcW w:w="1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1,731,063</w:t>
            </w:r>
          </w:p>
        </w:tc>
        <w:tc>
          <w:tcPr>
            <w:tcW w:w="1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247,538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629"/>
        </w:trPr>
        <w:tc>
          <w:tcPr>
            <w:tcW w:w="2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929"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31,2024</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31,2025</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31,2025</w:t>
            </w:r>
          </w:p>
        </w:tc>
      </w:tr>
      <w:tr>
        <w:trPr>
          <w:trHeight w:val="209"/>
        </w:trPr>
        <w:tc>
          <w:tcPr>
            <w:tcW w:w="6480" w:type="dxa"/>
            <w:vAlign w:val="bottom"/>
          </w:tcPr>
          <w:p>
            <w:pPr>
              <w:spacing w:after="0"/>
              <w:rPr>
                <w:sz w:val="18"/>
                <w:szCs w:val="18"/>
                <w:color w:val="auto"/>
              </w:rPr>
            </w:pPr>
          </w:p>
        </w:tc>
        <w:tc>
          <w:tcPr>
            <w:tcW w:w="14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200" w:type="dxa"/>
            <w:vAlign w:val="bottom"/>
          </w:tcPr>
          <w:p>
            <w:pPr>
              <w:spacing w:after="0"/>
              <w:rPr>
                <w:sz w:val="18"/>
                <w:szCs w:val="18"/>
                <w:color w:val="auto"/>
              </w:rPr>
            </w:pPr>
          </w:p>
        </w:tc>
        <w:tc>
          <w:tcPr>
            <w:tcW w:w="14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200" w:type="dxa"/>
            <w:vAlign w:val="bottom"/>
          </w:tcPr>
          <w:p>
            <w:pPr>
              <w:spacing w:after="0"/>
              <w:rPr>
                <w:sz w:val="18"/>
                <w:szCs w:val="18"/>
                <w:color w:val="auto"/>
              </w:rPr>
            </w:pPr>
          </w:p>
        </w:tc>
        <w:tc>
          <w:tcPr>
            <w:tcW w:w="1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USD'000</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26,352,161</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22,990,435</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3,287,588</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602,342</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1,132,729</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161,978</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1,872,756</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5,777,222</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826,132</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915,158</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889,220</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127,157</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parties,net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548,145</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762,781</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109,076</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and prepayments,net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2,473,050</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2,860,301</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409,018</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receivables,net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6,878</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9,166</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w:t>
            </w: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5,032,069</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5,153,413</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736,928</w:t>
            </w: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37,802,559</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39,575,267</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5,659,188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18,292,771</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18,311,533</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2,618,514</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property and equipment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164,955</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6,420</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10,686,400</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10,426,682</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1,490,996</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327,844</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324,067</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46,341</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equity method investees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2,002,043</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3,136,784</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448,554</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3,355,489</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4,800,356</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686,442</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434,206</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351,085</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50,204</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755,213</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755,213</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107,994</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681,029</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757,113</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108,266</w:t>
            </w: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433,617</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398,798</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57,027</w:t>
            </w: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37,133,567</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39,268,051</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5,615,256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74,936,126</w:t>
            </w:r>
          </w:p>
        </w:tc>
        <w:tc>
          <w:tcPr>
            <w:tcW w:w="2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78,843,318</w:t>
            </w:r>
          </w:p>
        </w:tc>
        <w:tc>
          <w:tcPr>
            <w:tcW w:w="2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11,274,444</w:t>
            </w:r>
          </w:p>
        </w:tc>
        <w:tc>
          <w:tcPr>
            <w:tcW w:w="100" w:type="dxa"/>
            <w:vAlign w:val="bottom"/>
            <w:tcBorders>
              <w:bottom w:val="single" w:sz="8" w:color="CCEEFF"/>
            </w:tcBorders>
          </w:tcPr>
          <w:p>
            <w:pPr>
              <w:spacing w:after="0"/>
              <w:rPr>
                <w:sz w:val="22"/>
                <w:szCs w:val="22"/>
                <w:color w:val="auto"/>
              </w:rPr>
            </w:pPr>
          </w:p>
        </w:tc>
      </w:tr>
      <w:tr>
        <w:trPr>
          <w:trHeight w:val="197"/>
        </w:trPr>
        <w:tc>
          <w:tcPr>
            <w:tcW w:w="6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loans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2,399,629</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5,844,620</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835,770</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15,190,560</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12,536,639</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1,792,716</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from customers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2,035,184</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1,890,586</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270,350</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9,663,421</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9,941,146</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1,421,565</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104,187</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101,782</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14,555</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476,796</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520,853</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74,481</w:t>
            </w:r>
          </w:p>
        </w:tc>
      </w:tr>
      <w:tr>
        <w:trPr>
          <w:trHeight w:val="23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57,224</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47,458</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6,786</w:t>
            </w:r>
          </w:p>
        </w:tc>
      </w:tr>
      <w:tr>
        <w:trPr>
          <w:trHeight w:val="21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29,927,001</w:t>
            </w:r>
          </w:p>
        </w:tc>
        <w:tc>
          <w:tcPr>
            <w:tcW w:w="20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30,883,084</w:t>
            </w:r>
          </w:p>
        </w:tc>
        <w:tc>
          <w:tcPr>
            <w:tcW w:w="20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4,416,223</w:t>
            </w:r>
          </w:p>
        </w:tc>
        <w:tc>
          <w:tcPr>
            <w:tcW w:w="100" w:type="dxa"/>
            <w:vAlign w:val="bottom"/>
            <w:tcBorders>
              <w:bottom w:val="single" w:sz="8" w:color="CCEEFF"/>
            </w:tcBorders>
          </w:tcPr>
          <w:p>
            <w:pPr>
              <w:spacing w:after="0"/>
              <w:rPr>
                <w:sz w:val="18"/>
                <w:szCs w:val="18"/>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783,863</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707,322</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101,146</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income-non current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2,084,038</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2,252,797</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322,146</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591,995</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556,951</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79,643</w:t>
            </w: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3,459,896</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3,517,070</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33,386,897</w:t>
            </w:r>
          </w:p>
        </w:tc>
        <w:tc>
          <w:tcPr>
            <w:tcW w:w="2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34,400,154</w:t>
            </w:r>
          </w:p>
        </w:tc>
        <w:tc>
          <w:tcPr>
            <w:tcW w:w="2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4,919,158</w:t>
            </w:r>
          </w:p>
        </w:tc>
        <w:tc>
          <w:tcPr>
            <w:tcW w:w="100" w:type="dxa"/>
            <w:vAlign w:val="bottom"/>
            <w:tcBorders>
              <w:bottom w:val="single" w:sz="8" w:color="CCEEFF"/>
            </w:tcBorders>
          </w:tcPr>
          <w:p>
            <w:pPr>
              <w:spacing w:after="0"/>
              <w:rPr>
                <w:sz w:val="22"/>
                <w:szCs w:val="22"/>
                <w:color w:val="auto"/>
              </w:rPr>
            </w:pPr>
          </w:p>
        </w:tc>
      </w:tr>
      <w:tr>
        <w:trPr>
          <w:trHeight w:val="197"/>
        </w:trPr>
        <w:tc>
          <w:tcPr>
            <w:tcW w:w="6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w:t>
            </w: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shareholders' equity (US$0.0001 par value, 500 million shares authorized, 110</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million shares issued, and 95.8 million shares outstanding as of December 31, 2025)</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39,968,813</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41,004,749</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5,863,599</w:t>
            </w:r>
          </w:p>
        </w:tc>
      </w:tr>
      <w:tr>
        <w:trPr>
          <w:trHeight w:val="23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1,580,416</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3,438,415</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491,687</w:t>
            </w:r>
          </w:p>
        </w:tc>
      </w:tr>
      <w:tr>
        <w:trPr>
          <w:trHeight w:val="209"/>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41,549,229</w:t>
            </w:r>
          </w:p>
        </w:tc>
        <w:tc>
          <w:tcPr>
            <w:tcW w:w="20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44,443,164</w:t>
            </w:r>
          </w:p>
        </w:tc>
        <w:tc>
          <w:tcPr>
            <w:tcW w:w="20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6,355,286</w:t>
            </w:r>
          </w:p>
        </w:tc>
        <w:tc>
          <w:tcPr>
            <w:tcW w:w="100" w:type="dxa"/>
            <w:vAlign w:val="bottom"/>
            <w:tcBorders>
              <w:bottom w:val="single" w:sz="8" w:color="CCEEFF"/>
            </w:tcBorders>
          </w:tcPr>
          <w:p>
            <w:pPr>
              <w:spacing w:after="0"/>
              <w:rPr>
                <w:sz w:val="18"/>
                <w:szCs w:val="18"/>
                <w:color w:val="auto"/>
              </w:rPr>
            </w:pPr>
          </w:p>
        </w:tc>
      </w:tr>
      <w:tr>
        <w:trPr>
          <w:trHeight w:val="223"/>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74,936,126</w:t>
            </w:r>
          </w:p>
        </w:tc>
        <w:tc>
          <w:tcPr>
            <w:tcW w:w="2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78,843,318</w:t>
            </w:r>
          </w:p>
        </w:tc>
        <w:tc>
          <w:tcPr>
            <w:tcW w:w="2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11,274,444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ind w:firstLine="8"/>
        <w:spacing w:after="0" w:line="284" w:lineRule="auto"/>
        <w:tabs>
          <w:tab w:leader="none" w:pos="28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number of treasury stock as of December 31, 2025 was 14.3 million, all of which are Class A ordinary shares repurchased under the share repurchase program.</w:t>
      </w: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8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December 31,2024</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31,2025</w:t>
            </w:r>
          </w:p>
        </w:tc>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December 31,2025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December 31,2024</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December 31,2025</w:t>
            </w:r>
          </w:p>
        </w:tc>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December 31,2025</w:t>
            </w:r>
          </w:p>
        </w:tc>
        <w:tc>
          <w:tcPr>
            <w:tcW w:w="100" w:type="dxa"/>
            <w:vAlign w:val="bottom"/>
          </w:tcPr>
          <w:p>
            <w:pPr>
              <w:spacing w:after="0"/>
              <w:rPr>
                <w:sz w:val="19"/>
                <w:szCs w:val="19"/>
                <w:color w:val="auto"/>
              </w:rPr>
            </w:pPr>
          </w:p>
        </w:tc>
      </w:tr>
      <w:tr>
        <w:trPr>
          <w:trHeight w:val="209"/>
        </w:trPr>
        <w:tc>
          <w:tcPr>
            <w:tcW w:w="1840" w:type="dxa"/>
            <w:vAlign w:val="bottom"/>
          </w:tcPr>
          <w:p>
            <w:pPr>
              <w:spacing w:after="0"/>
              <w:rPr>
                <w:sz w:val="18"/>
                <w:szCs w:val="18"/>
                <w:color w:val="auto"/>
              </w:rPr>
            </w:pPr>
          </w:p>
        </w:tc>
        <w:tc>
          <w:tcPr>
            <w:tcW w:w="14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180" w:type="dxa"/>
            <w:vAlign w:val="bottom"/>
          </w:tcPr>
          <w:p>
            <w:pPr>
              <w:spacing w:after="0"/>
              <w:rPr>
                <w:sz w:val="18"/>
                <w:szCs w:val="18"/>
                <w:color w:val="auto"/>
              </w:rPr>
            </w:pPr>
          </w:p>
        </w:tc>
        <w:tc>
          <w:tcPr>
            <w:tcW w:w="14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USD'000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180" w:type="dxa"/>
            <w:vAlign w:val="bottom"/>
          </w:tcPr>
          <w:p>
            <w:pPr>
              <w:spacing w:after="0"/>
              <w:rPr>
                <w:sz w:val="18"/>
                <w:szCs w:val="18"/>
                <w:color w:val="auto"/>
              </w:rPr>
            </w:pPr>
          </w:p>
        </w:tc>
        <w:tc>
          <w:tcPr>
            <w:tcW w:w="14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180" w:type="dxa"/>
            <w:vAlign w:val="bottom"/>
          </w:tcPr>
          <w:p>
            <w:pPr>
              <w:spacing w:after="0"/>
              <w:rPr>
                <w:sz w:val="18"/>
                <w:szCs w:val="18"/>
                <w:color w:val="auto"/>
              </w:rPr>
            </w:pPr>
          </w:p>
        </w:tc>
        <w:tc>
          <w:tcPr>
            <w:tcW w:w="14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USD'000</w:t>
            </w:r>
          </w:p>
        </w:tc>
        <w:tc>
          <w:tcPr>
            <w:tcW w:w="10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2,851,228</w:t>
            </w: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2,898,846</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414,531</w:t>
            </w:r>
          </w:p>
        </w:tc>
        <w:tc>
          <w:tcPr>
            <w:tcW w:w="16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9,173,253</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8,135,946</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1,163,426</w:t>
            </w: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539,087</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336,254</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48,083</w:t>
            </w:r>
          </w:p>
        </w:tc>
        <w:tc>
          <w:tcPr>
            <w:tcW w:w="16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1,537,740</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1,731,063</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247,538</w:t>
            </w:r>
          </w:p>
        </w:tc>
      </w:tr>
      <w:tr>
        <w:trPr>
          <w:trHeight w:val="178"/>
        </w:trPr>
        <w:tc>
          <w:tcPr>
            <w:tcW w:w="18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Non-GAAP income</w:t>
            </w:r>
          </w:p>
        </w:tc>
        <w:tc>
          <w:tcPr>
            <w:tcW w:w="14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operations</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3,390,315</w:t>
            </w: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3,235,100</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462,614</w:t>
            </w:r>
          </w:p>
        </w:tc>
        <w:tc>
          <w:tcPr>
            <w:tcW w:w="16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10,710,993</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9,867,009</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1,410,964</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w:t>
            </w: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Vipshop's</w:t>
            </w: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2,446,679</w:t>
            </w: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2,589,219</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370,255</w:t>
            </w:r>
          </w:p>
        </w:tc>
        <w:tc>
          <w:tcPr>
            <w:tcW w:w="16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7,739,935</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7,242,490</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1,035,664</w:t>
            </w: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539,087</w:t>
            </w: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336,254</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48,083</w:t>
            </w:r>
          </w:p>
        </w:tc>
        <w:tc>
          <w:tcPr>
            <w:tcW w:w="16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1,537,740</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1,731,063</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247,538</w:t>
            </w: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loss of</w:t>
            </w: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61,246</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15,450</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2,209</w:t>
            </w: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Investment gain and</w:t>
            </w: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revaluation of</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dividends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(72,130)</w:t>
            </w: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(23,155)</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(3,311)</w:t>
            </w:r>
          </w:p>
        </w:tc>
        <w:tc>
          <w:tcPr>
            <w:tcW w:w="16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(147,651)</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(143,865)</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(20,572)</w:t>
            </w: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Reconciling items on</w:t>
            </w: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share of equity</w:t>
            </w: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method</w:t>
            </w: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investments(5)</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101,478</w:t>
            </w:r>
          </w:p>
        </w:tc>
        <w:tc>
          <w:tcPr>
            <w:tcW w:w="1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(5,423)</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(775)</w:t>
            </w:r>
          </w:p>
        </w:tc>
        <w:tc>
          <w:tcPr>
            <w:tcW w:w="16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31,753</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89,639</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12,818</w:t>
            </w: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 effects on non-</w:t>
            </w: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GAAP adjustments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(44,446)</w:t>
            </w: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(38,864)</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(5,557)</w:t>
            </w:r>
          </w:p>
        </w:tc>
        <w:tc>
          <w:tcPr>
            <w:tcW w:w="16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(190,476)</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(189,651)</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(27,120)</w:t>
            </w:r>
          </w:p>
        </w:tc>
      </w:tr>
      <w:tr>
        <w:trPr>
          <w:trHeight w:val="178"/>
        </w:trPr>
        <w:tc>
          <w:tcPr>
            <w:tcW w:w="18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Non-GAAP net income</w:t>
            </w:r>
          </w:p>
        </w:tc>
        <w:tc>
          <w:tcPr>
            <w:tcW w:w="14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Vipshop's</w:t>
            </w: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1"/>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2,973,668</w:t>
            </w: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2,858,031</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408,695</w:t>
            </w:r>
          </w:p>
        </w:tc>
        <w:tc>
          <w:tcPr>
            <w:tcW w:w="16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9,032,547</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8,745,126</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1,250,537</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20" w:firstLine="8"/>
        <w:spacing w:after="0" w:line="282" w:lineRule="auto"/>
        <w:tabs>
          <w:tab w:leader="none" w:pos="28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GAAP to non-GAAP reconciling items relating to investment gain and revaluation of investments on the share of equity method investments.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w:t>
            </w: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calculating earnings</w:t>
            </w: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4"/>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15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number of Class A</w:t>
            </w: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Class B ordinary</w:t>
            </w: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5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102,688,899</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97,833,086</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97,833,086</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106,074,914</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100,072,178</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100,072,178</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104,300,280</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101,068,594</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101,068,594</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107,855,806</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102,383,890</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102,383,890</w:t>
            </w:r>
          </w:p>
        </w:tc>
      </w:tr>
      <w:tr>
        <w:trPr>
          <w:trHeight w:val="198"/>
        </w:trPr>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net income</w:t>
            </w:r>
          </w:p>
        </w:tc>
        <w:tc>
          <w:tcPr>
            <w:tcW w:w="15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6"/>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Class A and</w:t>
            </w: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ordinary</w:t>
            </w: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4"/>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15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Non-GAAP net income</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Vipshop's</w:t>
            </w: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28.96</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29.21</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4.18</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85.15</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87.39</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r>
      <w:tr>
        <w:trPr>
          <w:trHeight w:val="198"/>
        </w:trPr>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net income</w:t>
            </w:r>
          </w:p>
        </w:tc>
        <w:tc>
          <w:tcPr>
            <w:tcW w:w="15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6"/>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Vipshop's</w:t>
            </w: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4"/>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28.51</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28.28</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4.04</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83.75</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85.42</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12.21</w:t>
            </w:r>
          </w:p>
        </w:tc>
      </w:tr>
      <w:tr>
        <w:trPr>
          <w:trHeight w:val="216"/>
        </w:trPr>
        <w:tc>
          <w:tcPr>
            <w:tcW w:w="2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98"/>
        </w:trPr>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net income</w:t>
            </w:r>
          </w:p>
        </w:tc>
        <w:tc>
          <w:tcPr>
            <w:tcW w:w="15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6"/>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ADS (1 ordinary</w:t>
            </w: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equal to 5</w:t>
            </w: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4"/>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ADSs)</w:t>
            </w:r>
          </w:p>
        </w:tc>
        <w:tc>
          <w:tcPr>
            <w:tcW w:w="15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Non-GAAP net income</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Vipshop's</w:t>
            </w: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5.79</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5.84</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0.84</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17.03</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17.48</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bl>
    <w:p>
      <w:pPr>
        <w:sectPr>
          <w:pgSz w:w="11900" w:h="16918" w:orient="portrait"/>
          <w:cols w:equalWidth="0" w:num="1">
            <w:col w:w="11240"/>
          </w:cols>
          <w:pgMar w:left="320" w:top="900" w:right="3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Vipshop's</w:t>
            </w: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5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5.70</w:t>
            </w:r>
          </w:p>
        </w:tc>
        <w:tc>
          <w:tcPr>
            <w:tcW w:w="15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5.66</w:t>
            </w: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0.81</w:t>
            </w: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16.75</w:t>
            </w:r>
          </w:p>
        </w:tc>
        <w:tc>
          <w:tcPr>
            <w:tcW w:w="16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17.08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685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bullet"/>
      <w:start w:val="1"/>
    </w:lvl>
  </w:abstractNum>
  <w:abstractNum w:abstractNumId="2">
    <w:nsid w:val="66EF438D"/>
    <w:multiLevelType w:val="hybridMultilevel"/>
    <w:lvl w:ilvl="0">
      <w:lvlJc w:val="left"/>
      <w:lvlText w:val="2"/>
      <w:numFmt w:val="bullet"/>
      <w:start w:val="1"/>
    </w:lvl>
  </w:abstractNum>
  <w:abstractNum w:abstractNumId="3">
    <w:nsid w:val="140E0F76"/>
    <w:multiLevelType w:val="hybridMultilevel"/>
    <w:lvl w:ilvl="0">
      <w:lvlJc w:val="left"/>
      <w:lvlText w:val="3"/>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4"/>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Roman"/>
      <w:start w:val="2"/>
    </w:lvl>
  </w:abstractNum>
  <w:abstractNum w:abstractNumId="9">
    <w:nsid w:val="41A7C4C9"/>
    <w:multiLevelType w:val="hybridMultilevel"/>
    <w:lvl w:ilvl="0">
      <w:lvlJc w:val="left"/>
      <w:lvlText w:val="5"/>
      <w:numFmt w:val="bullet"/>
      <w:start w:val="1"/>
    </w:lvl>
  </w:abstractNum>
  <w:abstractNum w:abstractNumId="10">
    <w:nsid w:val="6B68079A"/>
    <w:multiLevelType w:val="hybridMultilevel"/>
    <w:lvl w:ilvl="0">
      <w:lvlJc w:val="left"/>
      <w:lvlText w:val="6"/>
      <w:numFmt w:val="bullet"/>
      <w:start w:val="1"/>
    </w:lvl>
  </w:abstractNum>
  <w:abstractNum w:abstractNumId="11">
    <w:nsid w:val="4E6AFB66"/>
    <w:multiLevelType w:val="hybridMultilevel"/>
    <w:lvl w:ilvl="0">
      <w:lvlJc w:val="left"/>
      <w:lvlText w:val="8"/>
      <w:numFmt w:val="bullet"/>
      <w:start w:val="1"/>
    </w:lvl>
  </w:abstractNum>
  <w:abstractNum w:abstractNumId="12">
    <w:nsid w:val="25E45D32"/>
    <w:multiLevelType w:val="hybridMultilevel"/>
    <w:lvl w:ilvl="0">
      <w:lvlJc w:val="left"/>
      <w:lvlText w:val="9"/>
      <w:numFmt w:val="bullet"/>
      <w:start w:val="1"/>
    </w:lvl>
  </w:abstractNum>
  <w:abstractNum w:abstractNumId="13">
    <w:nsid w:val="519B500D"/>
    <w:multiLevelType w:val="hybridMultilevel"/>
    <w:lvl w:ilvl="0">
      <w:lvlJc w:val="left"/>
      <w:lvlText w:val="%1"/>
      <w:numFmt w:val="decimal"/>
      <w:start w:val="10"/>
    </w:lvl>
  </w:abstractNum>
  <w:abstractNum w:abstractNumId="14">
    <w:nsid w:val="431BD7B7"/>
    <w:multiLevelType w:val="hybridMultilevel"/>
    <w:lvl w:ilvl="0">
      <w:lvlJc w:val="left"/>
      <w:lvlText w:val="(%1)"/>
      <w:numFmt w:val="lowerRoman"/>
      <w:start w:val="2"/>
    </w:lvl>
  </w:abstractNum>
  <w:abstractNum w:abstractNumId="15">
    <w:nsid w:val="3F2DBA31"/>
    <w:multiLevelType w:val="hybridMultilevel"/>
    <w:lvl w:ilvl="0">
      <w:lvlJc w:val="left"/>
      <w:lvlText w:val="(%1)"/>
      <w:numFmt w:val="lowerRoman"/>
      <w:start w:val="3"/>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3"/>
    </w:lvl>
  </w:abstractNum>
  <w:abstractNum w:abstractNumId="19">
    <w:nsid w:val="436C6125"/>
    <w:multiLevelType w:val="hybridMultilevel"/>
    <w:lvl w:ilvl="0">
      <w:lvlJc w:val="left"/>
      <w:lvlText w:val="(%1)"/>
      <w:numFmt w:val="decimal"/>
      <w:start w:val="4"/>
    </w:lvl>
  </w:abstractNum>
  <w:abstractNum w:abstractNumId="20">
    <w:nsid w:val="628C895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2026-02-26T05:22:23Z</dcterms:created>
  <dcterms:modified xsi:type="dcterms:W3CDTF">2026-02-26T05:22:23Z</dcterms:modified>
</cp:coreProperties>
</file>