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Vipshop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Ordinary Shares, par value $0.0001 per share</w:t>
      </w:r>
      <w:r>
        <w:rPr>
          <w:rFonts w:ascii="Arial" w:cs="Arial" w:eastAsia="Arial" w:hAnsi="Arial"/>
          <w:sz w:val="30"/>
          <w:szCs w:val="30"/>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92763W103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78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jc w:val="both"/>
        <w:spacing w:after="0" w:line="261"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 xml:space="preserve"> The Reporting Persons hold American Depositary Shares ("ADS").  Each ADS represents 0.2 Class A ordinary share,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92763W103</w:t>
            </w:r>
          </w:p>
        </w:tc>
      </w:tr>
    </w:tbl>
    <w:p>
      <w:pPr>
        <w:spacing w:after="0" w:line="229"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Tiger Global Investments, L.P.</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7980" w:hanging="912"/>
        <w:spacing w:after="0" w:line="501"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00" w:hanging="912"/>
        <w:spacing w:after="0" w:line="501"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 614,938.6</w:t>
      </w:r>
    </w:p>
    <w:p>
      <w:pPr>
        <w:ind w:left="920" w:right="7580" w:hanging="912"/>
        <w:spacing w:after="0" w:line="501"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00" w:hanging="912"/>
        <w:spacing w:after="0" w:line="501"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614,938.6</w:t>
      </w:r>
    </w:p>
    <w:p>
      <w:pPr>
        <w:ind w:left="920" w:right="3280" w:hanging="912"/>
        <w:spacing w:after="0" w:line="375"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614,938.6</w:t>
      </w:r>
      <w:r>
        <w:rPr>
          <w:rFonts w:ascii="Arial" w:cs="Arial" w:eastAsia="Arial" w:hAnsi="Arial"/>
          <w:sz w:val="30"/>
          <w:szCs w:val="30"/>
          <w:color w:val="auto"/>
          <w:vertAlign w:val="superscript"/>
        </w:rPr>
        <w:t>2</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[_]</w:t>
      </w:r>
    </w:p>
    <w:p>
      <w:pPr>
        <w:spacing w:after="0" w:line="9" w:lineRule="exact"/>
        <w:rPr>
          <w:sz w:val="20"/>
          <w:szCs w:val="20"/>
          <w:color w:val="auto"/>
        </w:rPr>
      </w:pPr>
    </w:p>
    <w:p>
      <w:pPr>
        <w:ind w:left="920" w:right="4780" w:hanging="912"/>
        <w:spacing w:after="0" w:line="369"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0.6%</w:t>
      </w:r>
      <w:r>
        <w:rPr>
          <w:rFonts w:ascii="Arial" w:cs="Arial" w:eastAsia="Arial" w:hAnsi="Arial"/>
          <w:sz w:val="30"/>
          <w:szCs w:val="30"/>
          <w:color w:val="auto"/>
          <w:vertAlign w:val="superscript"/>
        </w:rPr>
        <w:t>2</w:t>
      </w:r>
    </w:p>
    <w:p>
      <w:pPr>
        <w:spacing w:after="0" w:line="1" w:lineRule="exact"/>
        <w:rPr>
          <w:rFonts w:ascii="Arial" w:cs="Arial" w:eastAsia="Arial" w:hAnsi="Arial"/>
          <w:sz w:val="18"/>
          <w:szCs w:val="18"/>
          <w:color w:val="auto"/>
        </w:rPr>
      </w:pPr>
    </w:p>
    <w:p>
      <w:pPr>
        <w:ind w:left="920" w:right="5500" w:hanging="912"/>
        <w:spacing w:after="0" w:line="277"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646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hanging="112"/>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Represented by 3,074,693 ADS. Each ADS represents 0.2 Class A Ordinary Share,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92763W103</w:t>
            </w:r>
          </w:p>
        </w:tc>
      </w:tr>
    </w:tbl>
    <w:p>
      <w:pPr>
        <w:spacing w:after="0" w:line="229" w:lineRule="exact"/>
        <w:rPr>
          <w:sz w:val="20"/>
          <w:szCs w:val="20"/>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Tiger Global Performance, LLC</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20" w:hanging="912"/>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right="6160" w:hanging="912"/>
        <w:spacing w:after="0" w:line="528" w:lineRule="auto"/>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20" w:right="798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0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1,003,680.2</w:t>
      </w:r>
    </w:p>
    <w:p>
      <w:pPr>
        <w:ind w:left="920" w:right="758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00" w:hanging="912"/>
        <w:spacing w:after="0" w:line="501"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1,003,680.2</w:t>
      </w:r>
    </w:p>
    <w:p>
      <w:pPr>
        <w:ind w:left="920" w:right="3280" w:hanging="912"/>
        <w:spacing w:after="0" w:line="375"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1,003,680.2</w:t>
      </w:r>
      <w:r>
        <w:rPr>
          <w:rFonts w:ascii="Arial" w:cs="Arial" w:eastAsia="Arial" w:hAnsi="Arial"/>
          <w:sz w:val="30"/>
          <w:szCs w:val="30"/>
          <w:color w:val="auto"/>
          <w:vertAlign w:val="superscript"/>
        </w:rPr>
        <w:t>3</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[_]</w:t>
      </w:r>
    </w:p>
    <w:p>
      <w:pPr>
        <w:spacing w:after="0" w:line="9" w:lineRule="exact"/>
        <w:rPr>
          <w:sz w:val="20"/>
          <w:szCs w:val="20"/>
          <w:color w:val="auto"/>
        </w:rPr>
      </w:pPr>
    </w:p>
    <w:p>
      <w:pPr>
        <w:ind w:left="920" w:right="4780" w:hanging="912"/>
        <w:spacing w:after="0" w:line="369"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w:t>
      </w:r>
      <w:r>
        <w:rPr>
          <w:rFonts w:ascii="Arial" w:cs="Arial" w:eastAsia="Arial" w:hAnsi="Arial"/>
          <w:sz w:val="30"/>
          <w:szCs w:val="30"/>
          <w:color w:val="auto"/>
          <w:vertAlign w:val="superscript"/>
        </w:rPr>
        <w:t>3</w:t>
      </w:r>
    </w:p>
    <w:p>
      <w:pPr>
        <w:spacing w:after="0" w:line="1" w:lineRule="exact"/>
        <w:rPr>
          <w:rFonts w:ascii="Arial" w:cs="Arial" w:eastAsia="Arial" w:hAnsi="Arial"/>
          <w:sz w:val="18"/>
          <w:szCs w:val="18"/>
          <w:color w:val="auto"/>
        </w:rPr>
      </w:pPr>
    </w:p>
    <w:p>
      <w:pPr>
        <w:ind w:left="920" w:right="5500" w:hanging="912"/>
        <w:spacing w:after="0" w:line="277"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646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hanging="112"/>
        <w:spacing w:after="0"/>
        <w:tabs>
          <w:tab w:leader="none" w:pos="12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Represented by 5,018,401 ADS. Each ADS represents 0.2 Class A Ordinary Share,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92763W103</w:t>
            </w:r>
          </w:p>
        </w:tc>
      </w:tr>
    </w:tbl>
    <w:p>
      <w:pPr>
        <w:spacing w:after="0" w:line="229" w:lineRule="exact"/>
        <w:rPr>
          <w:sz w:val="20"/>
          <w:szCs w:val="20"/>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Tiger Global Management, LLC</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20" w:hanging="912"/>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20" w:hanging="912"/>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right="7980" w:hanging="912"/>
        <w:spacing w:after="0" w:line="50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00" w:hanging="912"/>
        <w:spacing w:after="0" w:line="50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VOTING POWER 1,003,680.2</w:t>
      </w:r>
    </w:p>
    <w:p>
      <w:pPr>
        <w:ind w:left="920" w:right="7580" w:hanging="912"/>
        <w:spacing w:after="0" w:line="50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00" w:hanging="912"/>
        <w:spacing w:after="0" w:line="501"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SHARED DISPOSITIVE POWER 1,003,680.2</w:t>
      </w:r>
    </w:p>
    <w:p>
      <w:pPr>
        <w:ind w:left="920" w:right="3280" w:hanging="912"/>
        <w:spacing w:after="0" w:line="375"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1,003,680.2</w:t>
      </w:r>
      <w:r>
        <w:rPr>
          <w:rFonts w:ascii="Arial" w:cs="Arial" w:eastAsia="Arial" w:hAnsi="Arial"/>
          <w:sz w:val="30"/>
          <w:szCs w:val="30"/>
          <w:color w:val="auto"/>
          <w:vertAlign w:val="superscript"/>
        </w:rPr>
        <w:t>4</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[_]</w:t>
      </w:r>
    </w:p>
    <w:p>
      <w:pPr>
        <w:spacing w:after="0" w:line="9" w:lineRule="exact"/>
        <w:rPr>
          <w:sz w:val="20"/>
          <w:szCs w:val="20"/>
          <w:color w:val="auto"/>
        </w:rPr>
      </w:pPr>
    </w:p>
    <w:p>
      <w:pPr>
        <w:ind w:left="920" w:right="4780" w:hanging="912"/>
        <w:spacing w:after="0" w:line="369"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w:t>
      </w:r>
      <w:r>
        <w:rPr>
          <w:rFonts w:ascii="Arial" w:cs="Arial" w:eastAsia="Arial" w:hAnsi="Arial"/>
          <w:sz w:val="30"/>
          <w:szCs w:val="30"/>
          <w:color w:val="auto"/>
          <w:vertAlign w:val="superscript"/>
        </w:rPr>
        <w:t>4</w:t>
      </w:r>
    </w:p>
    <w:p>
      <w:pPr>
        <w:spacing w:after="0" w:line="1" w:lineRule="exact"/>
        <w:rPr>
          <w:rFonts w:ascii="Arial" w:cs="Arial" w:eastAsia="Arial" w:hAnsi="Arial"/>
          <w:sz w:val="18"/>
          <w:szCs w:val="18"/>
          <w:color w:val="auto"/>
        </w:rPr>
      </w:pPr>
    </w:p>
    <w:p>
      <w:pPr>
        <w:ind w:left="920" w:right="5500" w:hanging="912"/>
        <w:spacing w:after="0" w:line="277"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(SEE INSTRUCTIONS) OO,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646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hanging="112"/>
        <w:spacing w:after="0"/>
        <w:tabs>
          <w:tab w:leader="none" w:pos="12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Represented by 5,018,401 ADS. Each ADS represents 0.2 Class A Ordinary Share,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r>
              <w:rPr>
                <w:rFonts w:ascii="Arial" w:cs="Arial" w:eastAsia="Arial" w:hAnsi="Arial"/>
                <w:sz w:val="18"/>
                <w:szCs w:val="18"/>
                <w:color w:val="auto"/>
              </w:rPr>
              <w:t>CUSIP No</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92763W103</w:t>
            </w:r>
          </w:p>
        </w:tc>
      </w:tr>
    </w:tbl>
    <w:p>
      <w:pPr>
        <w:spacing w:after="0" w:line="229" w:lineRule="exact"/>
        <w:rPr>
          <w:sz w:val="20"/>
          <w:szCs w:val="20"/>
          <w:color w:val="auto"/>
        </w:rPr>
      </w:pPr>
    </w:p>
    <w:p>
      <w:pPr>
        <w:ind w:left="920" w:hanging="9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Charles P. Coleman III</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9" w:lineRule="exact"/>
        <w:rPr>
          <w:sz w:val="20"/>
          <w:szCs w:val="20"/>
          <w:color w:val="auto"/>
        </w:rPr>
      </w:pPr>
    </w:p>
    <w:p>
      <w:pPr>
        <w:ind w:left="920" w:hanging="912"/>
        <w:spacing w:after="0"/>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20" w:right="6160" w:hanging="912"/>
        <w:spacing w:after="0" w:line="528" w:lineRule="auto"/>
        <w:tabs>
          <w:tab w:leader="none" w:pos="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386" w:lineRule="exact"/>
        <w:rPr>
          <w:sz w:val="20"/>
          <w:szCs w:val="20"/>
          <w:color w:val="auto"/>
        </w:rPr>
      </w:pPr>
    </w:p>
    <w:p>
      <w:pPr>
        <w:ind w:left="920" w:right="7980" w:hanging="912"/>
        <w:spacing w:after="0" w:line="50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00" w:hanging="912"/>
        <w:spacing w:after="0" w:line="50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VOTING POWER 1,003,680.2</w:t>
      </w:r>
    </w:p>
    <w:p>
      <w:pPr>
        <w:ind w:left="920" w:right="7580" w:hanging="912"/>
        <w:spacing w:after="0" w:line="50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00" w:hanging="912"/>
        <w:spacing w:after="0" w:line="501"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SHARED DISPOSITIVE POWER 1,003,680.2</w:t>
      </w:r>
    </w:p>
    <w:p>
      <w:pPr>
        <w:ind w:left="920" w:right="3280" w:hanging="912"/>
        <w:spacing w:after="0" w:line="375"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1,003,680.2</w:t>
      </w:r>
      <w:r>
        <w:rPr>
          <w:rFonts w:ascii="Arial" w:cs="Arial" w:eastAsia="Arial" w:hAnsi="Arial"/>
          <w:sz w:val="30"/>
          <w:szCs w:val="30"/>
          <w:color w:val="auto"/>
          <w:vertAlign w:val="superscript"/>
        </w:rPr>
        <w:t>5</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20" w:right="4780" w:hanging="912"/>
        <w:spacing w:after="0" w:line="375"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w:t>
      </w:r>
      <w:r>
        <w:rPr>
          <w:rFonts w:ascii="Arial" w:cs="Arial" w:eastAsia="Arial" w:hAnsi="Arial"/>
          <w:sz w:val="30"/>
          <w:szCs w:val="30"/>
          <w:color w:val="auto"/>
          <w:vertAlign w:val="superscript"/>
        </w:rPr>
        <w:t>5</w:t>
      </w:r>
    </w:p>
    <w:p>
      <w:pPr>
        <w:spacing w:after="0" w:line="1" w:lineRule="exact"/>
        <w:rPr>
          <w:rFonts w:ascii="Arial" w:cs="Arial" w:eastAsia="Arial" w:hAnsi="Arial"/>
          <w:sz w:val="18"/>
          <w:szCs w:val="18"/>
          <w:color w:val="auto"/>
        </w:rPr>
      </w:pPr>
    </w:p>
    <w:p>
      <w:pPr>
        <w:ind w:left="920" w:right="5500" w:hanging="912"/>
        <w:spacing w:after="0" w:line="528"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19" w:lineRule="exact"/>
        <w:rPr>
          <w:sz w:val="20"/>
          <w:szCs w:val="20"/>
          <w:color w:val="auto"/>
        </w:rPr>
      </w:pPr>
    </w:p>
    <w:p>
      <w:pPr>
        <w:ind w:left="120" w:hanging="112"/>
        <w:spacing w:after="0"/>
        <w:tabs>
          <w:tab w:leader="none" w:pos="1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Represented by 5,018,401 ADS. Each ADS represents 0.2 Class A Ordinary Share,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7"/>
        </w:trPr>
        <w:tc>
          <w:tcPr>
            <w:tcW w:w="1740" w:type="dxa"/>
            <w:vAlign w:val="bottom"/>
          </w:tcPr>
          <w:p>
            <w:pPr>
              <w:spacing w:after="0"/>
              <w:rPr>
                <w:sz w:val="20"/>
                <w:szCs w:val="20"/>
                <w:color w:val="auto"/>
              </w:rPr>
            </w:pPr>
            <w:r>
              <w:rPr>
                <w:rFonts w:ascii="Arial" w:cs="Arial" w:eastAsia="Arial" w:hAnsi="Arial"/>
                <w:sz w:val="18"/>
                <w:szCs w:val="18"/>
                <w:color w:val="auto"/>
              </w:rPr>
              <w:t>CUSIP No</w:t>
            </w: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92763W103</w:t>
            </w:r>
          </w:p>
        </w:tc>
      </w:tr>
    </w:tbl>
    <w:p>
      <w:pPr>
        <w:spacing w:after="0" w:line="200" w:lineRule="exact"/>
        <w:rPr>
          <w:sz w:val="20"/>
          <w:szCs w:val="20"/>
          <w:color w:val="auto"/>
        </w:rPr>
      </w:pPr>
    </w:p>
    <w:p>
      <w:pPr>
        <w:spacing w:after="0" w:line="272" w:lineRule="exact"/>
        <w:rPr>
          <w:sz w:val="20"/>
          <w:szCs w:val="20"/>
          <w:color w:val="auto"/>
        </w:rPr>
      </w:pPr>
    </w:p>
    <w:p>
      <w:pPr>
        <w:ind w:left="920" w:hanging="912"/>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20" w:right="42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Scott Shleifer</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9" w:lineRule="exact"/>
        <w:rPr>
          <w:sz w:val="20"/>
          <w:szCs w:val="20"/>
          <w:color w:val="auto"/>
        </w:rPr>
      </w:pPr>
    </w:p>
    <w:p>
      <w:pPr>
        <w:ind w:left="920" w:hanging="912"/>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920" w:right="6160" w:hanging="912"/>
        <w:spacing w:after="0" w:line="528"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386" w:lineRule="exact"/>
        <w:rPr>
          <w:sz w:val="20"/>
          <w:szCs w:val="20"/>
          <w:color w:val="auto"/>
        </w:rPr>
      </w:pPr>
    </w:p>
    <w:p>
      <w:pPr>
        <w:ind w:left="920" w:right="7980" w:hanging="912"/>
        <w:spacing w:after="0" w:line="50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VOTING POWER 0</w:t>
      </w:r>
    </w:p>
    <w:p>
      <w:pPr>
        <w:ind w:left="920" w:right="7700" w:hanging="912"/>
        <w:spacing w:after="0" w:line="50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VOTING POWER 1,003,680.2</w:t>
      </w:r>
    </w:p>
    <w:p>
      <w:pPr>
        <w:ind w:left="920" w:right="7580" w:hanging="912"/>
        <w:spacing w:after="0" w:line="50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20" w:right="7300" w:hanging="912"/>
        <w:spacing w:after="0" w:line="501"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SHARED DISPOSITIVE POWER 1,003,680.2</w:t>
      </w:r>
    </w:p>
    <w:p>
      <w:pPr>
        <w:ind w:left="920" w:right="3280" w:hanging="912"/>
        <w:spacing w:after="0" w:line="375"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1,003,680.2</w:t>
      </w:r>
      <w:r>
        <w:rPr>
          <w:rFonts w:ascii="Arial" w:cs="Arial" w:eastAsia="Arial" w:hAnsi="Arial"/>
          <w:sz w:val="30"/>
          <w:szCs w:val="30"/>
          <w:color w:val="auto"/>
          <w:vertAlign w:val="superscript"/>
        </w:rPr>
        <w:t>6</w:t>
      </w:r>
    </w:p>
    <w:p>
      <w:pPr>
        <w:spacing w:after="0" w:line="1" w:lineRule="exact"/>
        <w:rPr>
          <w:rFonts w:ascii="Arial" w:cs="Arial" w:eastAsia="Arial" w:hAnsi="Arial"/>
          <w:sz w:val="18"/>
          <w:szCs w:val="18"/>
          <w:color w:val="auto"/>
        </w:rPr>
      </w:pPr>
    </w:p>
    <w:p>
      <w:pPr>
        <w:ind w:left="920" w:hanging="912"/>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w:t>
      </w:r>
    </w:p>
    <w:p>
      <w:pPr>
        <w:spacing w:after="0" w:line="23" w:lineRule="exact"/>
        <w:rPr>
          <w:sz w:val="20"/>
          <w:szCs w:val="20"/>
          <w:color w:val="auto"/>
        </w:rPr>
      </w:pPr>
    </w:p>
    <w:p>
      <w:pPr>
        <w:ind w:left="10200"/>
        <w:spacing w:after="0"/>
        <w:rPr>
          <w:sz w:val="20"/>
          <w:szCs w:val="20"/>
          <w:color w:val="auto"/>
        </w:rPr>
      </w:pPr>
      <w:r>
        <w:rPr>
          <w:rFonts w:ascii="Arial" w:cs="Arial" w:eastAsia="Arial" w:hAnsi="Arial"/>
          <w:sz w:val="18"/>
          <w:szCs w:val="18"/>
          <w:color w:val="auto"/>
        </w:rPr>
        <w:t>[_]</w:t>
      </w:r>
    </w:p>
    <w:p>
      <w:pPr>
        <w:spacing w:after="0" w:line="211" w:lineRule="exact"/>
        <w:rPr>
          <w:sz w:val="20"/>
          <w:szCs w:val="20"/>
          <w:color w:val="auto"/>
        </w:rPr>
      </w:pPr>
    </w:p>
    <w:p>
      <w:pPr>
        <w:ind w:left="920" w:right="4780" w:hanging="912"/>
        <w:spacing w:after="0" w:line="375"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1.0%</w:t>
      </w:r>
      <w:r>
        <w:rPr>
          <w:rFonts w:ascii="Arial" w:cs="Arial" w:eastAsia="Arial" w:hAnsi="Arial"/>
          <w:sz w:val="30"/>
          <w:szCs w:val="30"/>
          <w:color w:val="auto"/>
          <w:vertAlign w:val="superscript"/>
        </w:rPr>
        <w:t>6</w:t>
      </w:r>
    </w:p>
    <w:p>
      <w:pPr>
        <w:spacing w:after="0" w:line="1" w:lineRule="exact"/>
        <w:rPr>
          <w:rFonts w:ascii="Arial" w:cs="Arial" w:eastAsia="Arial" w:hAnsi="Arial"/>
          <w:sz w:val="18"/>
          <w:szCs w:val="18"/>
          <w:color w:val="auto"/>
        </w:rPr>
      </w:pPr>
    </w:p>
    <w:p>
      <w:pPr>
        <w:ind w:left="920" w:right="5500" w:hanging="912"/>
        <w:spacing w:after="0" w:line="528" w:lineRule="auto"/>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6465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19" w:lineRule="exact"/>
        <w:rPr>
          <w:sz w:val="20"/>
          <w:szCs w:val="20"/>
          <w:color w:val="auto"/>
        </w:rPr>
      </w:pPr>
    </w:p>
    <w:p>
      <w:pPr>
        <w:ind w:left="120" w:hanging="112"/>
        <w:spacing w:after="0"/>
        <w:tabs>
          <w:tab w:leader="none" w:pos="120" w:val="left"/>
        </w:tabs>
        <w:numPr>
          <w:ilvl w:val="0"/>
          <w:numId w:val="26"/>
        </w:numPr>
        <w:rPr>
          <w:rFonts w:ascii="Arial" w:cs="Arial" w:eastAsia="Arial" w:hAnsi="Arial"/>
          <w:sz w:val="30"/>
          <w:szCs w:val="30"/>
          <w:color w:val="auto"/>
          <w:vertAlign w:val="superscript"/>
        </w:rPr>
      </w:pPr>
      <w:r>
        <w:rPr>
          <w:rFonts w:ascii="Arial" w:cs="Arial" w:eastAsia="Arial" w:hAnsi="Arial"/>
          <w:sz w:val="18"/>
          <w:szCs w:val="18"/>
          <w:color w:val="auto"/>
        </w:rPr>
        <w:t>Represented by 5,018,401 ADS. Each ADS represents 0.2 Class A Ordinary Share,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240" w:top="611" w:right="8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CUSIP No</w:t>
            </w:r>
          </w:p>
        </w:tc>
        <w:tc>
          <w:tcPr>
            <w:tcW w:w="840" w:type="dxa"/>
            <w:vAlign w:val="bottom"/>
          </w:tcPr>
          <w:p>
            <w:pPr>
              <w:spacing w:after="0"/>
              <w:rPr>
                <w:sz w:val="20"/>
                <w:szCs w:val="20"/>
                <w:color w:val="auto"/>
              </w:rPr>
            </w:pPr>
          </w:p>
        </w:tc>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92763W103</w:t>
            </w:r>
          </w:p>
        </w:tc>
        <w:tc>
          <w:tcPr>
            <w:tcW w:w="56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Vipshop Holdings Limited</w:t>
            </w:r>
          </w:p>
        </w:tc>
        <w:tc>
          <w:tcPr>
            <w:tcW w:w="120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No. 20 Huahai Street</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Liwan District, Guangzhou 510370</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 People's Republic of China</w:t>
            </w:r>
          </w:p>
        </w:tc>
        <w:tc>
          <w:tcPr>
            <w:tcW w:w="1200" w:type="dxa"/>
            <w:vAlign w:val="bottom"/>
          </w:tcPr>
          <w:p>
            <w:pPr>
              <w:spacing w:after="0"/>
              <w:rPr>
                <w:sz w:val="20"/>
                <w:szCs w:val="20"/>
                <w:color w:val="auto"/>
              </w:rPr>
            </w:pPr>
          </w:p>
        </w:tc>
      </w:tr>
      <w:tr>
        <w:trPr>
          <w:trHeight w:val="459"/>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40" w:type="dxa"/>
            <w:vAlign w:val="bottom"/>
          </w:tcPr>
          <w:p>
            <w:pPr>
              <w:ind w:left="120"/>
              <w:spacing w:after="0"/>
              <w:rPr>
                <w:sz w:val="20"/>
                <w:szCs w:val="20"/>
                <w:color w:val="auto"/>
              </w:rPr>
            </w:pPr>
            <w:r>
              <w:rPr>
                <w:rFonts w:ascii="Arial" w:cs="Arial" w:eastAsia="Arial" w:hAnsi="Arial"/>
                <w:sz w:val="18"/>
                <w:szCs w:val="18"/>
                <w:color w:val="auto"/>
              </w:rPr>
              <w:t>(a).</w:t>
            </w:r>
          </w:p>
        </w:tc>
        <w:tc>
          <w:tcPr>
            <w:tcW w:w="8480" w:type="dxa"/>
            <w:vAlign w:val="bottom"/>
            <w:gridSpan w:val="2"/>
          </w:tcPr>
          <w:p>
            <w:pPr>
              <w:spacing w:after="0"/>
              <w:rPr>
                <w:sz w:val="20"/>
                <w:szCs w:val="20"/>
                <w:color w:val="auto"/>
              </w:rPr>
            </w:pPr>
            <w:r>
              <w:rPr>
                <w:rFonts w:ascii="Arial" w:cs="Arial" w:eastAsia="Arial" w:hAnsi="Arial"/>
                <w:sz w:val="18"/>
                <w:szCs w:val="18"/>
                <w:color w:val="auto"/>
              </w:rPr>
              <w:t>Name of Person Filing:</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Investments, L.P.</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Performance, LLC</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Management, LLC</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Charles P. Coleman III</w:t>
            </w:r>
          </w:p>
        </w:tc>
        <w:tc>
          <w:tcPr>
            <w:tcW w:w="1200" w:type="dxa"/>
            <w:vAlign w:val="bottom"/>
          </w:tcPr>
          <w:p>
            <w:pPr>
              <w:spacing w:after="0"/>
              <w:rPr>
                <w:sz w:val="18"/>
                <w:szCs w:val="18"/>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Scott Shleifer</w:t>
            </w:r>
          </w:p>
        </w:tc>
        <w:tc>
          <w:tcPr>
            <w:tcW w:w="1200" w:type="dxa"/>
            <w:vAlign w:val="bottom"/>
          </w:tcPr>
          <w:p>
            <w:pPr>
              <w:spacing w:after="0"/>
              <w:rPr>
                <w:sz w:val="20"/>
                <w:szCs w:val="20"/>
                <w:color w:val="auto"/>
              </w:rPr>
            </w:pPr>
          </w:p>
        </w:tc>
      </w:tr>
      <w:tr>
        <w:trPr>
          <w:trHeight w:val="459"/>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(b).</w:t>
            </w:r>
          </w:p>
        </w:tc>
        <w:tc>
          <w:tcPr>
            <w:tcW w:w="8480" w:type="dxa"/>
            <w:vAlign w:val="bottom"/>
            <w:gridSpan w:val="2"/>
          </w:tcPr>
          <w:p>
            <w:pPr>
              <w:spacing w:after="0"/>
              <w:rPr>
                <w:sz w:val="20"/>
                <w:szCs w:val="20"/>
                <w:color w:val="auto"/>
              </w:rPr>
            </w:pPr>
            <w:r>
              <w:rPr>
                <w:rFonts w:ascii="Arial" w:cs="Arial" w:eastAsia="Arial" w:hAnsi="Arial"/>
                <w:sz w:val="18"/>
                <w:szCs w:val="18"/>
                <w:color w:val="auto"/>
              </w:rPr>
              <w:t>Address of Principal Business Office, or if None, Residence:</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Investments, L.P.</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 Citco Fund Services (Cayman Islands) Limited</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P.O. Box 31106</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89 Nexus Way</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Camana Bay, Grand Cayman KY1-1205</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Cayman Islands</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Performance, LLC</w:t>
            </w:r>
          </w:p>
        </w:tc>
        <w:tc>
          <w:tcPr>
            <w:tcW w:w="120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Management, LLC</w:t>
            </w:r>
          </w:p>
        </w:tc>
        <w:tc>
          <w:tcPr>
            <w:tcW w:w="120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line="216" w:lineRule="exact"/>
              <w:rPr>
                <w:sz w:val="20"/>
                <w:szCs w:val="20"/>
                <w:color w:val="auto"/>
              </w:rPr>
            </w:pPr>
            <w:r>
              <w:rPr>
                <w:rFonts w:ascii="Arial" w:cs="Arial" w:eastAsia="Arial" w:hAnsi="Arial"/>
                <w:sz w:val="16"/>
                <w:szCs w:val="16"/>
                <w:color w:val="auto"/>
              </w:rPr>
              <w:t>9 West 57</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Street</w:t>
            </w:r>
          </w:p>
        </w:tc>
        <w:tc>
          <w:tcPr>
            <w:tcW w:w="1200" w:type="dxa"/>
            <w:vAlign w:val="bottom"/>
          </w:tcPr>
          <w:p>
            <w:pPr>
              <w:spacing w:after="0"/>
              <w:rPr>
                <w:sz w:val="18"/>
                <w:szCs w:val="18"/>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Charles P. Coleman III</w:t>
            </w:r>
          </w:p>
        </w:tc>
        <w:tc>
          <w:tcPr>
            <w:tcW w:w="120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 Tiger Global Management, LLC</w:t>
            </w:r>
          </w:p>
        </w:tc>
        <w:tc>
          <w:tcPr>
            <w:tcW w:w="120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line="216" w:lineRule="exact"/>
              <w:rPr>
                <w:sz w:val="20"/>
                <w:szCs w:val="20"/>
                <w:color w:val="auto"/>
              </w:rPr>
            </w:pPr>
            <w:r>
              <w:rPr>
                <w:rFonts w:ascii="Arial" w:cs="Arial" w:eastAsia="Arial" w:hAnsi="Arial"/>
                <w:sz w:val="16"/>
                <w:szCs w:val="16"/>
                <w:color w:val="auto"/>
              </w:rPr>
              <w:t>9 West 57</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Street</w:t>
            </w:r>
          </w:p>
        </w:tc>
        <w:tc>
          <w:tcPr>
            <w:tcW w:w="1200" w:type="dxa"/>
            <w:vAlign w:val="bottom"/>
          </w:tcPr>
          <w:p>
            <w:pPr>
              <w:spacing w:after="0"/>
              <w:rPr>
                <w:sz w:val="18"/>
                <w:szCs w:val="18"/>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30"/>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New York, New York 10019</w:t>
            </w:r>
          </w:p>
        </w:tc>
        <w:tc>
          <w:tcPr>
            <w:tcW w:w="1200" w:type="dxa"/>
            <w:vAlign w:val="bottom"/>
          </w:tcPr>
          <w:p>
            <w:pPr>
              <w:spacing w:after="0"/>
              <w:rPr>
                <w:sz w:val="20"/>
                <w:szCs w:val="20"/>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Scott Shleifer</w:t>
            </w:r>
          </w:p>
        </w:tc>
        <w:tc>
          <w:tcPr>
            <w:tcW w:w="1200" w:type="dxa"/>
            <w:vAlign w:val="bottom"/>
          </w:tcPr>
          <w:p>
            <w:pPr>
              <w:spacing w:after="0"/>
              <w:rPr>
                <w:sz w:val="24"/>
                <w:szCs w:val="24"/>
                <w:color w:val="auto"/>
              </w:rPr>
            </w:pPr>
          </w:p>
        </w:tc>
      </w:tr>
      <w:tr>
        <w:trPr>
          <w:trHeight w:val="206"/>
        </w:trPr>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c/o Tiger Global Management, LLC</w:t>
            </w:r>
          </w:p>
        </w:tc>
        <w:tc>
          <w:tcPr>
            <w:tcW w:w="120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line="216" w:lineRule="exact"/>
              <w:rPr>
                <w:sz w:val="20"/>
                <w:szCs w:val="20"/>
                <w:color w:val="auto"/>
              </w:rPr>
            </w:pPr>
            <w:r>
              <w:rPr>
                <w:rFonts w:ascii="Arial" w:cs="Arial" w:eastAsia="Arial" w:hAnsi="Arial"/>
                <w:sz w:val="16"/>
                <w:szCs w:val="16"/>
                <w:color w:val="auto"/>
              </w:rPr>
              <w:t>9 West 57</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Street</w:t>
            </w:r>
          </w:p>
        </w:tc>
        <w:tc>
          <w:tcPr>
            <w:tcW w:w="1200" w:type="dxa"/>
            <w:vAlign w:val="bottom"/>
          </w:tcPr>
          <w:p>
            <w:pPr>
              <w:spacing w:after="0"/>
              <w:rPr>
                <w:sz w:val="18"/>
                <w:szCs w:val="18"/>
                <w:color w:val="auto"/>
              </w:rPr>
            </w:pPr>
          </w:p>
        </w:tc>
      </w:tr>
      <w:tr>
        <w:trPr>
          <w:trHeight w:val="226"/>
        </w:trPr>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80" w:type="dxa"/>
            <w:vAlign w:val="bottom"/>
            <w:gridSpan w:val="2"/>
          </w:tcPr>
          <w:p>
            <w:pPr>
              <w:spacing w:after="0" w:line="226" w:lineRule="exact"/>
              <w:rPr>
                <w:sz w:val="20"/>
                <w:szCs w:val="20"/>
                <w:color w:val="auto"/>
              </w:rPr>
            </w:pPr>
            <w:r>
              <w:rPr>
                <w:rFonts w:ascii="Arial" w:cs="Arial" w:eastAsia="Arial" w:hAnsi="Arial"/>
                <w:sz w:val="16"/>
                <w:szCs w:val="16"/>
                <w:color w:val="auto"/>
              </w:rPr>
              <w:t>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tc>
        <w:tc>
          <w:tcPr>
            <w:tcW w:w="1200" w:type="dxa"/>
            <w:vAlign w:val="bottom"/>
          </w:tcPr>
          <w:p>
            <w:pPr>
              <w:spacing w:after="0"/>
              <w:rPr>
                <w:sz w:val="19"/>
                <w:szCs w:val="19"/>
                <w:color w:val="auto"/>
              </w:rPr>
            </w:pPr>
          </w:p>
        </w:tc>
      </w:tr>
      <w:tr>
        <w:trPr>
          <w:trHeight w:val="237"/>
        </w:trPr>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New York, New York 10019</w:t>
            </w:r>
          </w:p>
        </w:tc>
        <w:tc>
          <w:tcPr>
            <w:tcW w:w="1200" w:type="dxa"/>
            <w:vAlign w:val="bottom"/>
          </w:tcPr>
          <w:p>
            <w:pPr>
              <w:spacing w:after="0"/>
              <w:rPr>
                <w:sz w:val="20"/>
                <w:szCs w:val="20"/>
                <w:color w:val="auto"/>
              </w:rPr>
            </w:pPr>
          </w:p>
        </w:tc>
      </w:tr>
      <w:tr>
        <w:trPr>
          <w:trHeight w:val="459"/>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(c).</w:t>
            </w:r>
          </w:p>
        </w:tc>
        <w:tc>
          <w:tcPr>
            <w:tcW w:w="8480" w:type="dxa"/>
            <w:vAlign w:val="bottom"/>
            <w:gridSpan w:val="2"/>
          </w:tcPr>
          <w:p>
            <w:pPr>
              <w:spacing w:after="0"/>
              <w:rPr>
                <w:sz w:val="20"/>
                <w:szCs w:val="20"/>
                <w:color w:val="auto"/>
              </w:rPr>
            </w:pPr>
            <w:r>
              <w:rPr>
                <w:rFonts w:ascii="Arial" w:cs="Arial" w:eastAsia="Arial" w:hAnsi="Arial"/>
                <w:sz w:val="18"/>
                <w:szCs w:val="18"/>
                <w:color w:val="auto"/>
              </w:rPr>
              <w:t>Citizenship:</w:t>
            </w:r>
          </w:p>
        </w:tc>
        <w:tc>
          <w:tcPr>
            <w:tcW w:w="1200" w:type="dxa"/>
            <w:vAlign w:val="bottom"/>
          </w:tcPr>
          <w:p>
            <w:pPr>
              <w:spacing w:after="0"/>
              <w:rPr>
                <w:sz w:val="24"/>
                <w:szCs w:val="24"/>
                <w:color w:val="auto"/>
              </w:rPr>
            </w:pPr>
          </w:p>
        </w:tc>
      </w:tr>
      <w:tr>
        <w:trPr>
          <w:trHeight w:val="418"/>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Investments, L.P. – Cayman Islands limited partnership</w:t>
            </w:r>
          </w:p>
        </w:tc>
        <w:tc>
          <w:tcPr>
            <w:tcW w:w="120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Performance, LLC – Delaware limited liability company</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Tiger Global Management, LLC – Delaware limited liability company</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Charles P. Coleman III – United States citizen</w:t>
            </w:r>
          </w:p>
        </w:tc>
        <w:tc>
          <w:tcPr>
            <w:tcW w:w="12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Scott Shleifer – United States citizen</w:t>
            </w:r>
          </w:p>
        </w:tc>
        <w:tc>
          <w:tcPr>
            <w:tcW w:w="12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(d).</w:t>
            </w:r>
          </w:p>
        </w:tc>
        <w:tc>
          <w:tcPr>
            <w:tcW w:w="84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c>
          <w:tcPr>
            <w:tcW w:w="1200" w:type="dxa"/>
            <w:vAlign w:val="bottom"/>
          </w:tcPr>
          <w:p>
            <w:pPr>
              <w:spacing w:after="0"/>
              <w:rPr>
                <w:sz w:val="20"/>
                <w:szCs w:val="20"/>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Class A Ordinary Shares, par value $0.0001 per share</w:t>
            </w:r>
          </w:p>
        </w:tc>
        <w:tc>
          <w:tcPr>
            <w:tcW w:w="1200" w:type="dxa"/>
            <w:vAlign w:val="bottom"/>
          </w:tcPr>
          <w:p>
            <w:pPr>
              <w:spacing w:after="0"/>
              <w:rPr>
                <w:sz w:val="24"/>
                <w:szCs w:val="24"/>
                <w:color w:val="auto"/>
              </w:rPr>
            </w:pPr>
          </w:p>
        </w:tc>
      </w:tr>
      <w:tr>
        <w:trPr>
          <w:trHeight w:val="459"/>
        </w:trPr>
        <w:tc>
          <w:tcPr>
            <w:tcW w:w="90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8"/>
                <w:szCs w:val="18"/>
                <w:color w:val="auto"/>
              </w:rPr>
              <w:t>(e).</w:t>
            </w:r>
          </w:p>
        </w:tc>
        <w:tc>
          <w:tcPr>
            <w:tcW w:w="8480" w:type="dxa"/>
            <w:vAlign w:val="bottom"/>
            <w:gridSpan w:val="2"/>
          </w:tcPr>
          <w:p>
            <w:pPr>
              <w:spacing w:after="0"/>
              <w:rPr>
                <w:sz w:val="20"/>
                <w:szCs w:val="20"/>
                <w:color w:val="auto"/>
              </w:rPr>
            </w:pPr>
            <w:r>
              <w:rPr>
                <w:rFonts w:ascii="Arial" w:cs="Arial" w:eastAsia="Arial" w:hAnsi="Arial"/>
                <w:sz w:val="18"/>
                <w:szCs w:val="18"/>
                <w:color w:val="auto"/>
              </w:rPr>
              <w:t>CUSIP Number:</w:t>
            </w:r>
          </w:p>
        </w:tc>
        <w:tc>
          <w:tcPr>
            <w:tcW w:w="1200" w:type="dxa"/>
            <w:vAlign w:val="bottom"/>
          </w:tcPr>
          <w:p>
            <w:pPr>
              <w:spacing w:after="0"/>
              <w:rPr>
                <w:sz w:val="24"/>
                <w:szCs w:val="24"/>
                <w:color w:val="auto"/>
              </w:rPr>
            </w:pPr>
          </w:p>
        </w:tc>
      </w:tr>
      <w:tr>
        <w:trPr>
          <w:trHeight w:val="439"/>
        </w:trPr>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92763W103</w:t>
            </w:r>
          </w:p>
        </w:tc>
        <w:tc>
          <w:tcPr>
            <w:tcW w:w="1200" w:type="dxa"/>
            <w:vAlign w:val="bottom"/>
          </w:tcPr>
          <w:p>
            <w:pPr>
              <w:spacing w:after="0"/>
              <w:rPr>
                <w:sz w:val="24"/>
                <w:szCs w:val="24"/>
                <w:color w:val="auto"/>
              </w:rPr>
            </w:pPr>
          </w:p>
        </w:tc>
      </w:tr>
      <w:tr>
        <w:trPr>
          <w:trHeight w:val="426"/>
        </w:trPr>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7" w:name="page8"/>
    <w:bookmarkEnd w:id="7"/>
    <w:p>
      <w:pPr>
        <w:spacing w:after="0"/>
        <w:tabs>
          <w:tab w:leader="none" w:pos="17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ss.240.13d-1(b) or 240.13d-2(b), or (c), check whether the person filing is a</w:t>
      </w:r>
    </w:p>
    <w:p>
      <w:pPr>
        <w:spacing w:after="0" w:line="252" w:lineRule="exact"/>
        <w:rPr>
          <w:sz w:val="20"/>
          <w:szCs w:val="20"/>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Exchange Act (15 U.S.C. 78c).</w:t>
      </w:r>
    </w:p>
    <w:p>
      <w:pPr>
        <w:spacing w:after="0" w:line="252" w:lineRule="exact"/>
        <w:rPr>
          <w:rFonts w:ascii="Arial" w:cs="Arial" w:eastAsia="Arial" w:hAnsi="Arial"/>
          <w:sz w:val="18"/>
          <w:szCs w:val="18"/>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Exchange Act (15 U.S.C. 78c).</w:t>
      </w:r>
    </w:p>
    <w:p>
      <w:pPr>
        <w:spacing w:after="0" w:line="252" w:lineRule="exact"/>
        <w:rPr>
          <w:rFonts w:ascii="Arial" w:cs="Arial" w:eastAsia="Arial" w:hAnsi="Arial"/>
          <w:sz w:val="18"/>
          <w:szCs w:val="18"/>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Exchange Act (15 U.S.C. 78c).</w:t>
      </w:r>
    </w:p>
    <w:p>
      <w:pPr>
        <w:spacing w:after="0" w:line="252" w:lineRule="exact"/>
        <w:rPr>
          <w:rFonts w:ascii="Arial" w:cs="Arial" w:eastAsia="Arial" w:hAnsi="Arial"/>
          <w:sz w:val="18"/>
          <w:szCs w:val="18"/>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52" w:lineRule="exact"/>
        <w:rPr>
          <w:rFonts w:ascii="Arial" w:cs="Arial" w:eastAsia="Arial" w:hAnsi="Arial"/>
          <w:sz w:val="18"/>
          <w:szCs w:val="18"/>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52" w:lineRule="exact"/>
        <w:rPr>
          <w:rFonts w:ascii="Arial" w:cs="Arial" w:eastAsia="Arial" w:hAnsi="Arial"/>
          <w:sz w:val="18"/>
          <w:szCs w:val="18"/>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52" w:lineRule="exact"/>
        <w:rPr>
          <w:rFonts w:ascii="Arial" w:cs="Arial" w:eastAsia="Arial" w:hAnsi="Arial"/>
          <w:sz w:val="18"/>
          <w:szCs w:val="18"/>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52" w:lineRule="exact"/>
        <w:rPr>
          <w:rFonts w:ascii="Arial" w:cs="Arial" w:eastAsia="Arial" w:hAnsi="Arial"/>
          <w:sz w:val="18"/>
          <w:szCs w:val="18"/>
          <w:color w:val="auto"/>
        </w:rPr>
      </w:pPr>
    </w:p>
    <w:p>
      <w:pPr>
        <w:ind w:left="2340" w:hanging="1319"/>
        <w:spacing w:after="0" w:line="277" w:lineRule="auto"/>
        <w:tabs>
          <w:tab w:leader="none" w:pos="17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740" w:hanging="719"/>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s.240.13d-1(b)(1)(ii)(J).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tabs>
          <w:tab w:leader="none" w:pos="11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r>
        <w:rPr>
          <w:rFonts w:ascii="Arial" w:cs="Arial" w:eastAsia="Arial" w:hAnsi="Arial"/>
          <w:sz w:val="26"/>
          <w:szCs w:val="26"/>
          <w:color w:val="auto"/>
          <w:vertAlign w:val="superscript"/>
        </w:rPr>
        <w:t>7</w:t>
      </w:r>
    </w:p>
    <w:p>
      <w:pPr>
        <w:spacing w:after="0" w:line="386"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740" w:hanging="598"/>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614,938.6 shares deemed beneficially owned by Tiger Global Investments, L.P.</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1,003,680.2 shares deemed beneficially owned by Tiger Global Performance, LLC</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1,003,680.2 shares deemed beneficially owned by Tiger Global Management, LLC</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1,003,680.2 shares deemed beneficially owned by Charles P. Coleman III</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1,003,680.2 shares deemed beneficially owned by Scott Shleifer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5715</wp:posOffset>
            </wp:positionV>
            <wp:extent cx="6165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5850" cy="17145"/>
                    </a:xfrm>
                    <a:prstGeom prst="rect">
                      <a:avLst/>
                    </a:prstGeom>
                    <a:noFill/>
                  </pic:spPr>
                </pic:pic>
              </a:graphicData>
            </a:graphic>
          </wp:anchor>
        </w:drawing>
      </w:r>
    </w:p>
    <w:p>
      <w:pPr>
        <w:spacing w:after="0" w:line="245" w:lineRule="exact"/>
        <w:rPr>
          <w:sz w:val="20"/>
          <w:szCs w:val="20"/>
          <w:color w:val="auto"/>
        </w:rPr>
      </w:pPr>
    </w:p>
    <w:p>
      <w:pPr>
        <w:ind w:left="1740" w:hanging="598"/>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0.6% deemed beneficially owned by Tiger Global Investments, L.P.</w:t>
      </w:r>
    </w:p>
    <w:p>
      <w:pPr>
        <w:spacing w:after="0" w:line="23"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1.0% deemed beneficially owned by Tiger Global Performance, LLC</w:t>
      </w:r>
    </w:p>
    <w:p>
      <w:pPr>
        <w:spacing w:after="0" w:line="9"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1.0% deemed beneficially owned by Tiger Global Management, LLC</w:t>
      </w:r>
    </w:p>
    <w:p>
      <w:pPr>
        <w:spacing w:after="0" w:line="9"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1.0% deemed beneficially owned by Charles P. Coleman III</w:t>
      </w:r>
    </w:p>
    <w:p>
      <w:pPr>
        <w:spacing w:after="0" w:line="9" w:lineRule="exact"/>
        <w:rPr>
          <w:rFonts w:ascii="Arial" w:cs="Arial" w:eastAsia="Arial" w:hAnsi="Arial"/>
          <w:sz w:val="18"/>
          <w:szCs w:val="18"/>
          <w:color w:val="auto"/>
        </w:rPr>
      </w:pPr>
    </w:p>
    <w:p>
      <w:pPr>
        <w:ind w:left="1740"/>
        <w:spacing w:after="0"/>
        <w:rPr>
          <w:rFonts w:ascii="Arial" w:cs="Arial" w:eastAsia="Arial" w:hAnsi="Arial"/>
          <w:sz w:val="18"/>
          <w:szCs w:val="18"/>
          <w:color w:val="auto"/>
        </w:rPr>
      </w:pPr>
      <w:r>
        <w:rPr>
          <w:rFonts w:ascii="Arial" w:cs="Arial" w:eastAsia="Arial" w:hAnsi="Arial"/>
          <w:sz w:val="18"/>
          <w:szCs w:val="18"/>
          <w:color w:val="auto"/>
        </w:rPr>
        <w:t>1.0% deemed beneficially owned by Scott Shleifer</w:t>
      </w:r>
    </w:p>
    <w:p>
      <w:pPr>
        <w:spacing w:after="0" w:line="264" w:lineRule="exact"/>
        <w:rPr>
          <w:rFonts w:ascii="Arial" w:cs="Arial" w:eastAsia="Arial" w:hAnsi="Arial"/>
          <w:sz w:val="18"/>
          <w:szCs w:val="18"/>
          <w:color w:val="auto"/>
        </w:rPr>
      </w:pPr>
    </w:p>
    <w:p>
      <w:pPr>
        <w:ind w:left="1740" w:hanging="598"/>
        <w:spacing w:after="0"/>
        <w:tabs>
          <w:tab w:leader="none" w:pos="17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Number of shares as to which Tiger Global Investments, L.P.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-293370</wp:posOffset>
            </wp:positionV>
            <wp:extent cx="614870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48705" cy="17145"/>
                    </a:xfrm>
                    <a:prstGeom prst="rect">
                      <a:avLst/>
                    </a:prstGeom>
                    <a:noFill/>
                  </pic:spPr>
                </pic:pic>
              </a:graphicData>
            </a:graphic>
          </wp:anchor>
        </w:drawing>
      </w:r>
    </w:p>
    <w:p>
      <w:pPr>
        <w:spacing w:after="0" w:line="232" w:lineRule="exact"/>
        <w:rPr>
          <w:sz w:val="20"/>
          <w:szCs w:val="20"/>
          <w:color w:val="auto"/>
        </w:rPr>
      </w:pPr>
    </w:p>
    <w:tbl>
      <w:tblPr>
        <w:tblLayout w:type="fixed"/>
        <w:tblInd w:w="1740" w:type="dxa"/>
        <w:tblCellMar>
          <w:top w:w="0" w:type="dxa"/>
          <w:left w:w="0" w:type="dxa"/>
          <w:bottom w:w="0" w:type="dxa"/>
          <w:right w:w="0" w:type="dxa"/>
        </w:tblCellMar>
      </w:tblPr>
      <w:tr>
        <w:trPr>
          <w:trHeight w:val="237"/>
        </w:trPr>
        <w:tc>
          <w:tcPr>
            <w:tcW w:w="440" w:type="dxa"/>
            <w:vAlign w:val="bottom"/>
          </w:tcPr>
          <w:p>
            <w:pPr>
              <w:spacing w:after="0"/>
              <w:rPr>
                <w:sz w:val="20"/>
                <w:szCs w:val="20"/>
                <w:color w:val="auto"/>
              </w:rPr>
            </w:pPr>
            <w:r>
              <w:rPr>
                <w:rFonts w:ascii="Arial" w:cs="Arial" w:eastAsia="Arial" w:hAnsi="Arial"/>
                <w:sz w:val="18"/>
                <w:szCs w:val="18"/>
                <w:color w:val="auto"/>
              </w:rPr>
              <w:t>(i)</w:t>
            </w:r>
          </w:p>
        </w:tc>
        <w:tc>
          <w:tcPr>
            <w:tcW w:w="6560" w:type="dxa"/>
            <w:vAlign w:val="bottom"/>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(ii)</w:t>
            </w:r>
          </w:p>
        </w:tc>
        <w:tc>
          <w:tcPr>
            <w:tcW w:w="6560" w:type="dxa"/>
            <w:vAlign w:val="bottom"/>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614,938.6</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(iii)</w:t>
            </w:r>
          </w:p>
        </w:tc>
        <w:tc>
          <w:tcPr>
            <w:tcW w:w="656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440" w:type="dxa"/>
            <w:vAlign w:val="bottom"/>
          </w:tcPr>
          <w:p>
            <w:pPr>
              <w:spacing w:after="0"/>
              <w:rPr>
                <w:sz w:val="20"/>
                <w:szCs w:val="20"/>
                <w:color w:val="auto"/>
              </w:rPr>
            </w:pPr>
            <w:r>
              <w:rPr>
                <w:rFonts w:ascii="Arial" w:cs="Arial" w:eastAsia="Arial" w:hAnsi="Arial"/>
                <w:sz w:val="18"/>
                <w:szCs w:val="18"/>
                <w:color w:val="auto"/>
              </w:rPr>
              <w:t>(iv)</w:t>
            </w:r>
          </w:p>
        </w:tc>
        <w:tc>
          <w:tcPr>
            <w:tcW w:w="656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614,938.6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16465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7</w:t>
      </w:r>
      <w:r>
        <w:rPr>
          <w:rFonts w:ascii="Arial" w:cs="Arial" w:eastAsia="Arial" w:hAnsi="Arial"/>
          <w:sz w:val="18"/>
          <w:szCs w:val="18"/>
          <w:color w:val="auto"/>
        </w:rPr>
        <w:t xml:space="preserve"> Represented by 3,074,693 and 5,018,401 ADS, respectively. Each ADS represents 0.2 Class A Ordinary Share, par value $0.0001.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0" w:type="dxa"/>
            <w:vAlign w:val="bottom"/>
            <w:gridSpan w:val="3"/>
          </w:tcPr>
          <w:p>
            <w:pPr>
              <w:ind w:left="600"/>
              <w:spacing w:after="0"/>
              <w:rPr>
                <w:sz w:val="20"/>
                <w:szCs w:val="20"/>
                <w:color w:val="auto"/>
              </w:rPr>
            </w:pPr>
            <w:r>
              <w:rPr>
                <w:rFonts w:ascii="Arial" w:cs="Arial" w:eastAsia="Arial" w:hAnsi="Arial"/>
                <w:sz w:val="18"/>
                <w:szCs w:val="18"/>
                <w:color w:val="auto"/>
              </w:rPr>
              <w:t>Number of shares as to which Tiger Global Performance, LLC has:</w:t>
            </w:r>
          </w:p>
        </w:tc>
        <w:tc>
          <w:tcPr>
            <w:tcW w:w="2680" w:type="dxa"/>
            <w:vAlign w:val="bottom"/>
          </w:tcPr>
          <w:p>
            <w:pPr>
              <w:spacing w:after="0"/>
              <w:rPr>
                <w:sz w:val="20"/>
                <w:szCs w:val="20"/>
                <w:color w:val="auto"/>
              </w:rPr>
            </w:pP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w:t>
            </w: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Sole power to vote or to direct the vote</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(ii)</w:t>
            </w: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Shared power to vote or to direct the vote</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1,003,680.2</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(iii)</w:t>
            </w: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(iv)</w:t>
            </w: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1,003,680.2</w:t>
            </w:r>
          </w:p>
        </w:tc>
      </w:tr>
      <w:tr>
        <w:trPr>
          <w:trHeight w:val="45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gridSpan w:val="3"/>
          </w:tcPr>
          <w:p>
            <w:pPr>
              <w:ind w:left="600"/>
              <w:spacing w:after="0"/>
              <w:rPr>
                <w:sz w:val="20"/>
                <w:szCs w:val="20"/>
                <w:color w:val="auto"/>
              </w:rPr>
            </w:pPr>
            <w:r>
              <w:rPr>
                <w:rFonts w:ascii="Arial" w:cs="Arial" w:eastAsia="Arial" w:hAnsi="Arial"/>
                <w:sz w:val="18"/>
                <w:szCs w:val="18"/>
                <w:color w:val="auto"/>
              </w:rPr>
              <w:t>Number of shares as to which Tiger Global Management, LLC has:</w:t>
            </w:r>
          </w:p>
        </w:tc>
        <w:tc>
          <w:tcPr>
            <w:tcW w:w="2680" w:type="dxa"/>
            <w:vAlign w:val="bottom"/>
          </w:tcPr>
          <w:p>
            <w:pPr>
              <w:spacing w:after="0"/>
              <w:rPr>
                <w:sz w:val="24"/>
                <w:szCs w:val="24"/>
                <w:color w:val="auto"/>
              </w:rPr>
            </w:pP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w:t>
            </w:r>
          </w:p>
        </w:tc>
        <w:tc>
          <w:tcPr>
            <w:tcW w:w="64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(ii)</w:t>
            </w:r>
          </w:p>
        </w:tc>
        <w:tc>
          <w:tcPr>
            <w:tcW w:w="64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1,003,680.2</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(iii)</w:t>
            </w:r>
          </w:p>
        </w:tc>
        <w:tc>
          <w:tcPr>
            <w:tcW w:w="648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(iv)</w:t>
            </w:r>
          </w:p>
        </w:tc>
        <w:tc>
          <w:tcPr>
            <w:tcW w:w="64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1,003,680.2</w:t>
            </w:r>
          </w:p>
        </w:tc>
      </w:tr>
      <w:tr>
        <w:trPr>
          <w:trHeight w:val="45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gridSpan w:val="3"/>
          </w:tcPr>
          <w:p>
            <w:pPr>
              <w:ind w:left="620"/>
              <w:spacing w:after="0"/>
              <w:rPr>
                <w:sz w:val="20"/>
                <w:szCs w:val="20"/>
                <w:color w:val="auto"/>
              </w:rPr>
            </w:pPr>
            <w:r>
              <w:rPr>
                <w:rFonts w:ascii="Arial" w:cs="Arial" w:eastAsia="Arial" w:hAnsi="Arial"/>
                <w:sz w:val="18"/>
                <w:szCs w:val="18"/>
                <w:color w:val="auto"/>
              </w:rPr>
              <w:t>Number of shares as to which Charles P. Coleman III has:</w:t>
            </w:r>
          </w:p>
        </w:tc>
        <w:tc>
          <w:tcPr>
            <w:tcW w:w="2680" w:type="dxa"/>
            <w:vAlign w:val="bottom"/>
          </w:tcPr>
          <w:p>
            <w:pPr>
              <w:spacing w:after="0"/>
              <w:rPr>
                <w:sz w:val="24"/>
                <w:szCs w:val="24"/>
                <w:color w:val="auto"/>
              </w:rPr>
            </w:pPr>
          </w:p>
        </w:tc>
      </w:tr>
      <w:tr>
        <w:trPr>
          <w:trHeight w:val="466"/>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w:t>
            </w:r>
          </w:p>
        </w:tc>
        <w:tc>
          <w:tcPr>
            <w:tcW w:w="64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(ii)</w:t>
            </w:r>
          </w:p>
        </w:tc>
        <w:tc>
          <w:tcPr>
            <w:tcW w:w="64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1,003,680.2</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(iii)</w:t>
            </w:r>
          </w:p>
        </w:tc>
        <w:tc>
          <w:tcPr>
            <w:tcW w:w="648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(iv)</w:t>
            </w:r>
          </w:p>
        </w:tc>
        <w:tc>
          <w:tcPr>
            <w:tcW w:w="64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1,003,680.2</w:t>
            </w:r>
          </w:p>
        </w:tc>
      </w:tr>
      <w:tr>
        <w:trPr>
          <w:trHeight w:val="45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0" w:type="dxa"/>
            <w:vAlign w:val="bottom"/>
            <w:gridSpan w:val="3"/>
          </w:tcPr>
          <w:p>
            <w:pPr>
              <w:ind w:left="600"/>
              <w:spacing w:after="0"/>
              <w:rPr>
                <w:sz w:val="20"/>
                <w:szCs w:val="20"/>
                <w:color w:val="auto"/>
              </w:rPr>
            </w:pPr>
            <w:r>
              <w:rPr>
                <w:rFonts w:ascii="Arial" w:cs="Arial" w:eastAsia="Arial" w:hAnsi="Arial"/>
                <w:sz w:val="18"/>
                <w:szCs w:val="18"/>
                <w:color w:val="auto"/>
              </w:rPr>
              <w:t>Number of shares as to which Scott Shleifer has:</w:t>
            </w:r>
          </w:p>
        </w:tc>
        <w:tc>
          <w:tcPr>
            <w:tcW w:w="2680" w:type="dxa"/>
            <w:vAlign w:val="bottom"/>
          </w:tcPr>
          <w:p>
            <w:pPr>
              <w:spacing w:after="0"/>
              <w:rPr>
                <w:sz w:val="24"/>
                <w:szCs w:val="24"/>
                <w:color w:val="auto"/>
              </w:rPr>
            </w:pPr>
          </w:p>
        </w:tc>
      </w:tr>
      <w:tr>
        <w:trPr>
          <w:trHeight w:val="466"/>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w:t>
            </w:r>
          </w:p>
        </w:tc>
        <w:tc>
          <w:tcPr>
            <w:tcW w:w="64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(ii)</w:t>
            </w:r>
          </w:p>
        </w:tc>
        <w:tc>
          <w:tcPr>
            <w:tcW w:w="64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1,003,680.2</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(iii)</w:t>
            </w:r>
          </w:p>
        </w:tc>
        <w:tc>
          <w:tcPr>
            <w:tcW w:w="648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ind w:left="600"/>
              <w:spacing w:after="0"/>
              <w:rPr>
                <w:sz w:val="20"/>
                <w:szCs w:val="20"/>
                <w:color w:val="auto"/>
              </w:rPr>
            </w:pPr>
            <w:r>
              <w:rPr>
                <w:rFonts w:ascii="Arial" w:cs="Arial" w:eastAsia="Arial" w:hAnsi="Arial"/>
                <w:sz w:val="18"/>
                <w:szCs w:val="18"/>
                <w:color w:val="auto"/>
              </w:rPr>
              <w:t>(iv)</w:t>
            </w:r>
          </w:p>
        </w:tc>
        <w:tc>
          <w:tcPr>
            <w:tcW w:w="64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w:t>
            </w: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1,003,680.2</w:t>
            </w:r>
          </w:p>
        </w:tc>
      </w:tr>
      <w:tr>
        <w:trPr>
          <w:trHeight w:val="459"/>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7940" w:type="dxa"/>
            <w:vAlign w:val="bottom"/>
            <w:gridSpan w:val="4"/>
          </w:tcPr>
          <w:p>
            <w:pPr>
              <w:ind w:left="280"/>
              <w:spacing w:after="0"/>
              <w:rPr>
                <w:sz w:val="20"/>
                <w:szCs w:val="20"/>
                <w:color w:val="auto"/>
              </w:rPr>
            </w:pPr>
            <w:r>
              <w:rPr>
                <w:rFonts w:ascii="Arial" w:cs="Arial" w:eastAsia="Arial" w:hAnsi="Arial"/>
                <w:sz w:val="18"/>
                <w:szCs w:val="18"/>
                <w:color w:val="auto"/>
              </w:rPr>
              <w:t>Ownership of Five Percent or Less of a Class.</w:t>
            </w:r>
          </w:p>
        </w:tc>
        <w:tc>
          <w:tcPr>
            <w:tcW w:w="2680" w:type="dxa"/>
            <w:vAlign w:val="bottom"/>
          </w:tcPr>
          <w:p>
            <w:pPr>
              <w:spacing w:after="0"/>
              <w:rPr>
                <w:sz w:val="24"/>
                <w:szCs w:val="24"/>
                <w:color w:val="auto"/>
              </w:rPr>
            </w:pPr>
          </w:p>
        </w:tc>
      </w:tr>
      <w:tr>
        <w:trPr>
          <w:trHeight w:val="445"/>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80" w:type="dxa"/>
            <w:vAlign w:val="bottom"/>
            <w:gridSpan w:val="4"/>
          </w:tcPr>
          <w:p>
            <w:pPr>
              <w:spacing w:after="0"/>
              <w:rPr>
                <w:sz w:val="20"/>
                <w:szCs w:val="20"/>
                <w:color w:val="auto"/>
              </w:rPr>
            </w:pPr>
            <w:r>
              <w:rPr>
                <w:rFonts w:ascii="Arial" w:cs="Arial" w:eastAsia="Arial" w:hAnsi="Arial"/>
                <w:sz w:val="18"/>
                <w:szCs w:val="18"/>
                <w:color w:val="auto"/>
                <w:w w:val="92"/>
              </w:rPr>
              <w:t>If this statement is being filed to report the fact that as of the date hereof the reporting person has ceased to be the beneficial owner of more</w:t>
            </w:r>
          </w:p>
        </w:tc>
      </w:tr>
      <w:tr>
        <w:trPr>
          <w:trHeight w:val="230"/>
        </w:trPr>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than five percent of the class of securities, check the following [X].</w:t>
            </w:r>
          </w:p>
        </w:tc>
        <w:tc>
          <w:tcPr>
            <w:tcW w:w="2680" w:type="dxa"/>
            <w:vAlign w:val="bottom"/>
          </w:tcPr>
          <w:p>
            <w:pPr>
              <w:spacing w:after="0"/>
              <w:rPr>
                <w:sz w:val="20"/>
                <w:szCs w:val="20"/>
                <w:color w:val="auto"/>
              </w:rPr>
            </w:pPr>
          </w:p>
        </w:tc>
      </w:tr>
      <w:tr>
        <w:trPr>
          <w:trHeight w:val="439"/>
        </w:trPr>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628"/>
        </w:trPr>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10" w:name="page11"/>
    <w:bookmarkEnd w:id="10"/>
    <w:p>
      <w:pPr>
        <w:spacing w:after="0"/>
        <w:tabs>
          <w:tab w:leader="none" w:pos="11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jc w:val="both"/>
        <w:ind w:left="11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52"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8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14605</wp:posOffset>
            </wp:positionV>
            <wp:extent cx="65258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a group has filed this schedule pursuant to §240.13d-1(b)(1)(ii)(J), so indicate under Item 3(j) and attach an exhibit stating the identity and</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Item 3 classification of each member of the group.  If a group has filed this schedule pursuant to §240.13d-1(c) or §240.13d-1(d), attach an</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exhibit stating the identity of each member of the group.</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65258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25895"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040"/>
        <w:spacing w:after="0" w:line="308" w:lineRule="auto"/>
        <w:rPr>
          <w:sz w:val="20"/>
          <w:szCs w:val="20"/>
          <w:color w:val="auto"/>
        </w:rPr>
      </w:pPr>
      <w:r>
        <w:rPr>
          <w:rFonts w:ascii="Arial" w:cs="Arial" w:eastAsia="Arial" w:hAnsi="Arial"/>
          <w:sz w:val="17"/>
          <w:szCs w:val="17"/>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4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14605</wp:posOffset>
            </wp:positionV>
            <wp:extent cx="65862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52" w:lineRule="exact"/>
        <w:rPr>
          <w:sz w:val="20"/>
          <w:szCs w:val="20"/>
          <w:color w:val="auto"/>
        </w:rPr>
      </w:pPr>
    </w:p>
    <w:p>
      <w:pPr>
        <w:jc w:val="both"/>
        <w:ind w:left="12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0" w:type="dxa"/>
            <w:vAlign w:val="bottom"/>
          </w:tcPr>
          <w:p>
            <w:pPr>
              <w:spacing w:after="0"/>
              <w:rPr>
                <w:sz w:val="20"/>
                <w:szCs w:val="20"/>
                <w:color w:val="auto"/>
              </w:rPr>
            </w:pPr>
          </w:p>
        </w:tc>
        <w:tc>
          <w:tcPr>
            <w:tcW w:w="58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February 14, 2017</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60" w:type="dxa"/>
            <w:vAlign w:val="bottom"/>
          </w:tcPr>
          <w:p>
            <w:pPr>
              <w:ind w:left="82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377"/>
        </w:trPr>
        <w:tc>
          <w:tcPr>
            <w:tcW w:w="5600" w:type="dxa"/>
            <w:vAlign w:val="bottom"/>
          </w:tcPr>
          <w:p>
            <w:pPr>
              <w:spacing w:after="0"/>
              <w:rPr>
                <w:sz w:val="20"/>
                <w:szCs w:val="20"/>
                <w:color w:val="auto"/>
              </w:rPr>
            </w:pPr>
            <w:r>
              <w:rPr>
                <w:rFonts w:ascii="Arial" w:cs="Arial" w:eastAsia="Arial" w:hAnsi="Arial"/>
                <w:sz w:val="18"/>
                <w:szCs w:val="18"/>
                <w:color w:val="auto"/>
              </w:rPr>
              <w:t>Tiger Global Investments, L.P.</w:t>
            </w:r>
          </w:p>
        </w:tc>
        <w:tc>
          <w:tcPr>
            <w:tcW w:w="5820" w:type="dxa"/>
            <w:vAlign w:val="bottom"/>
            <w:gridSpan w:val="4"/>
          </w:tcPr>
          <w:p>
            <w:pPr>
              <w:spacing w:after="0"/>
              <w:rPr>
                <w:sz w:val="20"/>
                <w:szCs w:val="20"/>
                <w:color w:val="auto"/>
              </w:rPr>
            </w:pPr>
            <w:r>
              <w:rPr>
                <w:rFonts w:ascii="Arial" w:cs="Arial" w:eastAsia="Arial" w:hAnsi="Arial"/>
                <w:sz w:val="18"/>
                <w:szCs w:val="18"/>
                <w:color w:val="auto"/>
              </w:rPr>
              <w:t>/s/ Anil L. Crasto</w:t>
            </w:r>
          </w:p>
        </w:tc>
        <w:tc>
          <w:tcPr>
            <w:tcW w:w="0" w:type="dxa"/>
            <w:vAlign w:val="bottom"/>
          </w:tcPr>
          <w:p>
            <w:pPr>
              <w:spacing w:after="0"/>
              <w:rPr>
                <w:sz w:val="1"/>
                <w:szCs w:val="1"/>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By Tiger Global Performance, LLC</w:t>
            </w: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45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Its General Partner</w:t>
            </w:r>
          </w:p>
        </w:tc>
        <w:tc>
          <w:tcPr>
            <w:tcW w:w="5820" w:type="dxa"/>
            <w:vAlign w:val="bottom"/>
            <w:gridSpan w:val="4"/>
            <w:vMerge w:val="restart"/>
          </w:tcPr>
          <w:p>
            <w:pPr>
              <w:spacing w:after="0"/>
              <w:rPr>
                <w:sz w:val="20"/>
                <w:szCs w:val="20"/>
                <w:color w:val="auto"/>
              </w:rPr>
            </w:pPr>
            <w:r>
              <w:rPr>
                <w:rFonts w:ascii="Arial" w:cs="Arial" w:eastAsia="Arial" w:hAnsi="Arial"/>
                <w:sz w:val="18"/>
                <w:szCs w:val="18"/>
                <w:color w:val="auto"/>
              </w:rPr>
              <w:t>Anil L. Crasto</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58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color w:val="auto"/>
              </w:rPr>
              <w:t>Tiger Global Performance, LLC</w:t>
            </w:r>
          </w:p>
        </w:tc>
        <w:tc>
          <w:tcPr>
            <w:tcW w:w="5820" w:type="dxa"/>
            <w:vAlign w:val="bottom"/>
            <w:gridSpan w:val="4"/>
          </w:tcPr>
          <w:p>
            <w:pPr>
              <w:spacing w:after="0"/>
              <w:rPr>
                <w:sz w:val="20"/>
                <w:szCs w:val="20"/>
                <w:color w:val="auto"/>
              </w:rPr>
            </w:pPr>
            <w:r>
              <w:rPr>
                <w:rFonts w:ascii="Arial" w:cs="Arial" w:eastAsia="Arial" w:hAnsi="Arial"/>
                <w:sz w:val="18"/>
                <w:szCs w:val="18"/>
                <w:color w:val="auto"/>
              </w:rPr>
              <w:t>/s/ Anil L. Crasto</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4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00" w:type="dxa"/>
            <w:vAlign w:val="bottom"/>
          </w:tcPr>
          <w:p>
            <w:pPr>
              <w:spacing w:after="0"/>
              <w:rPr>
                <w:sz w:val="24"/>
                <w:szCs w:val="24"/>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Anil L. Crasto</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color w:val="auto"/>
              </w:rPr>
              <w:t>Tiger Global Management, LLC</w:t>
            </w:r>
          </w:p>
        </w:tc>
        <w:tc>
          <w:tcPr>
            <w:tcW w:w="5820" w:type="dxa"/>
            <w:vAlign w:val="bottom"/>
            <w:gridSpan w:val="4"/>
          </w:tcPr>
          <w:p>
            <w:pPr>
              <w:spacing w:after="0"/>
              <w:rPr>
                <w:sz w:val="20"/>
                <w:szCs w:val="20"/>
                <w:color w:val="auto"/>
              </w:rPr>
            </w:pPr>
            <w:r>
              <w:rPr>
                <w:rFonts w:ascii="Arial" w:cs="Arial" w:eastAsia="Arial" w:hAnsi="Arial"/>
                <w:sz w:val="18"/>
                <w:szCs w:val="18"/>
                <w:color w:val="auto"/>
              </w:rPr>
              <w:t>/s/ Anil L. Crasto</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45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00" w:type="dxa"/>
            <w:vAlign w:val="bottom"/>
          </w:tcPr>
          <w:p>
            <w:pPr>
              <w:spacing w:after="0"/>
              <w:rPr>
                <w:sz w:val="24"/>
                <w:szCs w:val="24"/>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Anil L. Crasto</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color w:val="auto"/>
              </w:rPr>
              <w:t>Charles P. Coleman III</w:t>
            </w:r>
          </w:p>
        </w:tc>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 Charles P. Coleman III</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color w:val="auto"/>
              </w:rPr>
              <w:t>Scott Shleifer</w:t>
            </w: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Scott Shleifer</w:t>
            </w:r>
          </w:p>
        </w:tc>
        <w:tc>
          <w:tcPr>
            <w:tcW w:w="46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669"/>
        </w:trPr>
        <w:tc>
          <w:tcPr>
            <w:tcW w:w="5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13G Amendment dated February 14, 2017 relating to the Class A Ordinary Shares, par value $0.0001 per share of Vipshop Holdings Limited shall be filed on behalf of the undersigned.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20"/>
                <w:szCs w:val="20"/>
                <w:color w:val="auto"/>
              </w:rPr>
            </w:pPr>
            <w:r>
              <w:rPr>
                <w:rFonts w:ascii="Arial" w:cs="Arial" w:eastAsia="Arial" w:hAnsi="Arial"/>
                <w:sz w:val="18"/>
                <w:szCs w:val="18"/>
                <w:color w:val="auto"/>
              </w:rPr>
              <w:t>Tiger Global Investments, L.P.</w:t>
            </w:r>
          </w:p>
        </w:tc>
        <w:tc>
          <w:tcPr>
            <w:tcW w:w="1860" w:type="dxa"/>
            <w:vAlign w:val="bottom"/>
            <w:gridSpan w:val="3"/>
          </w:tcPr>
          <w:p>
            <w:pPr>
              <w:spacing w:after="0"/>
              <w:rPr>
                <w:sz w:val="20"/>
                <w:szCs w:val="20"/>
                <w:color w:val="auto"/>
              </w:rPr>
            </w:pPr>
            <w:r>
              <w:rPr>
                <w:rFonts w:ascii="Arial" w:cs="Arial" w:eastAsia="Arial" w:hAnsi="Arial"/>
                <w:sz w:val="18"/>
                <w:szCs w:val="18"/>
                <w:color w:val="auto"/>
              </w:rPr>
              <w:t>/s/ Anil L. Crasto</w:t>
            </w:r>
          </w:p>
        </w:tc>
        <w:tc>
          <w:tcPr>
            <w:tcW w:w="0" w:type="dxa"/>
            <w:vAlign w:val="bottom"/>
          </w:tcPr>
          <w:p>
            <w:pPr>
              <w:spacing w:after="0"/>
              <w:rPr>
                <w:sz w:val="1"/>
                <w:szCs w:val="1"/>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By Tiger Global Performance, LLC</w:t>
            </w: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Its General Partner</w:t>
            </w:r>
          </w:p>
        </w:tc>
        <w:tc>
          <w:tcPr>
            <w:tcW w:w="1860" w:type="dxa"/>
            <w:vAlign w:val="bottom"/>
            <w:gridSpan w:val="3"/>
            <w:vMerge w:val="restart"/>
          </w:tcPr>
          <w:p>
            <w:pPr>
              <w:spacing w:after="0"/>
              <w:rPr>
                <w:sz w:val="20"/>
                <w:szCs w:val="20"/>
                <w:color w:val="auto"/>
              </w:rPr>
            </w:pPr>
            <w:r>
              <w:rPr>
                <w:rFonts w:ascii="Arial" w:cs="Arial" w:eastAsia="Arial" w:hAnsi="Arial"/>
                <w:sz w:val="18"/>
                <w:szCs w:val="18"/>
                <w:color w:val="auto"/>
              </w:rPr>
              <w:t>Anil L. Crasto</w:t>
            </w:r>
          </w:p>
        </w:tc>
        <w:tc>
          <w:tcPr>
            <w:tcW w:w="0" w:type="dxa"/>
            <w:vAlign w:val="bottom"/>
          </w:tcPr>
          <w:p>
            <w:pPr>
              <w:spacing w:after="0"/>
              <w:rPr>
                <w:sz w:val="1"/>
                <w:szCs w:val="1"/>
                <w:color w:val="auto"/>
              </w:rPr>
            </w:pPr>
          </w:p>
        </w:tc>
      </w:tr>
      <w:tr>
        <w:trPr>
          <w:trHeight w:val="202"/>
        </w:trPr>
        <w:tc>
          <w:tcPr>
            <w:tcW w:w="56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w w:val="99"/>
              </w:rPr>
              <w:t>Chief Operating Officer</w:t>
            </w: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color w:val="auto"/>
              </w:rPr>
              <w:t>Tiger Global Performance, LLC</w:t>
            </w:r>
          </w:p>
        </w:tc>
        <w:tc>
          <w:tcPr>
            <w:tcW w:w="1860" w:type="dxa"/>
            <w:vAlign w:val="bottom"/>
            <w:gridSpan w:val="3"/>
          </w:tcPr>
          <w:p>
            <w:pPr>
              <w:spacing w:after="0"/>
              <w:rPr>
                <w:sz w:val="20"/>
                <w:szCs w:val="20"/>
                <w:color w:val="auto"/>
              </w:rPr>
            </w:pPr>
            <w:r>
              <w:rPr>
                <w:rFonts w:ascii="Arial" w:cs="Arial" w:eastAsia="Arial" w:hAnsi="Arial"/>
                <w:sz w:val="18"/>
                <w:szCs w:val="18"/>
                <w:color w:val="auto"/>
              </w:rPr>
              <w:t>/s/ Anil L. Crasto</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Anil L. Crasto</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w w:val="99"/>
              </w:rPr>
              <w:t>Chief Operating Officer</w:t>
            </w: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color w:val="auto"/>
              </w:rPr>
              <w:t>Tiger Global Management, LLC</w:t>
            </w:r>
          </w:p>
        </w:tc>
        <w:tc>
          <w:tcPr>
            <w:tcW w:w="1860" w:type="dxa"/>
            <w:vAlign w:val="bottom"/>
            <w:gridSpan w:val="3"/>
          </w:tcPr>
          <w:p>
            <w:pPr>
              <w:spacing w:after="0"/>
              <w:rPr>
                <w:sz w:val="20"/>
                <w:szCs w:val="20"/>
                <w:color w:val="auto"/>
              </w:rPr>
            </w:pPr>
            <w:r>
              <w:rPr>
                <w:rFonts w:ascii="Arial" w:cs="Arial" w:eastAsia="Arial" w:hAnsi="Arial"/>
                <w:sz w:val="18"/>
                <w:szCs w:val="18"/>
                <w:color w:val="auto"/>
              </w:rPr>
              <w:t>/s/ Anil L. Crasto</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Signature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600" w:type="dxa"/>
            <w:vAlign w:val="bottom"/>
          </w:tcPr>
          <w:p>
            <w:pPr>
              <w:spacing w:after="0"/>
              <w:rPr>
                <w:sz w:val="24"/>
                <w:szCs w:val="24"/>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Anil L. Crasto</w:t>
            </w: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w w:val="99"/>
              </w:rPr>
              <w:t>Chief Operating Officer</w:t>
            </w: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color w:val="auto"/>
              </w:rPr>
              <w:t>Charles P. Coleman III</w:t>
            </w:r>
          </w:p>
        </w:tc>
        <w:tc>
          <w:tcPr>
            <w:tcW w:w="1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/s/ Charles P. Coleman III</w:t>
            </w: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392"/>
        </w:trPr>
        <w:tc>
          <w:tcPr>
            <w:tcW w:w="5600" w:type="dxa"/>
            <w:vAlign w:val="bottom"/>
          </w:tcPr>
          <w:p>
            <w:pPr>
              <w:spacing w:after="0"/>
              <w:rPr>
                <w:sz w:val="20"/>
                <w:szCs w:val="20"/>
                <w:color w:val="auto"/>
              </w:rPr>
            </w:pPr>
            <w:r>
              <w:rPr>
                <w:rFonts w:ascii="Arial" w:cs="Arial" w:eastAsia="Arial" w:hAnsi="Arial"/>
                <w:sz w:val="18"/>
                <w:szCs w:val="18"/>
                <w:color w:val="auto"/>
              </w:rPr>
              <w:t>Scott Shleifer</w:t>
            </w:r>
          </w:p>
        </w:tc>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Scott Shleifer</w:t>
            </w:r>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86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SK 03559 0004 7410518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3"/>
    </w:lvl>
  </w:abstractNum>
  <w:abstractNum w:abstractNumId="3">
    <w:nsid w:val="4E6AFB66"/>
    <w:multiLevelType w:val="hybridMultilevel"/>
    <w:lvl w:ilvl="0">
      <w:lvlJc w:val="left"/>
      <w:lvlText w:val="%1."/>
      <w:numFmt w:val="decimal"/>
      <w:start w:val="5"/>
    </w:lvl>
  </w:abstractNum>
  <w:abstractNum w:abstractNumId="4">
    <w:nsid w:val="25E45D32"/>
    <w:multiLevelType w:val="hybridMultilevel"/>
    <w:lvl w:ilvl="0">
      <w:lvlJc w:val="left"/>
      <w:lvlText w:val="%1."/>
      <w:numFmt w:val="decimal"/>
      <w:start w:val="11"/>
    </w:lvl>
  </w:abstractNum>
  <w:abstractNum w:abstractNumId="5">
    <w:nsid w:val="519B500D"/>
    <w:multiLevelType w:val="hybridMultilevel"/>
    <w:lvl w:ilvl="0">
      <w:lvlJc w:val="left"/>
      <w:lvlText w:val="2"/>
      <w:numFmt w:val="bullet"/>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3"/>
    </w:lvl>
  </w:abstractNum>
  <w:abstractNum w:abstractNumId="8">
    <w:nsid w:val="7C83E458"/>
    <w:multiLevelType w:val="hybridMultilevel"/>
    <w:lvl w:ilvl="0">
      <w:lvlJc w:val="left"/>
      <w:lvlText w:val="%1."/>
      <w:numFmt w:val="decimal"/>
      <w:start w:val="5"/>
    </w:lvl>
  </w:abstractNum>
  <w:abstractNum w:abstractNumId="9">
    <w:nsid w:val="257130A3"/>
    <w:multiLevelType w:val="hybridMultilevel"/>
    <w:lvl w:ilvl="0">
      <w:lvlJc w:val="left"/>
      <w:lvlText w:val="%1."/>
      <w:numFmt w:val="decimal"/>
      <w:start w:val="11"/>
    </w:lvl>
  </w:abstractNum>
  <w:abstractNum w:abstractNumId="10">
    <w:nsid w:val="62BBD95A"/>
    <w:multiLevelType w:val="hybridMultilevel"/>
    <w:lvl w:ilvl="0">
      <w:lvlJc w:val="left"/>
      <w:lvlText w:val="3"/>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3"/>
    </w:lvl>
  </w:abstractNum>
  <w:abstractNum w:abstractNumId="13">
    <w:nsid w:val="333AB105"/>
    <w:multiLevelType w:val="hybridMultilevel"/>
    <w:lvl w:ilvl="0">
      <w:lvlJc w:val="left"/>
      <w:lvlText w:val="%1."/>
      <w:numFmt w:val="decimal"/>
      <w:start w:val="5"/>
    </w:lvl>
  </w:abstractNum>
  <w:abstractNum w:abstractNumId="14">
    <w:nsid w:val="721DA317"/>
    <w:multiLevelType w:val="hybridMultilevel"/>
    <w:lvl w:ilvl="0">
      <w:lvlJc w:val="left"/>
      <w:lvlText w:val="%1."/>
      <w:numFmt w:val="decimal"/>
      <w:start w:val="11"/>
    </w:lvl>
  </w:abstractNum>
  <w:abstractNum w:abstractNumId="15">
    <w:nsid w:val="2443A858"/>
    <w:multiLevelType w:val="hybridMultilevel"/>
    <w:lvl w:ilvl="0">
      <w:lvlJc w:val="left"/>
      <w:lvlText w:val="4"/>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3"/>
    </w:lvl>
  </w:abstractNum>
  <w:abstractNum w:abstractNumId="18">
    <w:nsid w:val="75A2A8D4"/>
    <w:multiLevelType w:val="hybridMultilevel"/>
    <w:lvl w:ilvl="0">
      <w:lvlJc w:val="left"/>
      <w:lvlText w:val="%1."/>
      <w:numFmt w:val="decimal"/>
      <w:start w:val="5"/>
    </w:lvl>
  </w:abstractNum>
  <w:abstractNum w:abstractNumId="19">
    <w:nsid w:val="8EDBDAB"/>
    <w:multiLevelType w:val="hybridMultilevel"/>
    <w:lvl w:ilvl="0">
      <w:lvlJc w:val="left"/>
      <w:lvlText w:val="%1."/>
      <w:numFmt w:val="decimal"/>
      <w:start w:val="11"/>
    </w:lvl>
  </w:abstractNum>
  <w:abstractNum w:abstractNumId="20">
    <w:nsid w:val="79838CB2"/>
    <w:multiLevelType w:val="hybridMultilevel"/>
    <w:lvl w:ilvl="0">
      <w:lvlJc w:val="left"/>
      <w:lvlText w:val="5"/>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3"/>
    </w:lvl>
  </w:abstractNum>
  <w:abstractNum w:abstractNumId="23">
    <w:nsid w:val="189A769B"/>
    <w:multiLevelType w:val="hybridMultilevel"/>
    <w:lvl w:ilvl="0">
      <w:lvlJc w:val="left"/>
      <w:lvlText w:val="%1."/>
      <w:numFmt w:val="decimal"/>
      <w:start w:val="5"/>
    </w:lvl>
  </w:abstractNum>
  <w:abstractNum w:abstractNumId="24">
    <w:nsid w:val="54E49EB4"/>
    <w:multiLevelType w:val="hybridMultilevel"/>
    <w:lvl w:ilvl="0">
      <w:lvlJc w:val="left"/>
      <w:lvlText w:val="%1."/>
      <w:numFmt w:val="decimal"/>
      <w:start w:val="11"/>
    </w:lvl>
  </w:abstractNum>
  <w:abstractNum w:abstractNumId="25">
    <w:nsid w:val="71F32454"/>
    <w:multiLevelType w:val="hybridMultilevel"/>
    <w:lvl w:ilvl="0">
      <w:lvlJc w:val="left"/>
      <w:lvlText w:val="6"/>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2019-12-16T09:44:02Z</dcterms:created>
  <dcterms:modified xsi:type="dcterms:W3CDTF">2019-12-16T09:44:02Z</dcterms:modified>
</cp:coreProperties>
</file>