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159385</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TO</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1)</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(RULE 14d-100)</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150495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VIPSHOP HOLDINGS LIMITED</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Subject Company (Issuer))</w:t>
      </w:r>
    </w:p>
    <w:p>
      <w:pPr>
        <w:spacing w:after="0" w:line="10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VIPSHOP HOLDINGS LIMITED</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Filing Person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159385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1.50% Convertible Senior Notes due 2019</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12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92763WAA1</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Donghao Yang</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Vipshop Holdings Limited</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 20 Huahai Street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Liwan District, Guangzhou 510370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+86 (20) 2233-0000</w:t>
      </w:r>
    </w:p>
    <w:p>
      <w:pPr>
        <w:spacing w:after="0" w:line="1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with copy to:</w:t>
      </w:r>
    </w:p>
    <w:p>
      <w:pPr>
        <w:spacing w:after="0" w:line="1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Z. Julie Gao, Esq.</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42/F, Edinburgh Tower, The Landmark</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15 Queen’s Road, Central</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Hong Kong</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+852 3740-4700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address and telephone number of person authorized to receive notices and communications on behalf of the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980" w:type="dxa"/>
            <w:vAlign w:val="bottom"/>
          </w:tcPr>
          <w:p>
            <w:pPr>
              <w:spacing w:after="0"/>
              <w:rPr>
                <w:sz w:val="18"/>
                <w:szCs w:val="18"/>
                <w:color w:val="auto"/>
              </w:rPr>
            </w:pPr>
          </w:p>
        </w:tc>
        <w:tc>
          <w:tcPr>
            <w:tcW w:w="7340" w:type="dxa"/>
            <w:vAlign w:val="bottom"/>
            <w:gridSpan w:val="3"/>
          </w:tcPr>
          <w:p>
            <w:pPr>
              <w:ind w:left="320"/>
              <w:spacing w:after="0"/>
              <w:rPr>
                <w:sz w:val="20"/>
                <w:szCs w:val="20"/>
                <w:color w:val="auto"/>
              </w:rPr>
            </w:pPr>
            <w:r>
              <w:rPr>
                <w:rFonts w:ascii="Arial" w:cs="Arial" w:eastAsia="Arial" w:hAnsi="Arial"/>
                <w:sz w:val="18"/>
                <w:szCs w:val="18"/>
                <w:b w:val="1"/>
                <w:bCs w:val="1"/>
                <w:color w:val="auto"/>
              </w:rPr>
              <w:t>CALCULATION OF FILING FEE</w:t>
            </w:r>
          </w:p>
        </w:tc>
      </w:tr>
      <w:tr>
        <w:trPr>
          <w:trHeight w:val="171"/>
        </w:trPr>
        <w:tc>
          <w:tcPr>
            <w:tcW w:w="39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Transaction Valuation</w:t>
            </w:r>
          </w:p>
        </w:tc>
        <w:tc>
          <w:tcPr>
            <w:tcW w:w="1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Amount of Filing Fee</w:t>
            </w:r>
          </w:p>
        </w:tc>
      </w:tr>
      <w:tr>
        <w:trPr>
          <w:trHeight w:val="298"/>
        </w:trPr>
        <w:tc>
          <w:tcPr>
            <w:tcW w:w="3980" w:type="dxa"/>
            <w:vAlign w:val="bottom"/>
          </w:tcPr>
          <w:p>
            <w:pPr>
              <w:ind w:left="2280"/>
              <w:spacing w:after="0"/>
              <w:rPr>
                <w:sz w:val="20"/>
                <w:szCs w:val="20"/>
                <w:color w:val="auto"/>
              </w:rPr>
            </w:pPr>
            <w:r>
              <w:rPr>
                <w:rFonts w:ascii="Arial" w:cs="Arial" w:eastAsia="Arial" w:hAnsi="Arial"/>
                <w:sz w:val="18"/>
                <w:szCs w:val="18"/>
                <w:color w:val="auto"/>
              </w:rPr>
              <w:t>US$632,500,000</w:t>
            </w:r>
            <w:r>
              <w:rPr>
                <w:rFonts w:ascii="Arial" w:cs="Arial" w:eastAsia="Arial" w:hAnsi="Arial"/>
                <w:sz w:val="23"/>
                <w:szCs w:val="23"/>
                <w:color w:val="auto"/>
                <w:vertAlign w:val="superscript"/>
              </w:rPr>
              <w:t>(1)</w:t>
            </w: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8"/>
              </w:rPr>
              <w:t>US$73,306.75</w:t>
            </w:r>
            <w:r>
              <w:rPr>
                <w:rFonts w:ascii="Arial" w:cs="Arial" w:eastAsia="Arial" w:hAnsi="Arial"/>
                <w:sz w:val="23"/>
                <w:szCs w:val="23"/>
                <w:color w:val="auto"/>
                <w:w w:val="88"/>
                <w:vertAlign w:val="superscript"/>
              </w:rPr>
              <w:t>(2)</w:t>
            </w:r>
          </w:p>
        </w:tc>
      </w:tr>
    </w:tbl>
    <w:p>
      <w:pPr>
        <w:spacing w:after="0" w:line="32" w:lineRule="exact"/>
        <w:rPr>
          <w:sz w:val="24"/>
          <w:szCs w:val="24"/>
          <w:color w:val="auto"/>
        </w:rPr>
      </w:pPr>
    </w:p>
    <w:p>
      <w:pPr>
        <w:ind w:left="340" w:right="300" w:hanging="332"/>
        <w:spacing w:after="0" w:line="312" w:lineRule="auto"/>
        <w:tabs>
          <w:tab w:leader="none" w:pos="347"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solely for purposes of determining the filing fee. The purchase price of the 1.50% Convertible Senior Notes due 2019 (the “Notes”), as described herein, is US$1,000 per US$1,000 principal amount outstanding. As of February 22, 2017, there was US$632,500,000 aggregate principal amount of Notes outstanding, resulting in an aggregate maximum purchase price of US$632,500,000 (excluding accrued but unpaid interest).</w:t>
      </w:r>
    </w:p>
    <w:p>
      <w:pPr>
        <w:spacing w:after="0" w:line="65" w:lineRule="exact"/>
        <w:rPr>
          <w:rFonts w:ascii="Arial" w:cs="Arial" w:eastAsia="Arial" w:hAnsi="Arial"/>
          <w:sz w:val="16"/>
          <w:szCs w:val="16"/>
          <w:color w:val="auto"/>
        </w:rPr>
      </w:pPr>
    </w:p>
    <w:p>
      <w:pPr>
        <w:ind w:left="340" w:right="40" w:hanging="332"/>
        <w:spacing w:after="0" w:line="277" w:lineRule="auto"/>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was previously paid. The amount of the filing fee was calculated in accordance with Rule 0-11 of the Securities Exchange Act of 1934, as amended, and equals US$115.90 for each US$1,000,000 of the value of the transaction.</w:t>
      </w:r>
    </w:p>
    <w:p>
      <w:pPr>
        <w:spacing w:after="0" w:line="89" w:lineRule="exact"/>
        <w:rPr>
          <w:sz w:val="24"/>
          <w:szCs w:val="24"/>
          <w:color w:val="auto"/>
        </w:rPr>
      </w:pPr>
    </w:p>
    <w:p>
      <w:pPr>
        <w:ind w:left="340" w:right="380" w:hanging="332"/>
        <w:spacing w:after="0" w:line="277" w:lineRule="auto"/>
        <w:tabs>
          <w:tab w:leader="none" w:pos="268"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320"/>
          </w:cols>
          <w:pgMar w:left="240" w:top="557" w:right="339" w:bottom="0" w:gutter="0" w:footer="0" w:header="0"/>
        </w:sectPr>
      </w:pPr>
    </w:p>
    <w:p>
      <w:pPr>
        <w:spacing w:after="0" w:line="89" w:lineRule="exact"/>
        <w:rPr>
          <w:sz w:val="24"/>
          <w:szCs w:val="24"/>
          <w:color w:val="auto"/>
        </w:rPr>
      </w:pPr>
    </w:p>
    <w:p>
      <w:pPr>
        <w:ind w:left="660"/>
        <w:spacing w:after="0"/>
        <w:rPr>
          <w:sz w:val="20"/>
          <w:szCs w:val="20"/>
          <w:color w:val="auto"/>
        </w:rPr>
      </w:pPr>
      <w:r>
        <w:rPr>
          <w:rFonts w:ascii="Arial" w:cs="Arial" w:eastAsia="Arial" w:hAnsi="Arial"/>
          <w:sz w:val="17"/>
          <w:szCs w:val="17"/>
          <w:color w:val="auto"/>
        </w:rPr>
        <w:t>Amount Previously Paid:</w:t>
      </w:r>
    </w:p>
    <w:p>
      <w:pPr>
        <w:spacing w:after="0" w:line="3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Form or Registration No.:</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7"/>
          <w:szCs w:val="17"/>
          <w:color w:val="auto"/>
        </w:rPr>
        <w:t>Filing Party:</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152" w:lineRule="exact"/>
        <w:rPr>
          <w:sz w:val="24"/>
          <w:szCs w:val="24"/>
          <w:color w:val="auto"/>
        </w:rPr>
      </w:pPr>
    </w:p>
    <w:p>
      <w:pPr>
        <w:sectPr>
          <w:pgSz w:w="11900" w:h="16838" w:orient="portrait"/>
          <w:cols w:equalWidth="0" w:num="4">
            <w:col w:w="2520" w:space="600"/>
            <w:col w:w="1900" w:space="720"/>
            <w:col w:w="900" w:space="340"/>
            <w:col w:w="4340"/>
          </w:cols>
          <w:pgMar w:left="240" w:top="557" w:right="339" w:bottom="0" w:gutter="0" w:footer="0" w:header="0"/>
          <w:type w:val="continuous"/>
        </w:sectPr>
      </w:pPr>
    </w:p>
    <w:p>
      <w:pPr>
        <w:ind w:right="2160" w:firstLine="8"/>
        <w:spacing w:after="0" w:line="277" w:lineRule="auto"/>
        <w:tabs>
          <w:tab w:leader="none" w:pos="3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to designate any transactions to which the statement relates:</w:t>
      </w:r>
    </w:p>
    <w:p>
      <w:pPr>
        <w:spacing w:after="0" w:line="89" w:lineRule="exact"/>
        <w:rPr>
          <w:sz w:val="24"/>
          <w:szCs w:val="24"/>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third-party tender offer subject to Rule 14d-1.</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issuer tender offer subject to Rule 13e-4.</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ectPr>
          <w:pgSz w:w="11900" w:h="16838" w:orient="portrait"/>
          <w:cols w:equalWidth="0" w:num="1">
            <w:col w:w="11320"/>
          </w:cols>
          <w:pgMar w:left="240" w:top="557"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144"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13e-4(i) (Cross-Border Issuer Tender Offer)</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91440</wp:posOffset>
            </wp:positionV>
            <wp:extent cx="7315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5200" cy="8890"/>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134620</wp:posOffset>
            </wp:positionV>
            <wp:extent cx="731520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520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321310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INTRODUCTORY STATEMENT</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This Amendment No. 1 to Schedule TO (this “Amendment”) amends and supplements the Tender Offer Statement on Schedule TO filed by Vipshop Holdings Limited (the “Company”) on February 14, 2017 (the “Schedule TO”), relating to the Company’s 1.50% Convertible Senior Notes due 2019 (the “Notes”). This Amendment relates to the right of each holder (the “Holder”) of the Notes to sell, and the obligation of the Company to purchase, the Notes, as set forth in the Company’s Put Right Notice to the Holders dated February 14, 2017 (the “Put Right Notice”) and the related notice materials filed as exhibits to the Schedule TO (which Put Right Notice and related notice materials, as amended or supplemented from time to time, collectively constitute the “Put Option”). The information contained in the Schedule TO, including the Put Right Notice, as supplemented and amended by the information contained in Items 1 and 4 below, is incorporated herein by reference. Except as specifically provided herein, this Amendment No. 1 does not modify any of the information previously reported on the Schedule TO.</w:t>
      </w:r>
    </w:p>
    <w:p>
      <w:pPr>
        <w:spacing w:after="0" w:line="19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This Amendment No. 1 amends and supplements the Schedule TO as set forth below and is intended to satisfy the disclosure requirements of Rule 13e-4(c)(3) under the Securities Exchange Act of 1934, as amended.</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SUMMARY TERM SHEET.</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Item 1 of the Schedule TO and the Summary Term Sheet contained in the Put Right Notice are hereby amended and supplemented to include the following information:</w:t>
      </w:r>
    </w:p>
    <w:p>
      <w:pPr>
        <w:spacing w:after="0" w:line="170"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 xml:space="preserve">Your right to exercise the Put Right, which was previously set to expire at 5:00 p.m., New York City time, on Monday, March 13, 2017, will now expire at 11:59 p.m., New York City time, on Tuesday, March 14, 2017 (the “Expiration Date”). The deadline for the exercise of the right to withdraw a previous exercise of the Put Right, which was previously set at 5:00 p.m., New York City time, on Tuesday, March 14, 2017, will now also be 11:59 p.m., New York City time, on Tuesday, March 14, 2017. The 2017 Repurchase Price, which is equal to </w:t>
      </w:r>
      <w:r>
        <w:rPr>
          <w:rFonts w:ascii="Arial" w:cs="Arial" w:eastAsia="Arial" w:hAnsi="Arial"/>
          <w:sz w:val="15"/>
          <w:szCs w:val="15"/>
          <w:color w:val="auto"/>
        </w:rPr>
        <w:t>100% of the principal amount of the Notes,</w:t>
      </w:r>
      <w:r>
        <w:rPr>
          <w:rFonts w:ascii="Arial" w:cs="Arial" w:eastAsia="Arial" w:hAnsi="Arial"/>
          <w:sz w:val="16"/>
          <w:szCs w:val="16"/>
          <w:color w:val="auto"/>
        </w:rPr>
        <w:t xml:space="preserve"> </w:t>
      </w:r>
      <w:r>
        <w:rPr>
          <w:rFonts w:ascii="Arial" w:cs="Arial" w:eastAsia="Arial" w:hAnsi="Arial"/>
          <w:sz w:val="15"/>
          <w:szCs w:val="15"/>
          <w:i w:val="1"/>
          <w:iCs w:val="1"/>
          <w:color w:val="auto"/>
        </w:rPr>
        <w:t>plus</w:t>
      </w:r>
      <w:r>
        <w:rPr>
          <w:rFonts w:ascii="Arial" w:cs="Arial" w:eastAsia="Arial" w:hAnsi="Arial"/>
          <w:sz w:val="16"/>
          <w:szCs w:val="16"/>
          <w:color w:val="auto"/>
        </w:rPr>
        <w:t xml:space="preserve"> </w:t>
      </w:r>
      <w:r>
        <w:rPr>
          <w:rFonts w:ascii="Arial" w:cs="Arial" w:eastAsia="Arial" w:hAnsi="Arial"/>
          <w:sz w:val="15"/>
          <w:szCs w:val="15"/>
          <w:color w:val="auto"/>
        </w:rPr>
        <w:t>any accrued</w:t>
      </w:r>
      <w:r>
        <w:rPr>
          <w:rFonts w:ascii="Arial" w:cs="Arial" w:eastAsia="Arial" w:hAnsi="Arial"/>
          <w:sz w:val="16"/>
          <w:szCs w:val="16"/>
          <w:color w:val="auto"/>
        </w:rPr>
        <w:t xml:space="preserve"> </w:t>
      </w:r>
      <w:r>
        <w:rPr>
          <w:rFonts w:ascii="Arial" w:cs="Arial" w:eastAsia="Arial" w:hAnsi="Arial"/>
          <w:sz w:val="15"/>
          <w:szCs w:val="15"/>
          <w:color w:val="auto"/>
        </w:rPr>
        <w:t xml:space="preserve">and unpaid interest to, but not including, March 15, 2017, </w:t>
      </w:r>
      <w:r>
        <w:rPr>
          <w:rFonts w:ascii="Arial" w:cs="Arial" w:eastAsia="Arial" w:hAnsi="Arial"/>
          <w:sz w:val="16"/>
          <w:szCs w:val="16"/>
          <w:color w:val="auto"/>
        </w:rPr>
        <w:t>will be paid in cash with respect to any and all Notes validly surrendered for repurchase and not</w:t>
      </w:r>
      <w:r>
        <w:rPr>
          <w:rFonts w:ascii="Arial" w:cs="Arial" w:eastAsia="Arial" w:hAnsi="Arial"/>
          <w:sz w:val="15"/>
          <w:szCs w:val="15"/>
          <w:color w:val="auto"/>
        </w:rPr>
        <w:t xml:space="preserve"> </w:t>
      </w:r>
      <w:r>
        <w:rPr>
          <w:rFonts w:ascii="Arial" w:cs="Arial" w:eastAsia="Arial" w:hAnsi="Arial"/>
          <w:sz w:val="16"/>
          <w:szCs w:val="16"/>
          <w:color w:val="auto"/>
        </w:rPr>
        <w:t>withdrawn prior to 11:59 p.m., New York City time, on Tuesday, March 14, 2017. The press release extending the Expiration Date is attached as Exhibit (a)</w:t>
      </w:r>
    </w:p>
    <w:p>
      <w:pPr>
        <w:spacing w:after="0" w:line="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(5)(B) hereto and incorporated herein by reference. All references in the Schedule TO and exhibits thereto to an expiration date of 5:00 p.m., New York City time on Monday, March 13, 2017, or to a deadline of 5:00 p.m., New York City time on Tuesday, March 14, 2017, are hereby amended to be references to 11:59 p.m., New York City time, on Tuesday, March 14, 2017.</w:t>
      </w:r>
    </w:p>
    <w:p>
      <w:pPr>
        <w:spacing w:after="0" w:line="18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tab/>
        <w:t>TERMS OF THE TRANSACTION.</w:t>
      </w:r>
    </w:p>
    <w:p>
      <w:pPr>
        <w:spacing w:after="0" w:line="229" w:lineRule="exact"/>
        <w:rPr>
          <w:sz w:val="20"/>
          <w:szCs w:val="20"/>
          <w:color w:val="auto"/>
        </w:rPr>
      </w:pPr>
    </w:p>
    <w:p>
      <w:pPr>
        <w:ind w:right="260" w:firstLine="729"/>
        <w:spacing w:after="0" w:line="277" w:lineRule="auto"/>
        <w:rPr>
          <w:sz w:val="20"/>
          <w:szCs w:val="20"/>
          <w:color w:val="auto"/>
        </w:rPr>
      </w:pPr>
      <w:r>
        <w:rPr>
          <w:rFonts w:ascii="Arial" w:cs="Arial" w:eastAsia="Arial" w:hAnsi="Arial"/>
          <w:sz w:val="18"/>
          <w:szCs w:val="18"/>
          <w:color w:val="auto"/>
        </w:rPr>
        <w:t>The Put Right Notice and Item 4 of the Schedule TO are hereby amended and supplemented to include the information set forth in Item 1 above, which is incorporated by reference herein, as well as the following information:</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Holders of Notes in global form that wish to exercise the Put Right with respect to such Notes between 5:00 p.m. and 11:59 p.m., New York City time, on Tuesday, March 14, 2017 must, instead of complying with the DTC procedures, complete and sign a 2017 Repurchase Notice in the form attached to the Put Right Notice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in accordance with the instructions set forth therein, have the signature thereon guaranteed and deliver such manually signed 2017 Repurchase Notice to the Paying Agent prior to 11:59 p.m., New York City time, on Tuesday, March 14, 2017. All signatures on a 2017 Repurchase Notice must be guaranteed by a recognized participant in the Securities Transfer Agents Medallion Program, the NYSE Medallion Signature Program or the Stock Exchange Medallion Program (each, an “Eligible Institution”);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signatures need not be guaranteed if such Notes are tendered for the account of an Eligible Institution. If a 2017 Repurchase Notice is signed by a trustee, executor, administrator, guardian, attorney-in-fact, agent, officer of a corporation or other person acting in a fiduciary or representative capacity, such person must so indicate when signing, and proper evidence satisfactory to the Company of the authority of such person so to act must be submitted.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Holders of Notes in global form that wish to withdraw previous exercise of the Put Right with respect to such Notes between 5:00 p.m. and 11:59</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p.m., New York City time, on Tuesday, March 14, 2017 must, instead of complying with the DTC withdrawal procedures, complete and sign a notice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withdrawal specifying (1) the principal amount of the Notes with respect to which such notice of withdrawal is being submitted, which portion must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US$1,000 aggregate principal amount or an integral multiple thereof, (2) the certificate numbers of the Notes in respect of which such notice of withdrawal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being submitted, and (3) the principal amount, if any, of such Note which remains subject to the 2017 Repurchase Notice, which portion must be US$1,000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 or an integral multiple thereof, and deliver such manually signed notice of withdrawal to the Paying Agent prior to 11:59 p.m.,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City time, on Tuesday, March 14, 2017.</w:t>
      </w:r>
    </w:p>
    <w:p>
      <w:pPr>
        <w:sectPr>
          <w:pgSz w:w="11900" w:h="16838" w:orient="portrait"/>
          <w:cols w:equalWidth="0" w:num="1">
            <w:col w:w="11420"/>
          </w:cols>
          <w:pgMar w:left="240" w:top="125" w:right="239" w:bottom="0" w:gutter="0" w:footer="0" w:header="0"/>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the Put Right Notice, the address of the Paying Agent 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regular, registered or certified mail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 overnight courier: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DB Services Americas,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5022 Gate Parkway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JCK01-0218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 32256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facsimile, for Eligible Institutions only: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(615) 866-3889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left="600"/>
        <w:spacing w:after="0" w:line="277" w:lineRule="auto"/>
        <w:rPr>
          <w:sz w:val="20"/>
          <w:szCs w:val="20"/>
          <w:color w:val="auto"/>
        </w:rPr>
      </w:pPr>
      <w:r>
        <w:rPr>
          <w:rFonts w:ascii="Arial" w:cs="Arial" w:eastAsia="Arial" w:hAnsi="Arial"/>
          <w:sz w:val="18"/>
          <w:szCs w:val="18"/>
          <w:i w:val="1"/>
          <w:iCs w:val="1"/>
          <w:color w:val="auto"/>
        </w:rPr>
        <w:t>For information or confirmation during regular business hours: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Telephone: +1 (800) 735-7777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line="308" w:lineRule="auto"/>
        <w:rPr>
          <w:sz w:val="20"/>
          <w:szCs w:val="20"/>
          <w:color w:val="auto"/>
        </w:rPr>
      </w:pPr>
      <w:r>
        <w:rPr>
          <w:rFonts w:ascii="Arial" w:cs="Arial" w:eastAsia="Arial" w:hAnsi="Arial"/>
          <w:sz w:val="17"/>
          <w:szCs w:val="17"/>
          <w:i w:val="1"/>
          <w:iCs w:val="1"/>
          <w:color w:val="auto"/>
        </w:rPr>
        <w:t>For information or confirmation after 5:00 p.m. (New York City time) on March 14, 2017:</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Telephone: +1 (877) 843-9767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E-mail: db.reorg@db.com</w:t>
      </w:r>
    </w:p>
    <w:p>
      <w:pPr>
        <w:sectPr>
          <w:pgSz w:w="11900" w:h="16838" w:orient="portrait"/>
          <w:cols w:equalWidth="0" w:num="2">
            <w:col w:w="7240" w:space="720"/>
            <w:col w:w="3460"/>
          </w:cols>
          <w:pgMar w:left="240" w:top="125" w:right="239" w:bottom="0" w:gutter="0" w:footer="0" w:header="0"/>
          <w:type w:val="continuous"/>
        </w:sectPr>
      </w:pPr>
    </w:p>
    <w:bookmarkStart w:id="2" w:name="page3"/>
    <w:bookmarkEnd w:id="2"/>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tabs>
          <w:tab w:leader="none" w:pos="920" w:val="left"/>
        </w:tabs>
        <w:rPr>
          <w:sz w:val="20"/>
          <w:szCs w:val="20"/>
          <w:color w:val="auto"/>
        </w:rPr>
      </w:pPr>
      <w:r>
        <w:rPr>
          <w:rFonts w:ascii="Arial" w:cs="Arial" w:eastAsia="Arial" w:hAnsi="Arial"/>
          <w:sz w:val="18"/>
          <w:szCs w:val="18"/>
          <w:b w:val="1"/>
          <w:bCs w:val="1"/>
          <w:color w:val="auto"/>
        </w:rPr>
        <w:t>ITEM 12.</w:t>
        <w:tab/>
        <w:t>EXHIBITS.</w:t>
      </w:r>
    </w:p>
    <w:p>
      <w:pPr>
        <w:sectPr>
          <w:pgSz w:w="11900" w:h="16897" w:orient="portrait"/>
          <w:cols w:equalWidth="0" w:num="1">
            <w:col w:w="11420"/>
          </w:cols>
          <w:pgMar w:left="240" w:top="1053" w:right="239" w:bottom="0" w:gutter="0" w:footer="0" w:header="0"/>
        </w:sect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Put Right Notice to Holders of 1.50% Convertible Senior Notes due 2019 Issued by Vipshop Holdings Limited, dated February 14, 2017.</w:t>
      </w:r>
    </w:p>
    <w:p>
      <w:pPr>
        <w:spacing w:after="0" w:line="170" w:lineRule="exact"/>
        <w:rPr>
          <w:sz w:val="20"/>
          <w:szCs w:val="20"/>
          <w:color w:val="auto"/>
        </w:rPr>
      </w:pPr>
    </w:p>
    <w:p>
      <w:pPr>
        <w:sectPr>
          <w:pgSz w:w="11900" w:h="16897" w:orient="portrait"/>
          <w:cols w:equalWidth="0" w:num="2">
            <w:col w:w="1240" w:space="720"/>
            <w:col w:w="9460"/>
          </w:cols>
          <w:pgMar w:left="240" w:top="1053" w:right="239" w:bottom="0" w:gutter="0" w:footer="0" w:header="0"/>
          <w:type w:val="continuous"/>
        </w:sectPr>
      </w:pPr>
    </w:p>
    <w:p>
      <w:pPr>
        <w:ind w:left="660"/>
        <w:spacing w:after="0"/>
        <w:rPr>
          <w:sz w:val="20"/>
          <w:szCs w:val="20"/>
          <w:color w:val="auto"/>
        </w:rPr>
      </w:pPr>
      <w:r>
        <w:rPr>
          <w:rFonts w:ascii="Arial" w:cs="Arial" w:eastAsia="Arial" w:hAnsi="Arial"/>
          <w:sz w:val="17"/>
          <w:szCs w:val="17"/>
          <w:color w:val="auto"/>
        </w:rPr>
        <w:t>(a)(5)(A)*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issued by the Company, dated February 14, 2017.</w:t>
      </w:r>
    </w:p>
    <w:p>
      <w:pPr>
        <w:spacing w:after="0" w:line="222" w:lineRule="exact"/>
        <w:rPr>
          <w:sz w:val="20"/>
          <w:szCs w:val="20"/>
          <w:color w:val="auto"/>
        </w:rPr>
      </w:pPr>
    </w:p>
    <w:p>
      <w:pPr>
        <w:sectPr>
          <w:pgSz w:w="11900" w:h="16897" w:orient="portrait"/>
          <w:cols w:equalWidth="0" w:num="2">
            <w:col w:w="1400" w:space="580"/>
            <w:col w:w="9440"/>
          </w:cols>
          <w:pgMar w:left="240" w:top="1053" w:right="239" w:bottom="0" w:gutter="0" w:footer="0" w:header="0"/>
          <w:type w:val="continuous"/>
        </w:sectPr>
      </w:pPr>
    </w:p>
    <w:p>
      <w:pPr>
        <w:spacing w:after="0" w:line="37"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(a)(5)(B)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Press release issued by the Company, dated February 22, 2017.</w:t>
      </w:r>
    </w:p>
    <w:p>
      <w:pPr>
        <w:spacing w:after="0" w:line="211" w:lineRule="exact"/>
        <w:rPr>
          <w:sz w:val="20"/>
          <w:szCs w:val="20"/>
          <w:color w:val="auto"/>
        </w:rPr>
      </w:pPr>
    </w:p>
    <w:p>
      <w:pPr>
        <w:sectPr>
          <w:pgSz w:w="11900" w:h="16897" w:orient="portrait"/>
          <w:cols w:equalWidth="0" w:num="2">
            <w:col w:w="1300" w:space="660"/>
            <w:col w:w="9460"/>
          </w:cols>
          <w:pgMar w:left="240" w:top="1053" w:right="239" w:bottom="0" w:gutter="0" w:footer="0" w:header="0"/>
          <w:type w:val="continuous"/>
        </w:sectPr>
      </w:pPr>
    </w:p>
    <w:p>
      <w:pPr>
        <w:spacing w:after="0" w:line="48" w:lineRule="exact"/>
        <w:rPr>
          <w:sz w:val="20"/>
          <w:szCs w:val="20"/>
          <w:color w:val="auto"/>
        </w:rPr>
      </w:pPr>
    </w:p>
    <w:p>
      <w:pPr>
        <w:ind w:left="1960" w:hanging="1304"/>
        <w:spacing w:after="0"/>
        <w:tabs>
          <w:tab w:leader="none" w:pos="1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 applicable.</w:t>
      </w:r>
    </w:p>
    <w:p>
      <w:pPr>
        <w:sectPr>
          <w:pgSz w:w="11900" w:h="16897" w:orient="portrait"/>
          <w:cols w:equalWidth="0" w:num="1">
            <w:col w:w="11420"/>
          </w:cols>
          <w:pgMar w:left="240" w:top="1053" w:right="239" w:bottom="0" w:gutter="0" w:footer="0" w:header="0"/>
          <w:type w:val="continuous"/>
        </w:sect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320" w:firstLine="10"/>
        <w:spacing w:after="0" w:line="264" w:lineRule="auto"/>
        <w:rPr>
          <w:sz w:val="20"/>
          <w:szCs w:val="20"/>
          <w:color w:val="auto"/>
        </w:rPr>
      </w:pPr>
      <w:r>
        <w:rPr>
          <w:rFonts w:ascii="Arial" w:cs="Arial" w:eastAsia="Arial" w:hAnsi="Arial"/>
          <w:sz w:val="18"/>
          <w:szCs w:val="18"/>
          <w:color w:val="auto"/>
        </w:rPr>
        <w:t>Indenture, dated as of March 17, 2014, between the Company and Deutsche Bank Trust Company Americas, as trustee, incorporated by reference to Exhibit 2.4 from the Company’s Annual Report on Form 20-F (File No. 001-35454) filed with the Securities and Exchange Commission on April 25, 2014.</w:t>
      </w:r>
    </w:p>
    <w:p>
      <w:pPr>
        <w:spacing w:after="0" w:line="181" w:lineRule="exact"/>
        <w:rPr>
          <w:sz w:val="20"/>
          <w:szCs w:val="20"/>
          <w:color w:val="auto"/>
        </w:rPr>
      </w:pPr>
    </w:p>
    <w:p>
      <w:pPr>
        <w:sectPr>
          <w:pgSz w:w="11900" w:h="16897" w:orient="portrait"/>
          <w:cols w:equalWidth="0" w:num="2">
            <w:col w:w="1240" w:space="720"/>
            <w:col w:w="9460"/>
          </w:cols>
          <w:pgMar w:left="240" w:top="1053" w:right="239" w:bottom="0" w:gutter="0" w:footer="0" w:header="0"/>
          <w:type w:val="continuous"/>
        </w:sectPr>
      </w:pPr>
    </w:p>
    <w:p>
      <w:pPr>
        <w:ind w:left="660"/>
        <w:spacing w:after="0"/>
        <w:rPr>
          <w:sz w:val="20"/>
          <w:szCs w:val="20"/>
          <w:color w:val="auto"/>
        </w:rPr>
      </w:pPr>
      <w:r>
        <w:rPr>
          <w:rFonts w:ascii="Arial" w:cs="Arial" w:eastAsia="Arial" w:hAnsi="Arial"/>
          <w:sz w:val="17"/>
          <w:szCs w:val="17"/>
          <w:color w:val="auto"/>
        </w:rPr>
        <w:t>(d)(2)*</w:t>
      </w:r>
    </w:p>
    <w:p>
      <w:pPr>
        <w:spacing w:after="0" w:line="20" w:lineRule="exact"/>
        <w:rPr>
          <w:sz w:val="20"/>
          <w:szCs w:val="20"/>
          <w:color w:val="auto"/>
        </w:rPr>
      </w:pPr>
      <w:r>
        <w:rPr>
          <w:sz w:val="20"/>
          <w:szCs w:val="20"/>
          <w:color w:val="auto"/>
        </w:rPr>
        <w:br w:type="column"/>
      </w:r>
    </w:p>
    <w:p>
      <w:pPr>
        <w:jc w:val="both"/>
        <w:ind w:right="20" w:firstLine="10"/>
        <w:spacing w:after="0" w:line="264" w:lineRule="auto"/>
        <w:rPr>
          <w:sz w:val="20"/>
          <w:szCs w:val="20"/>
          <w:color w:val="auto"/>
        </w:rPr>
      </w:pPr>
      <w:r>
        <w:rPr>
          <w:rFonts w:ascii="Arial" w:cs="Arial" w:eastAsia="Arial" w:hAnsi="Arial"/>
          <w:sz w:val="18"/>
          <w:szCs w:val="18"/>
          <w:color w:val="auto"/>
        </w:rPr>
        <w:t>First Supplemental Indenture, dated as of March 17, 2014, between the Company and Deutsche Bank Trust Company Americas, as trustee, incorporated by reference to Exhibit 2.5 from the Company’s Annual Report on Form 20-F (File No. 001-35454) filed with the Securities and Exchange Commission on April 25, 2014.</w:t>
      </w:r>
    </w:p>
    <w:p>
      <w:pPr>
        <w:spacing w:after="0" w:line="181" w:lineRule="exact"/>
        <w:rPr>
          <w:sz w:val="20"/>
          <w:szCs w:val="20"/>
          <w:color w:val="auto"/>
        </w:rPr>
      </w:pPr>
    </w:p>
    <w:p>
      <w:pPr>
        <w:sectPr>
          <w:pgSz w:w="11900" w:h="16897" w:orient="portrait"/>
          <w:cols w:equalWidth="0" w:num="2">
            <w:col w:w="1240" w:space="720"/>
            <w:col w:w="9460"/>
          </w:cols>
          <w:pgMar w:left="240" w:top="1053" w:right="239" w:bottom="0" w:gutter="0" w:footer="0" w:header="0"/>
          <w:type w:val="continuous"/>
        </w:sectPr>
      </w:pPr>
    </w:p>
    <w:p>
      <w:pPr>
        <w:ind w:left="660"/>
        <w:spacing w:after="0"/>
        <w:rPr>
          <w:sz w:val="20"/>
          <w:szCs w:val="20"/>
          <w:color w:val="auto"/>
        </w:rPr>
      </w:pPr>
      <w:r>
        <w:rPr>
          <w:rFonts w:ascii="Arial" w:cs="Arial" w:eastAsia="Arial" w:hAnsi="Arial"/>
          <w:sz w:val="17"/>
          <w:szCs w:val="17"/>
          <w:color w:val="auto"/>
        </w:rPr>
        <w:t>(d)(3)*</w:t>
      </w:r>
    </w:p>
    <w:p>
      <w:pPr>
        <w:spacing w:after="0" w:line="20" w:lineRule="exact"/>
        <w:rPr>
          <w:sz w:val="20"/>
          <w:szCs w:val="20"/>
          <w:color w:val="auto"/>
        </w:rPr>
      </w:pPr>
      <w:r>
        <w:rPr>
          <w:sz w:val="20"/>
          <w:szCs w:val="20"/>
          <w:color w:val="auto"/>
        </w:rPr>
        <w:br w:type="column"/>
      </w:r>
    </w:p>
    <w:p>
      <w:pPr>
        <w:ind w:right="300" w:firstLine="10"/>
        <w:spacing w:after="0" w:line="264" w:lineRule="auto"/>
        <w:rPr>
          <w:sz w:val="20"/>
          <w:szCs w:val="20"/>
          <w:color w:val="auto"/>
        </w:rPr>
      </w:pPr>
      <w:r>
        <w:rPr>
          <w:rFonts w:ascii="Arial" w:cs="Arial" w:eastAsia="Arial" w:hAnsi="Arial"/>
          <w:sz w:val="18"/>
          <w:szCs w:val="18"/>
          <w:color w:val="auto"/>
        </w:rPr>
        <w:t>Second Supplemental Indenture, dated as of November 11, 2014, between the Company and Deutsche Bank Trust Company Americas, as trustee, incorporated by reference to Exhibit 2.7 from the Company’s Annual Report on Form 20-F (File No. 001-35454) filed with the Securities and Exchange Commission on April 24, 2015.</w:t>
      </w:r>
    </w:p>
    <w:p>
      <w:pPr>
        <w:spacing w:after="0" w:line="181" w:lineRule="exact"/>
        <w:rPr>
          <w:sz w:val="20"/>
          <w:szCs w:val="20"/>
          <w:color w:val="auto"/>
        </w:rPr>
      </w:pPr>
    </w:p>
    <w:p>
      <w:pPr>
        <w:sectPr>
          <w:pgSz w:w="11900" w:h="16897" w:orient="portrait"/>
          <w:cols w:equalWidth="0" w:num="2">
            <w:col w:w="1240" w:space="720"/>
            <w:col w:w="9460"/>
          </w:cols>
          <w:pgMar w:left="240" w:top="1053" w:right="239" w:bottom="0" w:gutter="0" w:footer="0" w:header="0"/>
          <w:type w:val="continuous"/>
        </w:sectPr>
      </w:pPr>
    </w:p>
    <w:p>
      <w:pPr>
        <w:ind w:left="1980" w:hanging="1324"/>
        <w:spacing w:after="0"/>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960" w:hanging="1304"/>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380" w:hanging="724"/>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VIPSHOP HOLDINGS LIMITED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Donghao Yang</w:t>
      </w:r>
    </w:p>
    <w:p>
      <w:pPr>
        <w:spacing w:after="0" w:line="23"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18"/>
          <w:szCs w:val="18"/>
          <w:color w:val="auto"/>
        </w:rPr>
        <w:t>Name:</w:t>
        <w:tab/>
        <w:t>Donghao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4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9840" w:type="dxa"/>
            <w:vAlign w:val="bottom"/>
            <w:tcBorders>
              <w:bottom w:val="single" w:sz="8" w:color="auto"/>
            </w:tcBorders>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340" w:type="dxa"/>
            <w:vAlign w:val="bottom"/>
          </w:tcPr>
          <w:p>
            <w:pPr>
              <w:spacing w:after="0"/>
              <w:rPr>
                <w:sz w:val="20"/>
                <w:szCs w:val="20"/>
                <w:color w:val="auto"/>
              </w:rPr>
            </w:pPr>
            <w:r>
              <w:rPr>
                <w:rFonts w:ascii="Arial" w:cs="Arial" w:eastAsia="Arial" w:hAnsi="Arial"/>
                <w:sz w:val="18"/>
                <w:szCs w:val="18"/>
                <w:color w:val="auto"/>
              </w:rPr>
              <w:t>(a)(1)*</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5"/>
              </w:rPr>
              <w:t>Put Right Notice to Holders of 1.50% Convertible Senior Notes due 2019 Issued by Vipshop Holdings Limited, dated February 14,</w:t>
            </w:r>
          </w:p>
        </w:tc>
      </w:tr>
      <w:tr>
        <w:trPr>
          <w:trHeight w:val="230"/>
        </w:trPr>
        <w:tc>
          <w:tcPr>
            <w:tcW w:w="134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2017.</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(a)(5)(A)*</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Press release issued by the Company, dated February 14, 2017.</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(a)(5)(B)</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Press release issued by the Company, dated February 22, 2017</w:t>
            </w: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(d)(1)*</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0"/>
              </w:rPr>
              <w:t>Indenture, dated as of March 17, 2014, between the Company and Deutsche Bank Trust Company Americas, as trustee, incorporated by</w:t>
            </w:r>
          </w:p>
        </w:tc>
      </w:tr>
      <w:tr>
        <w:trPr>
          <w:trHeight w:val="216"/>
        </w:trPr>
        <w:tc>
          <w:tcPr>
            <w:tcW w:w="134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2"/>
              </w:rPr>
              <w:t>reference to Exhibit 2.4 from the Company’s Annual Report on Form 20-F (File No. 001-35454) filed with the Securities and Exchange</w:t>
            </w:r>
          </w:p>
        </w:tc>
      </w:tr>
      <w:tr>
        <w:trPr>
          <w:trHeight w:val="230"/>
        </w:trPr>
        <w:tc>
          <w:tcPr>
            <w:tcW w:w="134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Commission on April 25, 2014.</w:t>
            </w: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(d)(2)*</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3"/>
              </w:rPr>
              <w:t>First Supplemental Indenture, dated as of March 17, 2014, between the Company and Deutsche Bank Trust Company Americas, as</w:t>
            </w:r>
          </w:p>
        </w:tc>
      </w:tr>
      <w:tr>
        <w:trPr>
          <w:trHeight w:val="216"/>
        </w:trPr>
        <w:tc>
          <w:tcPr>
            <w:tcW w:w="134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3"/>
              </w:rPr>
              <w:t>trustee, incorporated by reference to Exhibit 2.5 from the Company’s Annual Report on Form 20-F (File No. 001-35454) filed with the</w:t>
            </w:r>
          </w:p>
        </w:tc>
      </w:tr>
      <w:tr>
        <w:trPr>
          <w:trHeight w:val="230"/>
        </w:trPr>
        <w:tc>
          <w:tcPr>
            <w:tcW w:w="134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Securities and Exchange Commission on April 25, 2014.</w:t>
            </w: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(d)(3)*</w:t>
            </w: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0"/>
              </w:rPr>
              <w:t>Second Supplemental Indenture, dated as of November 11, 2014, between the Company and Deutsche Bank Trust Company Americas,</w:t>
            </w:r>
          </w:p>
        </w:tc>
      </w:tr>
      <w:tr>
        <w:trPr>
          <w:trHeight w:val="216"/>
        </w:trPr>
        <w:tc>
          <w:tcPr>
            <w:tcW w:w="1340" w:type="dxa"/>
            <w:vAlign w:val="bottom"/>
          </w:tcPr>
          <w:p>
            <w:pPr>
              <w:spacing w:after="0"/>
              <w:rPr>
                <w:sz w:val="18"/>
                <w:szCs w:val="18"/>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w w:val="93"/>
              </w:rPr>
              <w:t>as trustee, incorporated by reference to Exhibit 2.7 from the Company’s Annual Report on Form 20-F (File No. 001-35454) filed with</w:t>
            </w:r>
          </w:p>
        </w:tc>
      </w:tr>
      <w:tr>
        <w:trPr>
          <w:trHeight w:val="230"/>
        </w:trPr>
        <w:tc>
          <w:tcPr>
            <w:tcW w:w="134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the Securities and Exchange Commission on April 24, 2015.</w:t>
            </w:r>
          </w:p>
        </w:tc>
      </w:tr>
    </w:tbl>
    <w:p>
      <w:pPr>
        <w:sectPr>
          <w:pgSz w:w="11900" w:h="16897" w:orient="portrait"/>
          <w:cols w:equalWidth="0" w:num="1">
            <w:col w:w="11420"/>
          </w:cols>
          <w:pgMar w:left="240" w:top="1053" w:right="239" w:bottom="0" w:gutter="0" w:footer="0" w:header="0"/>
          <w:type w:val="continuous"/>
        </w:sectPr>
      </w:pPr>
    </w:p>
    <w:bookmarkStart w:id="3" w:name="page4"/>
    <w:bookmarkEnd w:id="3"/>
    <w:p>
      <w:pPr>
        <w:ind w:left="712" w:hanging="712"/>
        <w:spacing w:after="0"/>
        <w:tabs>
          <w:tab w:leader="none" w:pos="712" w:val="left"/>
        </w:tabs>
        <w:numPr>
          <w:ilvl w:val="0"/>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217170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1"/>
          </w:cols>
          <w:pgMar w:left="248" w:top="57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99.(a)(5)(B)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154940</wp:posOffset>
            </wp:positionV>
            <wp:extent cx="1252220" cy="788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222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Extends Put Right Exercise Period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1.50% Convertible Senior Notes due 2019</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Guangzhou, China, February 22, 2017 — Vipshop Holdings Limited (NYSE: VIPS), a leading online discount retailer for brands in China (“Vipshop” or the “Company”), today announced that it is extending the previously announced put right offer relating to its 1.50% Convertible Senior Notes due 2019 (the “Notes”) until 11:59 p.m., New York City time, on Tuesday, March 14, 2017. In addition, the period during which holders of the Notes may withdraw their exercise of the put right with respect to any Notes is also being extended until 11:59 p.m., New York City time, on Tuesday, March 14, 2017. The tender offer is being made pursuant to a Schedule TO (as amended), including a Put Right Notice dated February 14, 2017, which sets forth the terms of the put right. Capitalized terms used but not defined herein shall have the meaning ascribed to such terms in the Put Right Notice.</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Holders of Notes in global form that wish to exercise the Put Right with respect to such Notes between 5:00 p.m. and 11:59 p.m., New York City time, on Tuesday, March 14, 2017 must, instead of complying with the DTC procedures, complete and sign a 2017 Repurchase Notice in the form attached to the Put Right Notice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in accordance with the instructions set forth therein, have the signature thereon guaranteed and deliver such manually signed 2017 Repurchase Notice to the Paying Agent prior to 11:59 p.m., New York City time, on Tuesday, March 14, 2017. All signatures on a 2017 Repurchase Notice must be guaranteed by a recognized participant in the Securities Transfer Agents Medallion Program, the NYSE Medallion Signature Program or the Stock Exchange Medallion Program (each, an “Eligible Institution”);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signatures need not be guaranteed if such Notes are tendered for the account of an Eligible Institution. If a 2017 Repurchase Notice is signed by a trustee, executor, administrator, guardian, attorney-in-fact, agent, officer of a corporation or other person acting in a fiduciary or representative capacity, such person must so indicate when signing, and proper evidence satisfactory to the Company of the authority of such person so to act must be submitted.</w:t>
      </w:r>
    </w:p>
    <w:p>
      <w:pPr>
        <w:spacing w:after="0" w:line="18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Holders of Notes in global form that wish to withdraw previous exercise of the Put Right with respect to such Notes between 5:00 p.m. and 11:59 p.m., New York City time, on Tuesday, March 14, 2017 must, instead of complying with the DTC withdrawal procedures, complete and sign a notice of withdrawal specifying (1) the principal amount of the Notes with respect to which such notice of withdrawal is being submitted, which portion must be US$1,000 aggregate principal amount or an integral multiple thereof, (2) the certificate numbers of the Notes in respect of which such notice of withdrawal is being submitted, and (3) the principal amount, if any, of such Note which remains subject to the 2017 Repurchase Notice, which portion must be US$1,000 aggregate principal amount or an integral multiple thereof, and deliver such manually signed notice of withdrawal to the Paying Agent prior to 11:59 p.m., New York City time, on Tuesday, March 14, 2017.</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Based on information from Deutsche Bank Trust Company Americas, no holders of the Notes had exercised their put right as of 5:00 p.m., New York City Time, on Tuesday, February 21, 2017.</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This press release is for information only and is not an offer to purchase, a solicitation of an offer to purchase, or a solicitation of an offer to sell the Notes or any other securities of the Company. The offer to purchase the Notes will be only pursuant to, and the Notes may be tendered only in accordance with, the Company’s Put Right Notice dated February 14, 2017 and related documents, as amended and supplemented. Holders of Notes may request the Company’s Put Right Notice from the paying agent, Deutsche Bank Trust Company Americas.</w:t>
      </w:r>
    </w:p>
    <w:p>
      <w:pPr>
        <w:sectPr>
          <w:pgSz w:w="11900" w:h="16838" w:orient="portrait"/>
          <w:cols w:equalWidth="0" w:num="1">
            <w:col w:w="11420"/>
          </w:cols>
          <w:pgMar w:left="240" w:top="121" w:right="239" w:bottom="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regular, registered or certified mail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 overnight courier: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DB Services Americas,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5022 Gate Parkway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JCK01-0218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 32256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By facsimile, for Eligible Institutions only: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 (615) 866-3889</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For information or confirmation during</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regular business hours:</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Telephone: +1 (800) 735-7777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For information or confirmation after 5:00 p.m.</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(New York City time) on March 14, 2017:</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Telephone: +1 (877) 843-9767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E-mail: db.reorg@db.com</w:t>
      </w:r>
    </w:p>
    <w:p>
      <w:pPr>
        <w:spacing w:after="0" w:line="200" w:lineRule="exact"/>
        <w:rPr>
          <w:sz w:val="20"/>
          <w:szCs w:val="20"/>
          <w:color w:val="auto"/>
        </w:rPr>
      </w:pPr>
    </w:p>
    <w:p>
      <w:pPr>
        <w:sectPr>
          <w:pgSz w:w="11900" w:h="16838" w:orient="portrait"/>
          <w:cols w:equalWidth="0" w:num="2">
            <w:col w:w="7240" w:space="720"/>
            <w:col w:w="3460"/>
          </w:cols>
          <w:pgMar w:left="240" w:top="121" w:right="239" w:bottom="0" w:gutter="0" w:footer="0" w:header="0"/>
          <w:type w:val="continuous"/>
        </w:sectPr>
      </w:pPr>
    </w:p>
    <w:p>
      <w:pPr>
        <w:spacing w:after="0" w:line="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HOLDERS OF NOTES AND OTHER INTERESTED PARTIES ARE URGED TO READ THE COMPANY’S SCHEDULE TO, AS AMENDED, PUT RIGHT NOTICE AND OTHER RELEVANT DOCUMENTS FILED WITH THE SECURITIES AND EXCHANGE COMMISSION WHEN THEY BECOME AVAILABLE BECAUSE THEY WILL CONTAIN IMPORTANT INFORMATION ABOUT VIPSHOP HOLDINGS LIMITED AND THE PUT RIGHT.</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Materials filed with the SEC will be available electronically without charge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Documents filed with the SEC may also be obtained without charge at the Company’s website, </w:t>
      </w:r>
      <w:r>
        <w:rPr>
          <w:rFonts w:ascii="Arial" w:cs="Arial" w:eastAsia="Arial" w:hAnsi="Arial"/>
          <w:sz w:val="18"/>
          <w:szCs w:val="18"/>
          <w:i w:val="1"/>
          <w:iCs w:val="1"/>
          <w:color w:val="auto"/>
        </w:rPr>
        <w:t>ir.vip.com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Vipshop Holdings Limited</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Vipshop Holdings Limited is a leading online discount retailer for brands in China. Vipshop offers high quality and popular branded products to consumers throughout China at a significant discount to retail prices. Since it was founded in August 2008, the Company has rapidly built a sizeable and growing base of customers and brand partners. For more information, please visit </w:t>
      </w:r>
      <w:r>
        <w:rPr>
          <w:rFonts w:ascii="Arial" w:cs="Arial" w:eastAsia="Arial" w:hAnsi="Arial"/>
          <w:sz w:val="18"/>
          <w:szCs w:val="18"/>
          <w:i w:val="1"/>
          <w:iCs w:val="1"/>
          <w:color w:val="auto"/>
        </w:rPr>
        <w:t>www.vip.com</w:t>
      </w:r>
      <w:r>
        <w:rPr>
          <w:rFonts w:ascii="Arial" w:cs="Arial" w:eastAsia="Arial" w:hAnsi="Arial"/>
          <w:sz w:val="18"/>
          <w:szCs w:val="18"/>
          <w:color w:val="auto"/>
        </w:rPr>
        <w:t>.</w:t>
      </w:r>
    </w:p>
    <w:p>
      <w:pPr>
        <w:sectPr>
          <w:pgSz w:w="11900" w:h="16838" w:orient="portrait"/>
          <w:cols w:equalWidth="0" w:num="1">
            <w:col w:w="11420"/>
          </w:cols>
          <w:pgMar w:left="240" w:top="121" w:right="239" w:bottom="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color w:val="auto"/>
        </w:rPr>
        <w:t>Investor Relations Contact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Vipshop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Millicent Tu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(20) 2233-0732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IR@vipshop.com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Jeremy Peruski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(646) 405-4866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IR@vipshop.com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o"/>
      <w:numFmt w:val="bullet"/>
      <w:start w:val="1"/>
    </w:lvl>
  </w:abstractNum>
  <w:abstractNum w:abstractNumId="4">
    <w:nsid w:val="41B71EFB"/>
    <w:multiLevelType w:val="hybridMultilevel"/>
    <w:lvl w:ilvl="0">
      <w:lvlJc w:val="left"/>
      <w:lvlText w:val="o"/>
      <w:numFmt w:val="bullet"/>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7"/>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2019-12-07T15:39:50Z</dcterms:created>
  <dcterms:modified xsi:type="dcterms:W3CDTF">2019-12-07T15:39:50Z</dcterms:modified>
</cp:coreProperties>
</file>