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185031dsc13ga.htm"/>
      <w:bookmarkStart w:id="1" w:name="ksd185031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13G/A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Class A ordinary shares, par value US$0.0001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G93629 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CUSIP No. G93629 106</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94"/>
        <w:gridCol w:w="121"/>
        <w:gridCol w:w="752"/>
        <w:gridCol w:w="172"/>
        <w:gridCol w:w="169"/>
        <w:gridCol w:w="172"/>
        <w:gridCol w:w="8222"/>
      </w:tblGrid>
      <w:tr>
        <w:trPr/>
        <w:tc>
          <w:tcPr>
            <w:tcW w:w="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22" w:type="dxa"/>
            <w:tcBorders/>
            <w:vAlign w:val="center"/>
          </w:tcPr>
          <w:p>
            <w:pPr>
              <w:pStyle w:val="TableContents"/>
              <w:bidi w:val="0"/>
              <w:spacing w:before="0" w:after="283"/>
              <w:jc w:val="left"/>
              <w:rPr>
                <w:sz w:val="4"/>
                <w:szCs w:val="4"/>
              </w:rPr>
            </w:pPr>
            <w:r>
              <w:rPr>
                <w:sz w:val="4"/>
                <w:szCs w:val="4"/>
              </w:rPr>
            </w:r>
          </w:p>
        </w:tc>
      </w:tr>
      <w:tr>
        <w:trPr/>
        <w:tc>
          <w:tcPr>
            <w:tcW w:w="49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High Vivacity Holdings Limited</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British Virgin Islands</w:t>
            </w:r>
          </w:p>
        </w:tc>
      </w:tr>
    </w:tbl>
    <w:tbl>
      <w:tblPr>
        <w:tblW w:w="4950" w:type="pct"/>
        <w:jc w:val="left"/>
        <w:tblInd w:w="0" w:type="dxa"/>
        <w:tblLayout w:type="fixed"/>
        <w:tblCellMar>
          <w:top w:w="0" w:type="dxa"/>
          <w:left w:w="0" w:type="dxa"/>
          <w:bottom w:w="0" w:type="dxa"/>
          <w:right w:w="0" w:type="dxa"/>
        </w:tblCellMar>
      </w:tblPr>
      <w:tblGrid>
        <w:gridCol w:w="445"/>
        <w:gridCol w:w="365"/>
        <w:gridCol w:w="776"/>
        <w:gridCol w:w="177"/>
        <w:gridCol w:w="275"/>
        <w:gridCol w:w="129"/>
        <w:gridCol w:w="7935"/>
      </w:tblGrid>
      <w:tr>
        <w:trPr/>
        <w:tc>
          <w:tcPr>
            <w:tcW w:w="445"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35" w:type="dxa"/>
            <w:tcBorders/>
            <w:vAlign w:val="center"/>
          </w:tcPr>
          <w:p>
            <w:pPr>
              <w:pStyle w:val="TableContents"/>
              <w:bidi w:val="0"/>
              <w:spacing w:before="0" w:after="283"/>
              <w:jc w:val="left"/>
              <w:rPr>
                <w:sz w:val="4"/>
                <w:szCs w:val="4"/>
              </w:rPr>
            </w:pPr>
            <w:r>
              <w:rPr>
                <w:sz w:val="4"/>
                <w:szCs w:val="4"/>
              </w:rPr>
            </w:r>
          </w:p>
        </w:tc>
      </w:tr>
      <w:tr>
        <w:trPr/>
        <w:tc>
          <w:tcPr>
            <w:tcW w:w="158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8,952,810 shares (represented by 8,952,810 Class A ordinary shares)(1)</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8,952,810 shares (represented by 8,952,810 Class A ordinary shares)(1)</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93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8,952,810 shares</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8.3%(2)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held by High Vivacity Holdings Limited, which is ultimately wholly owned by the Nasa Stand Trust. See Item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conversion of all Class B ordinary shares into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CUSIP No. G93629 106</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94"/>
        <w:gridCol w:w="121"/>
        <w:gridCol w:w="752"/>
        <w:gridCol w:w="172"/>
        <w:gridCol w:w="169"/>
        <w:gridCol w:w="172"/>
        <w:gridCol w:w="8222"/>
      </w:tblGrid>
      <w:tr>
        <w:trPr/>
        <w:tc>
          <w:tcPr>
            <w:tcW w:w="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22" w:type="dxa"/>
            <w:tcBorders/>
            <w:vAlign w:val="center"/>
          </w:tcPr>
          <w:p>
            <w:pPr>
              <w:pStyle w:val="TableContents"/>
              <w:bidi w:val="0"/>
              <w:spacing w:before="0" w:after="283"/>
              <w:jc w:val="left"/>
              <w:rPr>
                <w:sz w:val="4"/>
                <w:szCs w:val="4"/>
              </w:rPr>
            </w:pPr>
            <w:r>
              <w:rPr>
                <w:sz w:val="4"/>
                <w:szCs w:val="4"/>
              </w:rPr>
            </w:r>
          </w:p>
        </w:tc>
      </w:tr>
      <w:tr>
        <w:trPr/>
        <w:tc>
          <w:tcPr>
            <w:tcW w:w="49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Arthur Xiaobo Hong</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Peoples Republic of China</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271"/>
        <w:gridCol w:w="127"/>
        <w:gridCol w:w="7971"/>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71"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1,825,178 shares (represented by options to acquire 1,825,178 Class A ordinary shares exercisable within 60 days after December 31, 2023, and thus deemed as beneficially owned by Arthur Xiaobo Hong)</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71"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8,952,810 shares (represented by 8,952,810 Class A ordinary shares)(1)</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71"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1,825,178 shares (represented by options to acquire 1,825,178 Class A ordinary shares exercisable within 60 days after December 31, 2023, and thus deemed as beneficially owned by Arthur Xiaobo Hong)</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971" w:type="dxa"/>
            <w:tcBorders>
              <w:right w:val="single" w:sz="2" w:space="0" w:color="000000"/>
            </w:tcBorders>
            <w:tcMar>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8,952,810 shares (represented by 8,952,810 Class A ordinary shares)(1)</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10,777,988 shares</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9.8%(2)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held by High Vivacity Holdings Limited, which is ultimately wholly owned by the Nasa Stand Trust. See Item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conversion of all Class B ordinary shares into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1(a).</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Vipshop Holdings Limited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Vipshop Headquarters, 128 Dingxin Road </w:t>
      </w:r>
    </w:p>
    <w:p>
      <w:pPr>
        <w:pStyle w:val="TextBody"/>
        <w:bidi w:val="0"/>
        <w:spacing w:before="0" w:after="0"/>
        <w:jc w:val="left"/>
        <w:rPr>
          <w:rFonts w:ascii="Times New Roman" w:hAnsi="Times New Roman"/>
          <w:sz w:val="20"/>
        </w:rPr>
      </w:pPr>
      <w:r>
        <w:rPr>
          <w:rFonts w:ascii="Times New Roman" w:hAnsi="Times New Roman"/>
          <w:sz w:val="20"/>
        </w:rPr>
        <w:t xml:space="preserve">Haizhu District, Guangzhou 510220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High Vivacity Holdings Limited </w:t>
      </w:r>
    </w:p>
    <w:p>
      <w:pPr>
        <w:pStyle w:val="TextBody"/>
        <w:bidi w:val="0"/>
        <w:spacing w:before="0" w:after="0"/>
        <w:jc w:val="left"/>
        <w:rPr>
          <w:rFonts w:ascii="Times New Roman" w:hAnsi="Times New Roman"/>
          <w:sz w:val="20"/>
        </w:rPr>
      </w:pPr>
      <w:r>
        <w:rPr>
          <w:rFonts w:ascii="Times New Roman" w:hAnsi="Times New Roman"/>
          <w:sz w:val="20"/>
        </w:rPr>
        <w:t xml:space="preserve">Arthur Xiaobo Hong </w:t>
      </w:r>
    </w:p>
    <w:p>
      <w:pPr>
        <w:pStyle w:val="TextBody"/>
        <w:bidi w:val="0"/>
        <w:spacing w:before="0" w:after="0"/>
        <w:jc w:val="left"/>
        <w:rPr>
          <w:rFonts w:ascii="Times New Roman" w:hAnsi="Times New Roman"/>
          <w:sz w:val="20"/>
        </w:rPr>
      </w:pPr>
      <w:r>
        <w:rPr>
          <w:rFonts w:ascii="Times New Roman" w:hAnsi="Times New Roman"/>
          <w:sz w:val="20"/>
        </w:rPr>
        <w:t xml:space="preserve">(collectively,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2(b).</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High Vivacity Holdings Limited: </w:t>
      </w:r>
    </w:p>
    <w:p>
      <w:pPr>
        <w:pStyle w:val="TextBody"/>
        <w:bidi w:val="0"/>
        <w:spacing w:before="0" w:after="0"/>
        <w:jc w:val="left"/>
        <w:rPr>
          <w:rFonts w:ascii="Times New Roman" w:hAnsi="Times New Roman"/>
          <w:sz w:val="20"/>
        </w:rPr>
      </w:pPr>
      <w:r>
        <w:rPr>
          <w:rFonts w:ascii="Times New Roman" w:hAnsi="Times New Roman"/>
          <w:sz w:val="20"/>
        </w:rPr>
        <w:t xml:space="preserve">Palm Grove House, P.O. Box 438 </w:t>
      </w:r>
    </w:p>
    <w:p>
      <w:pPr>
        <w:pStyle w:val="TextBody"/>
        <w:bidi w:val="0"/>
        <w:spacing w:before="0" w:after="0"/>
        <w:jc w:val="left"/>
        <w:rPr>
          <w:rFonts w:ascii="Times New Roman" w:hAnsi="Times New Roman"/>
          <w:sz w:val="20"/>
        </w:rPr>
      </w:pPr>
      <w:r>
        <w:rPr>
          <w:rFonts w:ascii="Times New Roman" w:hAnsi="Times New Roman"/>
          <w:sz w:val="20"/>
        </w:rPr>
        <w:t xml:space="preserve">Road Town, Tortola, 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For Arthur Xiaobo Hong: </w:t>
      </w:r>
    </w:p>
    <w:p>
      <w:pPr>
        <w:pStyle w:val="TextBody"/>
        <w:bidi w:val="0"/>
        <w:spacing w:before="0" w:after="0"/>
        <w:jc w:val="left"/>
        <w:rPr>
          <w:rFonts w:ascii="Times New Roman" w:hAnsi="Times New Roman"/>
          <w:sz w:val="20"/>
        </w:rPr>
      </w:pPr>
      <w:r>
        <w:rPr>
          <w:rFonts w:ascii="Times New Roman" w:hAnsi="Times New Roman"/>
          <w:sz w:val="20"/>
        </w:rPr>
        <w:t xml:space="preserve">Vipshop Headquarters, 128 Dingxin Road </w:t>
      </w:r>
    </w:p>
    <w:p>
      <w:pPr>
        <w:pStyle w:val="TextBody"/>
        <w:bidi w:val="0"/>
        <w:spacing w:before="0" w:after="0"/>
        <w:jc w:val="left"/>
        <w:rPr>
          <w:rFonts w:ascii="Times New Roman" w:hAnsi="Times New Roman"/>
          <w:sz w:val="20"/>
        </w:rPr>
      </w:pPr>
      <w:r>
        <w:rPr>
          <w:rFonts w:ascii="Times New Roman" w:hAnsi="Times New Roman"/>
          <w:sz w:val="20"/>
        </w:rPr>
        <w:t xml:space="preserve">Haizhu District, Guangzhou 510220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2(c)</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High Vivacity Holdings Limited  British Virgin Islands </w:t>
      </w:r>
    </w:p>
    <w:p>
      <w:pPr>
        <w:pStyle w:val="TextBody"/>
        <w:bidi w:val="0"/>
        <w:spacing w:before="0" w:after="0"/>
        <w:jc w:val="left"/>
        <w:rPr>
          <w:rFonts w:ascii="Times New Roman" w:hAnsi="Times New Roman"/>
          <w:sz w:val="20"/>
        </w:rPr>
      </w:pPr>
      <w:r>
        <w:rPr>
          <w:rFonts w:ascii="Times New Roman" w:hAnsi="Times New Roman"/>
          <w:sz w:val="20"/>
        </w:rPr>
        <w:t xml:space="preserve">Arthur Xiaobo Hong  Peoples Republic of China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2(d).</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Class A ordinary shares, par value US$0.0001 per share, of the Issuer </w:t>
      </w:r>
    </w:p>
    <w:p>
      <w:pPr>
        <w:pStyle w:val="TextBody"/>
        <w:bidi w:val="0"/>
        <w:spacing w:before="120" w:after="0"/>
        <w:jc w:val="left"/>
        <w:rPr>
          <w:rFonts w:ascii="Times New Roman" w:hAnsi="Times New Roman"/>
          <w:sz w:val="20"/>
        </w:rPr>
      </w:pPr>
      <w:r>
        <w:rPr>
          <w:rFonts w:ascii="Times New Roman" w:hAnsi="Times New Roman"/>
          <w:sz w:val="20"/>
        </w:rPr>
        <w:t xml:space="preserve">The Issuers ordinary shares consist of Class A ordinary shares and Class B ordinary shares, each with par value of US$0.0001 per share. The rights of the holders of Class A ordinary shares and Class B ordinary shares are identical, except with respect to conversion rights and voting rights. Each Class B ordinary share is convertible at the option of the holder at any time into one Class A ordinary share. Class A ordinary shares are not convertible into Class B ordinary shares under any circumstance. Each holder of Class A ordinary shares is entitled to one vote per share and each holder of Class B ordinary shares is entitled to ten votes per share on all matters submitted to them for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G93629 106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 240.13d-1(b), or 240.13d-2(b) or (c), check whether the persons filing is a: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information with respect to the ownership of the ordinary shares of the Issuer by each of the Reporting Persons is provided as of December 31, 2023: </w:t>
      </w:r>
    </w:p>
    <w:p>
      <w:pPr>
        <w:pStyle w:val="TextBody"/>
        <w:bidi w:val="0"/>
        <w:spacing w:before="0" w:after="0"/>
        <w:jc w:val="left"/>
        <w:rPr/>
      </w:pPr>
      <w:r>
        <w:rPr/>
        <w:t> </w:t>
      </w:r>
    </w:p>
    <w:tbl>
      <w:tblPr>
        <w:tblW w:w="11075" w:type="dxa"/>
        <w:jc w:val="center"/>
        <w:tblInd w:w="0" w:type="dxa"/>
        <w:tblLayout w:type="fixed"/>
        <w:tblCellMar>
          <w:top w:w="0" w:type="dxa"/>
          <w:left w:w="0" w:type="dxa"/>
          <w:bottom w:w="0" w:type="dxa"/>
          <w:right w:w="0" w:type="dxa"/>
        </w:tblCellMar>
      </w:tblPr>
      <w:tblGrid>
        <w:gridCol w:w="1295"/>
        <w:gridCol w:w="120"/>
        <w:gridCol w:w="60"/>
        <w:gridCol w:w="1100"/>
        <w:gridCol w:w="60"/>
        <w:gridCol w:w="120"/>
        <w:gridCol w:w="166"/>
        <w:gridCol w:w="889"/>
        <w:gridCol w:w="275"/>
        <w:gridCol w:w="60"/>
        <w:gridCol w:w="166"/>
        <w:gridCol w:w="889"/>
        <w:gridCol w:w="275"/>
        <w:gridCol w:w="60"/>
        <w:gridCol w:w="80"/>
        <w:gridCol w:w="1320"/>
        <w:gridCol w:w="60"/>
        <w:gridCol w:w="120"/>
        <w:gridCol w:w="60"/>
        <w:gridCol w:w="980"/>
        <w:gridCol w:w="60"/>
        <w:gridCol w:w="120"/>
        <w:gridCol w:w="80"/>
        <w:gridCol w:w="1320"/>
        <w:gridCol w:w="60"/>
        <w:gridCol w:w="120"/>
        <w:gridCol w:w="63"/>
        <w:gridCol w:w="1037"/>
        <w:gridCol w:w="60"/>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Person</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pPr>
            <w:r>
              <w:rPr>
                <w:b/>
              </w:rPr>
              <w:t>Percent of</w:t>
            </w:r>
            <w:r>
              <w:rPr/>
              <w:br/>
            </w:r>
            <w:r>
              <w:rPr>
                <w:b/>
              </w:rPr>
              <w:t>aggregate</w:t>
            </w:r>
            <w:r>
              <w:rPr/>
              <w:br/>
            </w:r>
            <w:r>
              <w:rPr>
                <w:b/>
              </w:rPr>
              <w:t>voting</w:t>
            </w:r>
            <w:r>
              <w:rPr/>
              <w:br/>
            </w:r>
            <w:r>
              <w:rPr>
                <w:b/>
              </w:rPr>
              <w:t>power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b/>
              </w:rPr>
              <w:t>Sole power to</w:t>
              <w:br/>
              <w:t>vote or direct</w:t>
            </w:r>
            <w:r>
              <w:rPr/>
              <w:br/>
            </w:r>
            <w:r>
              <w:rPr>
                <w:b/>
              </w:rPr>
              <w:t>the vote: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Shared</w:t>
              <w:br/>
              <w:t>power to</w:t>
              <w:br/>
              <w:t>vote or to</w:t>
              <w:br/>
              <w:t>direct the</w:t>
              <w:br/>
              <w:t>vote: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 power to</w:t>
              <w:br/>
              <w:t>dispose or to</w:t>
              <w:br/>
              <w:t>direct the</w:t>
              <w:br/>
              <w:t>disposition</w:t>
              <w:br/>
              <w:t>of:</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Shared</w:t>
              <w:br/>
              <w:t>power to</w:t>
              <w:br/>
              <w:t>dispose or</w:t>
              <w:br/>
              <w:t>to direct</w:t>
              <w:br/>
              <w:t>the</w:t>
              <w:br/>
              <w:t>disposition</w:t>
              <w:br/>
              <w:t>of:</w:t>
            </w:r>
          </w:p>
        </w:tc>
        <w:tc>
          <w:tcPr>
            <w:tcW w:w="6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 Vivacity Holdings Limited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8,952,810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8,952,810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8,952,810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Arthur Xiaobo Hong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10,777,988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1,825,178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8,952,810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1,825,178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8,952,810</w:t>
            </w:r>
          </w:p>
        </w:tc>
        <w:tc>
          <w:tcPr>
            <w:tcW w:w="60"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Rule 13d-3(d)(1), all Class B ordinary shares (which are convertible into Class A ordinary shares) were deemed to be converted for the purpose of (i) determining the aggregate amount of Class A ordinary shares beneficially owned by the Reporting Persons and (ii) calculating the percentages of the Class A ordinary shares beneficially owned by the Reporting Persons. The percentage of the class of securities beneficially owned by each Reporting Person is calculated based on a total of 108,460,605 issued and outstanding ordinary shares (consisting of 92,900,247 Class A ordinary shares and 15,560,358 Class B ordinary shares) of the Issuer as of December 31, 2023 as a single class. In computing the percentage ownership of the Reporting Persons, the Reporting Persons have included, where applicable, shares that the reporting persons have the right to acquire within 60 days, including through the exercise of any option, warrant, or other right or the conversion of any other security, after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8,952,810 Class A ordinary shares of the Issuer were held by High Vivacity Holdings Limited, a British Virgin Islands company. High Vivacity Holdings Limited is ultimately wholly owned by the Nasa Stand Trust. Under the terms of the Nasa Stand Trust, Arthur Xiaobo Hong has the power to direct the trustee with respect to the retention or disposal of the 8,952,810 Class A ordinary shares of the Issuer and the exercise of any voting and other rights attached thereto. Pursuant to Section 13(d) of the Securities Exchange Act of 1934, as amended, and the rules promulgated thereunder, Arthur Xiaobo Hong may be deemed to beneficially own all the 8,952,810 Class A ordinary shares of the Issuer held by High Vivacity Holdings Limited.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LIST OF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5"/>
        <w:gridCol w:w="812"/>
        <w:gridCol w:w="8198"/>
      </w:tblGrid>
      <w:tr>
        <w:trPr/>
        <w:tc>
          <w:tcPr>
            <w:tcW w:w="1195" w:type="dxa"/>
            <w:tcBorders/>
            <w:vAlign w:val="center"/>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8198" w:type="dxa"/>
            <w:tcBorders/>
            <w:vAlign w:val="center"/>
          </w:tcPr>
          <w:p>
            <w:pPr>
              <w:pStyle w:val="TableContents"/>
              <w:bidi w:val="0"/>
              <w:spacing w:before="0" w:after="283"/>
              <w:jc w:val="left"/>
              <w:rPr>
                <w:sz w:val="4"/>
                <w:szCs w:val="4"/>
              </w:rPr>
            </w:pPr>
            <w:r>
              <w:rPr>
                <w:sz w:val="4"/>
                <w:szCs w:val="4"/>
              </w:rPr>
            </w:r>
          </w:p>
        </w:tc>
      </w:tr>
      <w:tr>
        <w:trPr/>
        <w:tc>
          <w:tcPr>
            <w:tcW w:w="1195"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812" w:type="dxa"/>
            <w:tcBorders/>
            <w:vAlign w:val="bottom"/>
          </w:tcPr>
          <w:p>
            <w:pPr>
              <w:pStyle w:val="TableContents"/>
              <w:bidi w:val="0"/>
              <w:spacing w:before="0" w:after="283"/>
              <w:jc w:val="left"/>
              <w:rPr/>
            </w:pPr>
            <w:r>
              <w:rPr/>
              <w:t>  </w:t>
            </w:r>
          </w:p>
        </w:tc>
        <w:tc>
          <w:tcPr>
            <w:tcW w:w="81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5"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r>
      <w:tr>
        <w:trPr/>
        <w:tc>
          <w:tcPr>
            <w:tcW w:w="1195" w:type="dxa"/>
            <w:tcBorders/>
          </w:tcPr>
          <w:p>
            <w:pPr>
              <w:pStyle w:val="TableContents"/>
              <w:bidi w:val="0"/>
              <w:spacing w:before="0" w:after="283"/>
              <w:jc w:val="left"/>
              <w:rPr/>
            </w:pPr>
            <w:r>
              <w:rPr/>
              <w:t>A</w:t>
            </w:r>
          </w:p>
        </w:tc>
        <w:tc>
          <w:tcPr>
            <w:tcW w:w="812" w:type="dxa"/>
            <w:tcBorders/>
            <w:vAlign w:val="bottom"/>
          </w:tcPr>
          <w:p>
            <w:pPr>
              <w:pStyle w:val="TableContents"/>
              <w:bidi w:val="0"/>
              <w:spacing w:before="0" w:after="283"/>
              <w:jc w:val="left"/>
              <w:rPr/>
            </w:pPr>
            <w:r>
              <w:rPr/>
              <w:t>  </w:t>
            </w:r>
          </w:p>
        </w:tc>
        <w:tc>
          <w:tcPr>
            <w:tcW w:w="8198" w:type="dxa"/>
            <w:tcBorders/>
          </w:tcPr>
          <w:p>
            <w:pPr>
              <w:pStyle w:val="TableContents"/>
              <w:bidi w:val="0"/>
              <w:spacing w:before="0" w:after="283"/>
              <w:jc w:val="left"/>
              <w:rPr/>
            </w:pPr>
            <w:hyperlink r:id="rId2">
              <w:r>
                <w:rPr>
                  <w:rStyle w:val="InternetLink"/>
                </w:rPr>
                <w:t xml:space="preserve">Joint Filing Agreement (incorporated by reference to Exhibit A to Schedule 13G/A filed on February  11, 2015 by the reporting persons with the Securities and Exchange Commission)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February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High Vivacity Holdings Limited</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Xiaobo Hong</w:t>
            </w:r>
          </w:p>
        </w:tc>
      </w:tr>
      <w:tr>
        <w:trPr/>
        <w:tc>
          <w:tcPr>
            <w:tcW w:w="4082" w:type="dxa"/>
            <w:gridSpan w:val="3"/>
            <w:tcBorders/>
          </w:tcPr>
          <w:p>
            <w:pPr>
              <w:pStyle w:val="TableContents"/>
              <w:bidi w:val="0"/>
              <w:spacing w:before="0" w:after="283"/>
              <w:jc w:val="left"/>
              <w:rPr/>
            </w:pPr>
            <w:r>
              <w:rPr/>
              <w:t>Name: Arthur Xiaobo Hong</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Arthur Xiaobo Hong</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Xiaobo Hong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9192/000110465915008500/a15-4280_1ex99d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1448</Words>
  <Characters>7300</Characters>
  <CharactersWithSpaces>8816</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