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304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3047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Liu Xing</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Vipshop Holdings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VIPS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77"/>
        <w:spacing w:after="0" w:line="275" w:lineRule="auto"/>
        <w:rPr>
          <w:sz w:val="20"/>
          <w:szCs w:val="20"/>
          <w:color w:val="auto"/>
        </w:rPr>
      </w:pPr>
      <w:r>
        <w:rPr>
          <w:rFonts w:ascii="Times New Roman" w:cs="Times New Roman" w:eastAsia="Times New Roman" w:hAnsi="Times New Roman"/>
          <w:sz w:val="20"/>
          <w:szCs w:val="20"/>
          <w:color w:val="0000FF"/>
        </w:rPr>
        <w:t>SUITE 3613, 36TH FLOOR, TWO PACIFIC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PLACE, 88 QUEENSWAY</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HONG</w:t>
            </w:r>
          </w:p>
        </w:tc>
        <w:tc>
          <w:tcPr>
            <w:tcW w:w="8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K3</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00000</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KONG</w:t>
            </w:r>
          </w:p>
        </w:tc>
        <w:tc>
          <w:tcPr>
            <w:tcW w:w="8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tcPr>
          <w:p>
            <w:pPr>
              <w:jc w:val="center"/>
              <w:ind w:left="115"/>
              <w:spacing w:after="0"/>
              <w:rPr>
                <w:sz w:val="20"/>
                <w:szCs w:val="20"/>
                <w:color w:val="auto"/>
              </w:rPr>
            </w:pPr>
            <w:r>
              <w:rPr>
                <w:rFonts w:ascii="Times New Roman" w:cs="Times New Roman" w:eastAsia="Times New Roman" w:hAnsi="Times New Roman"/>
                <w:sz w:val="20"/>
                <w:szCs w:val="20"/>
                <w:color w:val="0000FF"/>
                <w:w w:val="94"/>
              </w:rPr>
              <w:t>32,471</w:t>
            </w:r>
          </w:p>
        </w:tc>
        <w:tc>
          <w:tcPr>
            <w:tcW w:w="920" w:type="dxa"/>
            <w:vAlign w:val="bottom"/>
          </w:tcPr>
          <w:p>
            <w:pPr>
              <w:spacing w:after="0"/>
              <w:rPr>
                <w:sz w:val="22"/>
                <w:szCs w:val="22"/>
                <w:color w:val="auto"/>
              </w:rPr>
            </w:pPr>
          </w:p>
        </w:tc>
        <w:tc>
          <w:tcPr>
            <w:tcW w:w="1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jc w:val="center"/>
              <w:ind w:left="115"/>
              <w:spacing w:after="0"/>
              <w:rPr>
                <w:sz w:val="20"/>
                <w:szCs w:val="20"/>
                <w:color w:val="auto"/>
              </w:rPr>
            </w:pPr>
            <w:r>
              <w:rPr>
                <w:rFonts w:ascii="Times New Roman" w:cs="Times New Roman" w:eastAsia="Times New Roman" w:hAnsi="Times New Roman"/>
                <w:sz w:val="20"/>
                <w:szCs w:val="20"/>
                <w:color w:val="0000FF"/>
                <w:w w:val="97"/>
              </w:rPr>
              <w:t>8,615</w:t>
            </w:r>
          </w:p>
        </w:tc>
        <w:tc>
          <w:tcPr>
            <w:tcW w:w="9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jc w:val="center"/>
              <w:ind w:left="115"/>
              <w:spacing w:after="0"/>
              <w:rPr>
                <w:sz w:val="20"/>
                <w:szCs w:val="20"/>
                <w:color w:val="auto"/>
              </w:rPr>
            </w:pPr>
            <w:r>
              <w:rPr>
                <w:rFonts w:ascii="Times New Roman" w:cs="Times New Roman" w:eastAsia="Times New Roman" w:hAnsi="Times New Roman"/>
                <w:sz w:val="20"/>
                <w:szCs w:val="20"/>
                <w:color w:val="0000FF"/>
                <w:w w:val="94"/>
              </w:rPr>
              <w:t>49,961</w:t>
            </w:r>
          </w:p>
        </w:tc>
        <w:tc>
          <w:tcPr>
            <w:tcW w:w="920" w:type="dxa"/>
            <w:vAlign w:val="bottom"/>
          </w:tcPr>
          <w:p>
            <w:pPr>
              <w:spacing w:after="0"/>
              <w:rPr>
                <w:sz w:val="24"/>
                <w:szCs w:val="24"/>
                <w:color w:val="auto"/>
              </w:rPr>
            </w:pPr>
          </w:p>
        </w:tc>
        <w:tc>
          <w:tcPr>
            <w:tcW w:w="1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0000FF"/>
                <w:w w:val="89"/>
              </w:rPr>
              <w:t>I</w:t>
            </w:r>
          </w:p>
        </w:tc>
        <w:tc>
          <w:tcPr>
            <w:tcW w:w="186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0000FF"/>
              </w:rPr>
              <w:t>By spouse</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5"/>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60"/>
              <w:spacing w:after="0"/>
              <w:rPr>
                <w:sz w:val="20"/>
                <w:szCs w:val="20"/>
                <w:color w:val="auto"/>
              </w:rPr>
            </w:pPr>
            <w:r>
              <w:rPr>
                <w:rFonts w:ascii="Arial" w:cs="Arial" w:eastAsia="Arial" w:hAnsi="Arial"/>
                <w:sz w:val="15"/>
                <w:szCs w:val="15"/>
                <w:b w:val="1"/>
                <w:bCs w:val="1"/>
                <w:color w:val="auto"/>
                <w:w w:val="99"/>
              </w:rPr>
              <w:t>3. Title and Amount of Securities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gridSpan w:val="3"/>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92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3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2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8,615 Class A ordinary shares issuable upon vesting of the underlying restricted share awards that remain outstanding as of the date hereof. The underlying restricted share awards were granted by the Issuer on April 1, 2024. The remaining restricted share awards will vest in equal installments on a quarterly basis until April 1, 2028, subject to the terms and conditions of the underlying award agreement.</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Xing Liu</w:t>
            </w:r>
          </w:p>
        </w:tc>
        <w:tc>
          <w:tcPr>
            <w:tcW w:w="124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17386" TargetMode="External"/><Relationship Id="rId11" Type="http://schemas.openxmlformats.org/officeDocument/2006/relationships/hyperlink" Target="http://www.sec.gov/cgi-bin/browse-edgar?action=getcompany&amp;CIK=00015291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2026-03-18T16:43:48Z</dcterms:created>
  <dcterms:modified xsi:type="dcterms:W3CDTF">2026-03-18T16:43:48Z</dcterms:modified>
</cp:coreProperties>
</file>