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133350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14d-100)</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124460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VIPSHOP HOLDINGS LIMITED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Subject Company (Issuer))</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VIPSHOP HOLDINGS LIMITED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Filing Person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133350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1.50% Convertible Senior Notes due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92763WAA1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134620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Donghao Yang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20 Huahai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Liwan District, Guangzhou 510370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+86 (20) 2233-0000</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with copy to:</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Z. Julie Gao,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42/F, Edinburgh Tower, The Landmark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 Queen’s Road, Central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Hong Kong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+852 3740-4700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 and communications on behalf of the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134620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7500" w:type="dxa"/>
            <w:vAlign w:val="bottom"/>
            <w:gridSpan w:val="3"/>
          </w:tcPr>
          <w:p>
            <w:pPr>
              <w:ind w:left="440"/>
              <w:spacing w:after="0"/>
              <w:rPr>
                <w:sz w:val="20"/>
                <w:szCs w:val="20"/>
                <w:color w:val="auto"/>
              </w:rPr>
            </w:pPr>
            <w:r>
              <w:rPr>
                <w:rFonts w:ascii="Arial" w:cs="Arial" w:eastAsia="Arial" w:hAnsi="Arial"/>
                <w:sz w:val="18"/>
                <w:szCs w:val="18"/>
                <w:b w:val="1"/>
                <w:bCs w:val="1"/>
                <w:color w:val="auto"/>
              </w:rPr>
              <w:t>CALCULATION OF FILING FEE</w:t>
            </w:r>
          </w:p>
        </w:tc>
      </w:tr>
      <w:tr>
        <w:trPr>
          <w:trHeight w:val="243"/>
        </w:trPr>
        <w:tc>
          <w:tcPr>
            <w:tcW w:w="392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Transaction Valuation</w:t>
            </w:r>
          </w:p>
        </w:tc>
        <w:tc>
          <w:tcPr>
            <w:tcW w:w="17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Amount of Filing Fee</w:t>
            </w:r>
          </w:p>
        </w:tc>
      </w:tr>
      <w:tr>
        <w:trPr>
          <w:trHeight w:val="298"/>
        </w:trPr>
        <w:tc>
          <w:tcPr>
            <w:tcW w:w="3920" w:type="dxa"/>
            <w:vAlign w:val="bottom"/>
          </w:tcPr>
          <w:p>
            <w:pPr>
              <w:ind w:left="2140"/>
              <w:spacing w:after="0"/>
              <w:rPr>
                <w:sz w:val="20"/>
                <w:szCs w:val="20"/>
                <w:color w:val="auto"/>
              </w:rPr>
            </w:pPr>
            <w:r>
              <w:rPr>
                <w:rFonts w:ascii="Arial" w:cs="Arial" w:eastAsia="Arial" w:hAnsi="Arial"/>
                <w:sz w:val="18"/>
                <w:szCs w:val="18"/>
                <w:color w:val="auto"/>
              </w:rPr>
              <w:t>US$632,500,000</w:t>
            </w:r>
            <w:r>
              <w:rPr>
                <w:rFonts w:ascii="Arial" w:cs="Arial" w:eastAsia="Arial" w:hAnsi="Arial"/>
                <w:sz w:val="23"/>
                <w:szCs w:val="23"/>
                <w:color w:val="auto"/>
                <w:vertAlign w:val="superscript"/>
              </w:rPr>
              <w:t>(1)</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8"/>
              </w:rPr>
              <w:t>US$73,306.75</w:t>
            </w:r>
            <w:r>
              <w:rPr>
                <w:rFonts w:ascii="Arial" w:cs="Arial" w:eastAsia="Arial" w:hAnsi="Arial"/>
                <w:sz w:val="23"/>
                <w:szCs w:val="23"/>
                <w:color w:val="auto"/>
                <w:w w:val="88"/>
                <w:vertAlign w:val="superscript"/>
              </w:rPr>
              <w:t>(2)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9" w:lineRule="exact"/>
        <w:rPr>
          <w:sz w:val="24"/>
          <w:szCs w:val="24"/>
          <w:color w:val="auto"/>
        </w:rPr>
      </w:pPr>
    </w:p>
    <w:p>
      <w:pPr>
        <w:ind w:left="340" w:right="100" w:hanging="332"/>
        <w:spacing w:after="0" w:line="227" w:lineRule="auto"/>
        <w:tabs>
          <w:tab w:leader="none" w:pos="319"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solely for purposes of determining the filing fee. The purchase price of the 1.50% Convertible Senior Notes due 2019 (the “Notes”), as described herein, is US$1,000 per US$1,000 principal amount outstanding. As of February 13, 2017, there was US$632,500,000 aggregate principal amount of Notes outstanding, resulting in an aggregate maximum purchase price of US$632,500,000 (excluding accrued but unpaid interest).</w:t>
      </w:r>
    </w:p>
    <w:p>
      <w:pPr>
        <w:ind w:left="340" w:right="20" w:hanging="332"/>
        <w:spacing w:after="0" w:line="237" w:lineRule="auto"/>
        <w:tabs>
          <w:tab w:leader="none" w:pos="319"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amount of the filing fee was calculated in accordance with Rule 0-11 of the Securities Exchange Act of 1934, as amended, and equals US$115.90 for each US$1,000,000 of the value of the transaction.</w:t>
      </w:r>
    </w:p>
    <w:p>
      <w:pPr>
        <w:spacing w:after="0" w:line="188" w:lineRule="exact"/>
        <w:rPr>
          <w:sz w:val="24"/>
          <w:szCs w:val="24"/>
          <w:color w:val="auto"/>
        </w:rPr>
      </w:pPr>
    </w:p>
    <w:p>
      <w:pPr>
        <w:ind w:left="340" w:right="480" w:hanging="332"/>
        <w:spacing w:after="0" w:line="277" w:lineRule="auto"/>
        <w:tabs>
          <w:tab w:leader="none" w:pos="268"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422" w:right="239" w:bottom="571" w:gutter="0" w:footer="0" w:header="0"/>
        </w:sectPr>
      </w:pPr>
    </w:p>
    <w:p>
      <w:pPr>
        <w:spacing w:after="0" w:line="49"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Amount Previously Paid:</w:t>
      </w:r>
    </w:p>
    <w:p>
      <w:pPr>
        <w:spacing w:after="0" w:line="35"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Form or Registration No.:</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7"/>
          <w:szCs w:val="17"/>
          <w:color w:val="auto"/>
        </w:rPr>
        <w:t>Filing Party:</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111" w:lineRule="exact"/>
        <w:rPr>
          <w:sz w:val="24"/>
          <w:szCs w:val="24"/>
          <w:color w:val="auto"/>
        </w:rPr>
      </w:pPr>
    </w:p>
    <w:p>
      <w:pPr>
        <w:sectPr>
          <w:pgSz w:w="11900" w:h="16838" w:orient="portrait"/>
          <w:cols w:equalWidth="0" w:num="4">
            <w:col w:w="2900" w:space="720"/>
            <w:col w:w="2360" w:space="720"/>
            <w:col w:w="900" w:space="480"/>
            <w:col w:w="3340"/>
          </w:cols>
          <w:pgMar w:left="240" w:top="422" w:right="239" w:bottom="571" w:gutter="0" w:footer="0" w:header="0"/>
          <w:type w:val="continuous"/>
        </w:sectPr>
      </w:pPr>
    </w:p>
    <w:p>
      <w:pPr>
        <w:ind w:right="2340" w:firstLine="8"/>
        <w:spacing w:after="0" w:line="258" w:lineRule="auto"/>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to designate any transactions to which the statement relates:</w:t>
      </w:r>
    </w:p>
    <w:p>
      <w:pPr>
        <w:spacing w:after="0" w:line="1" w:lineRule="exact"/>
        <w:rPr>
          <w:rFonts w:ascii="Arial" w:cs="Arial" w:eastAsia="Arial" w:hAnsi="Arial"/>
          <w:sz w:val="18"/>
          <w:szCs w:val="18"/>
          <w:color w:val="auto"/>
        </w:rPr>
      </w:pPr>
    </w:p>
    <w:p>
      <w:pPr>
        <w:ind w:left="640" w:hanging="63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tender offer subject to Rule 14d-1.</w:t>
      </w:r>
    </w:p>
    <w:p>
      <w:pPr>
        <w:spacing w:after="0" w:line="9" w:lineRule="exact"/>
        <w:rPr>
          <w:sz w:val="24"/>
          <w:szCs w:val="24"/>
          <w:color w:val="auto"/>
        </w:rPr>
      </w:pPr>
    </w:p>
    <w:p>
      <w:pPr>
        <w:ind w:left="600" w:hanging="59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issuer tender offer subject to Rule 13e-4.</w:t>
      </w:r>
    </w:p>
    <w:p>
      <w:pPr>
        <w:spacing w:after="0" w:line="9" w:lineRule="exact"/>
        <w:rPr>
          <w:sz w:val="24"/>
          <w:szCs w:val="24"/>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200" w:lineRule="exact"/>
        <w:rPr>
          <w:sz w:val="24"/>
          <w:szCs w:val="24"/>
          <w:color w:val="auto"/>
        </w:rPr>
      </w:pPr>
    </w:p>
    <w:p>
      <w:pPr>
        <w:spacing w:after="0" w:line="227" w:lineRule="exact"/>
        <w:rPr>
          <w:sz w:val="24"/>
          <w:szCs w:val="24"/>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Rule 13e-4(i) (Cross-Border Issuer Tender Offer)</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269875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22" w:right="239" w:bottom="571"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INTRODUCTORY STATEMENT</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As required by, pursuant to the terms of and subject to the conditions set forth in the Indenture dated as of March 17, 2014 (the “Base Indenture”), by and between Vipshop Holdings Limited (the “Company”) and Deutsche Bank Trust Company Americas, as trustee and paying agent (the “Trustee” and the “Paying Agent”), as amended by the First Supplemental Indenture dated as of March 17, 2014 and further amended by the Second Supplemental Indenture dated as of November 11, 2014 (the Base Indenture, as so amended, is herein referred to as the “Indenture”), for the Company’s 1.50% Convertible Senior Notes due 2019 (the “Notes”), this Tender Offer Statement on Schedule TO (“Schedule TO”) is filed by the Company with respect to the right of each holder (the “Holder”) of the Notes to sell and the obligation of the Company to purchase the Notes, as set forth in the Company’s Put Right Notice to the Holders dated February 14, 2017 (the “Put Right Notice”) and the related notice materials filed as exhibits to this Schedule TO (which Put Right Notice and related notice materials, as amended or supplemented from time to time, collectively constitute the “Put Option”).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Schedule TO is intended to satisfy the disclosure requirements of Rule 13e-4(c)(2) under the Securities Exchange Act of 1934, as amended.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 through 9.</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is the issuer of the Notes and is obligated to purchase all of the Notes if properly tendered by the Holders under the terms and subject to the conditions set forth in the Put Option. The Notes are convertible into the Company’s American depositary shares (“ADSs”), each representing 0.2 Class A ordinary share, par value US$0.0001 per share of the Company, subject to the terms, conditions and adjustments specified in the Indenture and the Notes. The Company maintains its principal executive offices at No. 20 Huahai Street, Liwan District, Guangzhou, Guangdong 510370, People’s Republic of China, and the telephone number at this address is +86 (20) 2233-0000. The Company’s registered office in the Cayman Islands is located at the office of International Corporation Services Ltd., P.O. Box 472, 2nd Floor, Harbour Place, 103 South Church Street, George Town, Grand Cayman, KY1-1106, Cayman Islands.</w:t>
      </w:r>
    </w:p>
    <w:p>
      <w:pPr>
        <w:spacing w:after="0" w:line="18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As permitted by General Instruction F to Schedule TO, all of the information set forth in the Put Option is incorporated by reference into this Schedule TO.</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FINANCIAL STATEMENTS.</w:t>
      </w:r>
    </w:p>
    <w:p>
      <w:pPr>
        <w:spacing w:after="0" w:line="229" w:lineRule="exact"/>
        <w:rPr>
          <w:sz w:val="20"/>
          <w:szCs w:val="20"/>
          <w:color w:val="auto"/>
        </w:rPr>
      </w:pPr>
    </w:p>
    <w:p>
      <w:pPr>
        <w:ind w:firstLine="656"/>
        <w:spacing w:after="0" w:line="257" w:lineRule="auto"/>
        <w:tabs>
          <w:tab w:leader="none" w:pos="1294"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Pursuant to Instruction 2 to Item 10 of Schedule TO, the Company’s financial condition is not material to a Holder’s decision whether to put the Notes to the Company because (i) the consideration being paid to Holders surrendering Notes consists solely of cash, (ii) the Put Option is not subject to any financing conditions, (iii) the Put Option applies to all outstanding Notes, and (iv) the Company is a public reporting company that files reports electronically on EDGAR. The financial condition and results of operations of the Company and its subsidiaries are reported electronically on EDGAR on a consolidated basis.</w:t>
      </w:r>
    </w:p>
    <w:p>
      <w:pPr>
        <w:spacing w:after="0" w:line="188" w:lineRule="exact"/>
        <w:rPr>
          <w:rFonts w:ascii="Arial" w:cs="Arial" w:eastAsia="Arial" w:hAnsi="Arial"/>
          <w:sz w:val="18"/>
          <w:szCs w:val="18"/>
          <w:color w:val="auto"/>
        </w:rPr>
      </w:pPr>
    </w:p>
    <w:p>
      <w:pPr>
        <w:ind w:left="1320" w:hanging="66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ADDITIONAL INFORMATION.</w:t>
      </w:r>
    </w:p>
    <w:p>
      <w:pPr>
        <w:spacing w:after="0" w:line="22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1320" w:hanging="66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12.</w:t>
        <w:tab/>
        <w:t>EXHIBITS.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6"/>
          <w:szCs w:val="16"/>
          <w:color w:val="auto"/>
        </w:rPr>
        <w:t>(a)(1)</w:t>
        <w:tab/>
        <w:t>Put Right Notice to Holders of 1.50% Convertible Senior Notes due 2019 Issued by Vipshop Holdings Limited, dated February 14, 2017.</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(a)(5)</w:t>
        <w:tab/>
        <w:t>Press release issued by the Company, dated February 14, 2017.</w:t>
      </w:r>
    </w:p>
    <w:p>
      <w:pPr>
        <w:spacing w:after="0" w:line="225" w:lineRule="exact"/>
        <w:rPr>
          <w:sz w:val="20"/>
          <w:szCs w:val="20"/>
          <w:color w:val="auto"/>
        </w:rPr>
      </w:pPr>
    </w:p>
    <w:p>
      <w:pPr>
        <w:ind w:left="1320" w:hanging="66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both"/>
        <w:ind w:left="1300" w:right="300" w:hanging="647"/>
        <w:spacing w:after="0" w:line="264" w:lineRule="auto"/>
        <w:tabs>
          <w:tab w:leader="none" w:pos="1280" w:val="left"/>
        </w:tabs>
        <w:rPr>
          <w:sz w:val="20"/>
          <w:szCs w:val="20"/>
          <w:color w:val="auto"/>
        </w:rPr>
      </w:pPr>
      <w:r>
        <w:rPr>
          <w:rFonts w:ascii="Arial" w:cs="Arial" w:eastAsia="Arial" w:hAnsi="Arial"/>
          <w:sz w:val="18"/>
          <w:szCs w:val="18"/>
          <w:color w:val="auto"/>
        </w:rPr>
        <w:t>(d)(1)</w:t>
        <w:tab/>
        <w:t>Indenture, dated as of March 17, 2014, between the Company and Deutsche Bank Trust Company Americas, as trustee, incorporated by reference to Exhibit 2.4 from the Company’s Annual Report on Form 20-F (File No. 001-35454) filed with the Securities and Exchange Commission on April 25, 2014.</w:t>
      </w:r>
    </w:p>
    <w:p>
      <w:pPr>
        <w:spacing w:after="0" w:line="181" w:lineRule="exact"/>
        <w:rPr>
          <w:sz w:val="20"/>
          <w:szCs w:val="20"/>
          <w:color w:val="auto"/>
        </w:rPr>
      </w:pPr>
    </w:p>
    <w:p>
      <w:pPr>
        <w:ind w:left="1300" w:right="60" w:hanging="647"/>
        <w:spacing w:after="0" w:line="264" w:lineRule="auto"/>
        <w:tabs>
          <w:tab w:leader="none" w:pos="1280" w:val="left"/>
        </w:tabs>
        <w:rPr>
          <w:sz w:val="20"/>
          <w:szCs w:val="20"/>
          <w:color w:val="auto"/>
        </w:rPr>
      </w:pPr>
      <w:r>
        <w:rPr>
          <w:rFonts w:ascii="Arial" w:cs="Arial" w:eastAsia="Arial" w:hAnsi="Arial"/>
          <w:sz w:val="18"/>
          <w:szCs w:val="18"/>
          <w:color w:val="auto"/>
        </w:rPr>
        <w:t>(d)(2)</w:t>
        <w:tab/>
        <w:t>First Supplemental Indenture, dated as of March 17, 2014, between the Company and Deutsche Bank Trust Company Americas, as trustee, incorporated by reference to Exhibit 2.5 from the Company’s Annual Report on Form 20-F (File No. 001-35454) filed with the Securities and Exchange Commission on April 25, 2014.</w:t>
      </w:r>
    </w:p>
    <w:p>
      <w:pPr>
        <w:spacing w:after="0" w:line="181" w:lineRule="exact"/>
        <w:rPr>
          <w:sz w:val="20"/>
          <w:szCs w:val="20"/>
          <w:color w:val="auto"/>
        </w:rPr>
      </w:pPr>
    </w:p>
    <w:p>
      <w:pPr>
        <w:ind w:left="1300" w:right="160" w:hanging="647"/>
        <w:spacing w:after="0" w:line="264" w:lineRule="auto"/>
        <w:tabs>
          <w:tab w:leader="none" w:pos="1280" w:val="left"/>
        </w:tabs>
        <w:rPr>
          <w:sz w:val="20"/>
          <w:szCs w:val="20"/>
          <w:color w:val="auto"/>
        </w:rPr>
      </w:pPr>
      <w:r>
        <w:rPr>
          <w:rFonts w:ascii="Arial" w:cs="Arial" w:eastAsia="Arial" w:hAnsi="Arial"/>
          <w:sz w:val="18"/>
          <w:szCs w:val="18"/>
          <w:color w:val="auto"/>
        </w:rPr>
        <w:t>(d)(3)</w:t>
        <w:tab/>
        <w:t>Second Supplemental Indenture, dated as of November 11, 2014, between the Company and Deutsche Bank Trust Company Americas, as trustee, incorporated by reference to Exhibit 2.7 from the Company’s Annual Report on Form 20-F (File No. 001-35454) filed with the Securities and Exchange Commission on April 24, 2015.</w:t>
      </w:r>
    </w:p>
    <w:p>
      <w:pPr>
        <w:spacing w:after="0" w:line="181" w:lineRule="exact"/>
        <w:rPr>
          <w:sz w:val="20"/>
          <w:szCs w:val="20"/>
          <w:color w:val="auto"/>
        </w:rPr>
      </w:pPr>
    </w:p>
    <w:p>
      <w:pPr>
        <w:ind w:left="1320" w:hanging="664"/>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INFORMATION REQUIRED BY SCHEDULE 13E-3.</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316"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VIPSHOP HOLDINGS LIMITED</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Donghao Yang</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Donghao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February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(a)(1)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1"/>
              </w:rPr>
              <w:t>Put Right Notice to Holders of 1.50% Convertible Senior Notes due 2019 Issued by Vipshop Holdings Limited, dated February 14, 2017.</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(a)(5)</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issued by the Company, dated February 14, 2017.</w:t>
            </w:r>
          </w:p>
        </w:tc>
        <w:tc>
          <w:tcPr>
            <w:tcW w:w="4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(d)(1)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0"/>
              </w:rPr>
              <w:t>Indenture, dated as of March 17, 2014, between the Company and Deutsche Bank Trust Company Americas, as trustee, incorporated by</w:t>
            </w:r>
          </w:p>
        </w:tc>
        <w:tc>
          <w:tcPr>
            <w:tcW w:w="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reference to Exhibit 2.4 from the Company’s Annual Report on Form 20-F (File No. 001-35454) filed with the Securities and Exchange</w:t>
            </w:r>
          </w:p>
        </w:tc>
        <w:tc>
          <w:tcPr>
            <w:tcW w:w="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Commission on April 25, 2014.</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(d)(2)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4"/>
              </w:rPr>
              <w:t>First Supplemental Indenture, dated as of March 17, 2014, between the Company and Deutsche Bank Trust Company Americas, as</w:t>
            </w:r>
          </w:p>
        </w:tc>
        <w:tc>
          <w:tcPr>
            <w:tcW w:w="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trustee, incorporated by reference to Exhibit 2.5 from the Company’s Annual Report on Form 20-F (File No. 001-35454) filed with the</w:t>
            </w:r>
          </w:p>
        </w:tc>
        <w:tc>
          <w:tcPr>
            <w:tcW w:w="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Securities and Exchange Commission on April 25, 2014.</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(d)(3)</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89"/>
              </w:rPr>
              <w:t>Second Supplemental Indenture, dated as of November 11, 2014, between the Company and Deutsche Bank Trust Company Americas, as</w:t>
            </w:r>
          </w:p>
        </w:tc>
        <w:tc>
          <w:tcPr>
            <w:tcW w:w="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trustee, incorporated by reference to Exhibit 2.7 from the Company’s Annual Report on Form 20-F (File No. 001-35454) filed with the</w:t>
            </w:r>
          </w:p>
        </w:tc>
        <w:tc>
          <w:tcPr>
            <w:tcW w:w="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Securities and Exchange Commission on April 24, 2015.</w:t>
            </w:r>
          </w:p>
        </w:tc>
        <w:tc>
          <w:tcPr>
            <w:tcW w:w="40" w:type="dxa"/>
            <w:vAlign w:val="bottom"/>
          </w:tcPr>
          <w:p>
            <w:pPr>
              <w:spacing w:after="0"/>
              <w:rPr>
                <w:sz w:val="20"/>
                <w:szCs w:val="20"/>
                <w:color w:val="auto"/>
              </w:rPr>
            </w:pPr>
          </w:p>
        </w:tc>
      </w:tr>
      <w:tr>
        <w:trPr>
          <w:trHeight w:val="348"/>
        </w:trPr>
        <w:tc>
          <w:tcPr>
            <w:tcW w:w="1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99.(a)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PUT RIGHT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HOLDERS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1.50% CONVERTIBLE SENIOR NOTES DUE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 92763WAA1</w:t>
      </w:r>
    </w:p>
    <w:p>
      <w:pPr>
        <w:spacing w:after="0" w:line="211"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Reference is made to that certain Indenture, dated as of March 17, 2014 (the “Base Indenture”), by and between Vipshop Holdings Limited (the “Company”) and Deutsche Bank Trust Company Americas, as trustee and paying agent (the “Trustee” and the “Paying Agent”), as amended by the First Supplemental Indenture dated as of March 17, 2014 and further amended by the Second Supplemental Indenture dated as of November 11, 2014 (the Base Indenture, as so amended, is herein referred to as the “Indenture”), for the Company’s 1.50% Convertible Senior Notes due 2019 (the “Notes”). Capitalized terms used but not defined herein shall have the meaning ascribed to such terms in the Indenture.</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Notice is hereby given pursuant to Section 3.04(b) of the First Supplemental Indenture that, at the option of each holder of the Notes (the “Holder”), the Company will repurchase such Holder’s Notes or any portion of the principal thereof that is equal to US$1,000 or an integral multiple thereof at a purchase price (the “2017 Repurchase Price”) equal to 100% of the principal amount of the Notes to be repurchased,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accrued and unpaid interest to, but not including, March 15, 2017, which is the date specified for repurchase in the First Supplemental Indenture (the “2017 Repurchase Date”), subject to the terms and conditions of the Indenture, the Notes and this Put Right Notice and related notice materials, as amended and supplemented from time to time (the “Put Right”). To exercise its Put Right, a Holder must deliver a 2017 Repurchase Notice (as further described in this Put Right Notice) at any time between 9:00 a.m., New York City time, on Tuesday, February 14, 2017 and 5:00 p.m., New York City time, on Monday, March 13, 2017 (the “Expiration Date”), which is the second Business Day immediately preceding the 2017 Repurchase Date.</w:t>
      </w:r>
    </w:p>
    <w:p>
      <w:pPr>
        <w:spacing w:after="0" w:line="175" w:lineRule="exact"/>
        <w:rPr>
          <w:sz w:val="20"/>
          <w:szCs w:val="20"/>
          <w:color w:val="auto"/>
        </w:rPr>
      </w:pPr>
    </w:p>
    <w:p>
      <w:pPr>
        <w:ind w:right="120" w:firstLine="648"/>
        <w:spacing w:after="0" w:line="274" w:lineRule="auto"/>
        <w:rPr>
          <w:sz w:val="20"/>
          <w:szCs w:val="20"/>
          <w:color w:val="auto"/>
        </w:rPr>
      </w:pPr>
      <w:r>
        <w:rPr>
          <w:rFonts w:ascii="Arial" w:cs="Arial" w:eastAsia="Arial" w:hAnsi="Arial"/>
          <w:sz w:val="17"/>
          <w:szCs w:val="17"/>
          <w:b w:val="1"/>
          <w:bCs w:val="1"/>
          <w:color w:val="auto"/>
        </w:rPr>
        <w:t>To exercise your Put Right and receive the 2017 Repurchase Price, you must deliver the Notes through the transmittal procedures of the Depository Trust Company (“DTC”) prior to 5:00 p.m., New York City time, on the Expiration Date. Notes delivered through the transmittal procedures of DTC for purchase may be withdrawn at any time prior to 5:00 p.m., New York City time, on Tuesday, March 14, 2017, which is the Business Day immediately prior to the 2017 Repurchase Date, by complying with the withdrawal procedures of DTC. The surrender by a Holder of any Notes to DTC via the transmittal procedures of DTC’s Automated Tender Offer Program will constitute delivery of a 2017 Repurchase Notice that satisfies such Holder’s notice requirements for its exercise of its Put Right.</w:t>
      </w:r>
    </w:p>
    <w:p>
      <w:pPr>
        <w:spacing w:after="0" w:line="174"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The Trustee has informed the Company that, as of the date of this Put Right Notice, all custodians and beneficial holders of the Notes hold the Notes through DTC accounts and that there are no certificated Notes in non-global form.</w:t>
      </w:r>
    </w:p>
    <w:p>
      <w:pPr>
        <w:sectPr>
          <w:pgSz w:w="11900" w:h="16838" w:orient="portrait"/>
          <w:cols w:equalWidth="0" w:num="1">
            <w:col w:w="11420"/>
          </w:cols>
          <w:pgMar w:left="240" w:top="121" w:right="239" w:bottom="0" w:gutter="0" w:footer="0" w:header="0"/>
        </w:sectPr>
      </w:pPr>
    </w:p>
    <w:p>
      <w:pPr>
        <w:spacing w:after="0" w:line="166" w:lineRule="exact"/>
        <w:rPr>
          <w:sz w:val="20"/>
          <w:szCs w:val="20"/>
          <w:color w:val="auto"/>
        </w:rPr>
      </w:pPr>
    </w:p>
    <w:p>
      <w:pPr>
        <w:jc w:val="center"/>
        <w:ind w:left="3680"/>
        <w:spacing w:after="0"/>
        <w:rPr>
          <w:sz w:val="20"/>
          <w:szCs w:val="20"/>
          <w:color w:val="auto"/>
        </w:rPr>
      </w:pPr>
      <w:r>
        <w:rPr>
          <w:rFonts w:ascii="Arial" w:cs="Arial" w:eastAsia="Arial" w:hAnsi="Arial"/>
          <w:sz w:val="18"/>
          <w:szCs w:val="18"/>
          <w:color w:val="auto"/>
        </w:rPr>
        <w:t>The Paying Agent is</w:t>
      </w:r>
    </w:p>
    <w:p>
      <w:pPr>
        <w:spacing w:after="0" w:line="221" w:lineRule="exact"/>
        <w:rPr>
          <w:sz w:val="20"/>
          <w:szCs w:val="20"/>
          <w:color w:val="auto"/>
        </w:rPr>
      </w:pPr>
    </w:p>
    <w:p>
      <w:pPr>
        <w:jc w:val="center"/>
        <w:ind w:left="368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29"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and for purposes of this Put Right Notice, the address 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Regular, Registered or Certified Mail or Overnight Courier: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DB Services Americas,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5022 Gate Parkway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JCK01-0218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 32256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By Facsimile (for Eligible Institutions only):</w:t>
      </w:r>
    </w:p>
    <w:p>
      <w:pPr>
        <w:spacing w:after="0" w:line="237"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+1 (615) 866-3889</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Information or Confirmation by Telephone:</w:t>
      </w:r>
    </w:p>
    <w:p>
      <w:pPr>
        <w:spacing w:after="0" w:line="248"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+1 (800) 735-7777</w:t>
      </w:r>
    </w:p>
    <w:p>
      <w:pPr>
        <w:spacing w:after="0" w:line="237" w:lineRule="exact"/>
        <w:rPr>
          <w:sz w:val="20"/>
          <w:szCs w:val="20"/>
          <w:color w:val="auto"/>
        </w:rPr>
      </w:pPr>
    </w:p>
    <w:p>
      <w:pPr>
        <w:sectPr>
          <w:pgSz w:w="11900" w:h="16838" w:orient="portrait"/>
          <w:cols w:equalWidth="0" w:num="2">
            <w:col w:w="7740" w:space="240"/>
            <w:col w:w="3440"/>
          </w:cols>
          <w:pgMar w:left="240" w:top="121" w:right="239" w:bottom="0" w:gutter="0" w:footer="0" w:header="0"/>
          <w:type w:val="continuous"/>
        </w:sectPr>
      </w:pPr>
    </w:p>
    <w:p>
      <w:pPr>
        <w:spacing w:after="0" w:line="1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Additional copies of this Put Right Notice may be obtained from the Paying Agent at its addresses set forth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February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20" w:type="dxa"/>
            <w:vAlign w:val="bottom"/>
            <w:gridSpan w:val="3"/>
            <w:vMerge w:val="restart"/>
          </w:tcPr>
          <w:p>
            <w:pPr>
              <w:spacing w:after="0"/>
              <w:rPr>
                <w:sz w:val="20"/>
                <w:szCs w:val="20"/>
                <w:color w:val="auto"/>
              </w:rPr>
            </w:pPr>
            <w:r>
              <w:rPr>
                <w:rFonts w:ascii="Arial" w:cs="Arial" w:eastAsia="Arial" w:hAnsi="Arial"/>
                <w:sz w:val="18"/>
                <w:szCs w:val="18"/>
                <w:color w:val="auto"/>
              </w:rPr>
              <w:t>SUMMARY TERM SHEET</w:t>
            </w:r>
          </w:p>
        </w:tc>
        <w:tc>
          <w:tcPr>
            <w:tcW w:w="2000" w:type="dxa"/>
            <w:vAlign w:val="bottom"/>
            <w:gridSpan w:val="2"/>
          </w:tcPr>
          <w:p>
            <w:pPr>
              <w:ind w:left="8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9320" w:type="dxa"/>
            <w:vAlign w:val="bottom"/>
            <w:gridSpan w:val="3"/>
            <w:vMerge w:val="continue"/>
          </w:tcPr>
          <w:p>
            <w:pPr>
              <w:spacing w:after="0"/>
              <w:rPr>
                <w:sz w:val="16"/>
                <w:szCs w:val="16"/>
                <w:color w:val="auto"/>
              </w:rPr>
            </w:pPr>
          </w:p>
        </w:tc>
        <w:tc>
          <w:tcPr>
            <w:tcW w:w="1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320" w:type="dxa"/>
            <w:vAlign w:val="bottom"/>
            <w:gridSpan w:val="3"/>
          </w:tcPr>
          <w:p>
            <w:pPr>
              <w:spacing w:after="0"/>
              <w:rPr>
                <w:sz w:val="20"/>
                <w:szCs w:val="20"/>
                <w:color w:val="auto"/>
              </w:rPr>
            </w:pPr>
            <w:r>
              <w:rPr>
                <w:rFonts w:ascii="Arial" w:cs="Arial" w:eastAsia="Arial" w:hAnsi="Arial"/>
                <w:sz w:val="18"/>
                <w:szCs w:val="18"/>
                <w:color w:val="auto"/>
              </w:rPr>
              <w:t>IMPORTANT INFORMATION CONCERNING THE PUT RIGHT</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9000" w:type="dxa"/>
            <w:vAlign w:val="bottom"/>
            <w:gridSpan w:val="2"/>
          </w:tcPr>
          <w:p>
            <w:pPr>
              <w:ind w:left="180"/>
              <w:spacing w:after="0"/>
              <w:rPr>
                <w:sz w:val="20"/>
                <w:szCs w:val="20"/>
                <w:color w:val="auto"/>
              </w:rPr>
            </w:pPr>
            <w:r>
              <w:rPr>
                <w:rFonts w:ascii="Arial" w:cs="Arial" w:eastAsia="Arial" w:hAnsi="Arial"/>
                <w:sz w:val="18"/>
                <w:szCs w:val="18"/>
                <w:color w:val="auto"/>
              </w:rPr>
              <w:t>Information Concerning the Company</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9000" w:type="dxa"/>
            <w:vAlign w:val="bottom"/>
            <w:gridSpan w:val="2"/>
          </w:tcPr>
          <w:p>
            <w:pPr>
              <w:ind w:left="180"/>
              <w:spacing w:after="0"/>
              <w:rPr>
                <w:sz w:val="20"/>
                <w:szCs w:val="20"/>
                <w:color w:val="auto"/>
              </w:rPr>
            </w:pPr>
            <w:r>
              <w:rPr>
                <w:rFonts w:ascii="Arial" w:cs="Arial" w:eastAsia="Arial" w:hAnsi="Arial"/>
                <w:sz w:val="18"/>
                <w:szCs w:val="18"/>
                <w:color w:val="auto"/>
              </w:rPr>
              <w:t>Information Concerning the Notes</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2.1</w:t>
            </w:r>
          </w:p>
        </w:tc>
        <w:tc>
          <w:tcPr>
            <w:tcW w:w="8480" w:type="dxa"/>
            <w:vAlign w:val="bottom"/>
          </w:tcPr>
          <w:p>
            <w:pPr>
              <w:ind w:left="140"/>
              <w:spacing w:after="0"/>
              <w:rPr>
                <w:sz w:val="20"/>
                <w:szCs w:val="20"/>
                <w:color w:val="auto"/>
              </w:rPr>
            </w:pPr>
            <w:r>
              <w:rPr>
                <w:rFonts w:ascii="Arial" w:cs="Arial" w:eastAsia="Arial" w:hAnsi="Arial"/>
                <w:sz w:val="18"/>
                <w:szCs w:val="18"/>
                <w:color w:val="auto"/>
              </w:rPr>
              <w:t>Interest</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2.2</w:t>
            </w:r>
          </w:p>
        </w:tc>
        <w:tc>
          <w:tcPr>
            <w:tcW w:w="8480" w:type="dxa"/>
            <w:vAlign w:val="bottom"/>
          </w:tcPr>
          <w:p>
            <w:pPr>
              <w:ind w:left="140"/>
              <w:spacing w:after="0"/>
              <w:rPr>
                <w:sz w:val="20"/>
                <w:szCs w:val="20"/>
                <w:color w:val="auto"/>
              </w:rPr>
            </w:pPr>
            <w:r>
              <w:rPr>
                <w:rFonts w:ascii="Arial" w:cs="Arial" w:eastAsia="Arial" w:hAnsi="Arial"/>
                <w:sz w:val="18"/>
                <w:szCs w:val="18"/>
                <w:color w:val="auto"/>
              </w:rPr>
              <w:t>The Company’s Obligation to Purchase the Notes</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2.3</w:t>
            </w:r>
          </w:p>
        </w:tc>
        <w:tc>
          <w:tcPr>
            <w:tcW w:w="8480" w:type="dxa"/>
            <w:vAlign w:val="bottom"/>
          </w:tcPr>
          <w:p>
            <w:pPr>
              <w:ind w:left="140"/>
              <w:spacing w:after="0"/>
              <w:rPr>
                <w:sz w:val="20"/>
                <w:szCs w:val="20"/>
                <w:color w:val="auto"/>
              </w:rPr>
            </w:pPr>
            <w:r>
              <w:rPr>
                <w:rFonts w:ascii="Arial" w:cs="Arial" w:eastAsia="Arial" w:hAnsi="Arial"/>
                <w:sz w:val="18"/>
                <w:szCs w:val="18"/>
                <w:color w:val="auto"/>
              </w:rPr>
              <w:t>Repurchase Price</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2.4</w:t>
            </w:r>
          </w:p>
        </w:tc>
        <w:tc>
          <w:tcPr>
            <w:tcW w:w="8480" w:type="dxa"/>
            <w:vAlign w:val="bottom"/>
          </w:tcPr>
          <w:p>
            <w:pPr>
              <w:ind w:left="140"/>
              <w:spacing w:after="0"/>
              <w:rPr>
                <w:sz w:val="20"/>
                <w:szCs w:val="20"/>
                <w:color w:val="auto"/>
              </w:rPr>
            </w:pPr>
            <w:r>
              <w:rPr>
                <w:rFonts w:ascii="Arial" w:cs="Arial" w:eastAsia="Arial" w:hAnsi="Arial"/>
                <w:sz w:val="18"/>
                <w:szCs w:val="18"/>
                <w:color w:val="auto"/>
              </w:rPr>
              <w:t>Source of Funds</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2.5</w:t>
            </w:r>
          </w:p>
        </w:tc>
        <w:tc>
          <w:tcPr>
            <w:tcW w:w="8480" w:type="dxa"/>
            <w:vAlign w:val="bottom"/>
          </w:tcPr>
          <w:p>
            <w:pPr>
              <w:ind w:left="140"/>
              <w:spacing w:after="0"/>
              <w:rPr>
                <w:sz w:val="20"/>
                <w:szCs w:val="20"/>
                <w:color w:val="auto"/>
              </w:rPr>
            </w:pPr>
            <w:r>
              <w:rPr>
                <w:rFonts w:ascii="Arial" w:cs="Arial" w:eastAsia="Arial" w:hAnsi="Arial"/>
                <w:sz w:val="18"/>
                <w:szCs w:val="18"/>
                <w:color w:val="auto"/>
              </w:rPr>
              <w:t>Conversion Rights of the Notes</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2.6</w:t>
            </w:r>
          </w:p>
        </w:tc>
        <w:tc>
          <w:tcPr>
            <w:tcW w:w="8480" w:type="dxa"/>
            <w:vAlign w:val="bottom"/>
          </w:tcPr>
          <w:p>
            <w:pPr>
              <w:ind w:left="140"/>
              <w:spacing w:after="0"/>
              <w:rPr>
                <w:sz w:val="20"/>
                <w:szCs w:val="20"/>
                <w:color w:val="auto"/>
              </w:rPr>
            </w:pPr>
            <w:r>
              <w:rPr>
                <w:rFonts w:ascii="Arial" w:cs="Arial" w:eastAsia="Arial" w:hAnsi="Arial"/>
                <w:sz w:val="18"/>
                <w:szCs w:val="18"/>
                <w:color w:val="auto"/>
              </w:rPr>
              <w:t>Market for the Notes and the Company’s ADSs</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2.7</w:t>
            </w:r>
          </w:p>
        </w:tc>
        <w:tc>
          <w:tcPr>
            <w:tcW w:w="8480" w:type="dxa"/>
            <w:vAlign w:val="bottom"/>
          </w:tcPr>
          <w:p>
            <w:pPr>
              <w:ind w:left="140"/>
              <w:spacing w:after="0"/>
              <w:rPr>
                <w:sz w:val="20"/>
                <w:szCs w:val="20"/>
                <w:color w:val="auto"/>
              </w:rPr>
            </w:pPr>
            <w:r>
              <w:rPr>
                <w:rFonts w:ascii="Arial" w:cs="Arial" w:eastAsia="Arial" w:hAnsi="Arial"/>
                <w:sz w:val="18"/>
                <w:szCs w:val="18"/>
                <w:color w:val="auto"/>
              </w:rPr>
              <w:t>Redemption</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2.8</w:t>
            </w:r>
          </w:p>
        </w:tc>
        <w:tc>
          <w:tcPr>
            <w:tcW w:w="8480" w:type="dxa"/>
            <w:vAlign w:val="bottom"/>
          </w:tcPr>
          <w:p>
            <w:pPr>
              <w:ind w:left="140"/>
              <w:spacing w:after="0"/>
              <w:rPr>
                <w:sz w:val="20"/>
                <w:szCs w:val="20"/>
                <w:color w:val="auto"/>
              </w:rPr>
            </w:pPr>
            <w:r>
              <w:rPr>
                <w:rFonts w:ascii="Arial" w:cs="Arial" w:eastAsia="Arial" w:hAnsi="Arial"/>
                <w:sz w:val="18"/>
                <w:szCs w:val="18"/>
                <w:color w:val="auto"/>
              </w:rPr>
              <w:t>Ranking</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9000" w:type="dxa"/>
            <w:vAlign w:val="bottom"/>
            <w:gridSpan w:val="2"/>
          </w:tcPr>
          <w:p>
            <w:pPr>
              <w:ind w:left="180"/>
              <w:spacing w:after="0"/>
              <w:rPr>
                <w:sz w:val="20"/>
                <w:szCs w:val="20"/>
                <w:color w:val="auto"/>
              </w:rPr>
            </w:pPr>
            <w:r>
              <w:rPr>
                <w:rFonts w:ascii="Arial" w:cs="Arial" w:eastAsia="Arial" w:hAnsi="Arial"/>
                <w:sz w:val="18"/>
                <w:szCs w:val="18"/>
                <w:color w:val="auto"/>
              </w:rPr>
              <w:t>Procedures to Be Followed by Holders Electing to Exercise the Put Right</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3.1</w:t>
            </w:r>
          </w:p>
        </w:tc>
        <w:tc>
          <w:tcPr>
            <w:tcW w:w="8480" w:type="dxa"/>
            <w:vAlign w:val="bottom"/>
          </w:tcPr>
          <w:p>
            <w:pPr>
              <w:ind w:left="140"/>
              <w:spacing w:after="0"/>
              <w:rPr>
                <w:sz w:val="20"/>
                <w:szCs w:val="20"/>
                <w:color w:val="auto"/>
              </w:rPr>
            </w:pPr>
            <w:r>
              <w:rPr>
                <w:rFonts w:ascii="Arial" w:cs="Arial" w:eastAsia="Arial" w:hAnsi="Arial"/>
                <w:sz w:val="18"/>
                <w:szCs w:val="18"/>
                <w:color w:val="auto"/>
              </w:rPr>
              <w:t>Method of Delivery</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3.2</w:t>
            </w:r>
          </w:p>
        </w:tc>
        <w:tc>
          <w:tcPr>
            <w:tcW w:w="8480" w:type="dxa"/>
            <w:vAlign w:val="bottom"/>
          </w:tcPr>
          <w:p>
            <w:pPr>
              <w:ind w:left="140"/>
              <w:spacing w:after="0"/>
              <w:rPr>
                <w:sz w:val="20"/>
                <w:szCs w:val="20"/>
                <w:color w:val="auto"/>
              </w:rPr>
            </w:pPr>
            <w:r>
              <w:rPr>
                <w:rFonts w:ascii="Arial" w:cs="Arial" w:eastAsia="Arial" w:hAnsi="Arial"/>
                <w:sz w:val="18"/>
                <w:szCs w:val="18"/>
                <w:color w:val="auto"/>
              </w:rPr>
              <w:t>Agreement to Be Bound by the Terms of the Put Right</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3.3</w:t>
            </w:r>
          </w:p>
        </w:tc>
        <w:tc>
          <w:tcPr>
            <w:tcW w:w="8480" w:type="dxa"/>
            <w:vAlign w:val="bottom"/>
          </w:tcPr>
          <w:p>
            <w:pPr>
              <w:ind w:left="140"/>
              <w:spacing w:after="0"/>
              <w:rPr>
                <w:sz w:val="20"/>
                <w:szCs w:val="20"/>
                <w:color w:val="auto"/>
              </w:rPr>
            </w:pPr>
            <w:r>
              <w:rPr>
                <w:rFonts w:ascii="Arial" w:cs="Arial" w:eastAsia="Arial" w:hAnsi="Arial"/>
                <w:sz w:val="18"/>
                <w:szCs w:val="18"/>
                <w:color w:val="auto"/>
              </w:rPr>
              <w:t>Exercise of Put Right; Delivery of Notes</w:t>
            </w:r>
          </w:p>
        </w:tc>
        <w:tc>
          <w:tcPr>
            <w:tcW w:w="19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9000" w:type="dxa"/>
            <w:vAlign w:val="bottom"/>
            <w:gridSpan w:val="2"/>
          </w:tcPr>
          <w:p>
            <w:pPr>
              <w:ind w:left="180"/>
              <w:spacing w:after="0"/>
              <w:rPr>
                <w:sz w:val="20"/>
                <w:szCs w:val="20"/>
                <w:color w:val="auto"/>
              </w:rPr>
            </w:pPr>
            <w:r>
              <w:rPr>
                <w:rFonts w:ascii="Arial" w:cs="Arial" w:eastAsia="Arial" w:hAnsi="Arial"/>
                <w:sz w:val="18"/>
                <w:szCs w:val="18"/>
                <w:color w:val="auto"/>
              </w:rPr>
              <w:t>Right of Withdrawal</w:t>
            </w:r>
          </w:p>
        </w:tc>
        <w:tc>
          <w:tcPr>
            <w:tcW w:w="19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type w:val="continuous"/>
        </w:sectPr>
      </w:pPr>
    </w:p>
    <w:bookmarkStart w:id="4" w:name="page5"/>
    <w:bookmarkEnd w:id="4"/>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5.</w:t>
            </w:r>
          </w:p>
        </w:tc>
        <w:tc>
          <w:tcPr>
            <w:tcW w:w="8440" w:type="dxa"/>
            <w:vAlign w:val="bottom"/>
          </w:tcPr>
          <w:p>
            <w:pPr>
              <w:ind w:left="140"/>
              <w:spacing w:after="0"/>
              <w:rPr>
                <w:sz w:val="20"/>
                <w:szCs w:val="20"/>
                <w:color w:val="auto"/>
              </w:rPr>
            </w:pPr>
            <w:r>
              <w:rPr>
                <w:rFonts w:ascii="Arial" w:cs="Arial" w:eastAsia="Arial" w:hAnsi="Arial"/>
                <w:sz w:val="18"/>
                <w:szCs w:val="18"/>
                <w:color w:val="auto"/>
              </w:rPr>
              <w:t>Payment for Surrendered Notes</w:t>
            </w:r>
          </w:p>
        </w:tc>
        <w:tc>
          <w:tcPr>
            <w:tcW w:w="2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w:t>
            </w:r>
          </w:p>
        </w:tc>
        <w:tc>
          <w:tcPr>
            <w:tcW w:w="8440" w:type="dxa"/>
            <w:vAlign w:val="bottom"/>
          </w:tcPr>
          <w:p>
            <w:pPr>
              <w:ind w:left="140"/>
              <w:spacing w:after="0"/>
              <w:rPr>
                <w:sz w:val="20"/>
                <w:szCs w:val="20"/>
                <w:color w:val="auto"/>
              </w:rPr>
            </w:pPr>
            <w:r>
              <w:rPr>
                <w:rFonts w:ascii="Arial" w:cs="Arial" w:eastAsia="Arial" w:hAnsi="Arial"/>
                <w:sz w:val="18"/>
                <w:szCs w:val="18"/>
                <w:color w:val="auto"/>
              </w:rPr>
              <w:t>Notes Acquired</w:t>
            </w:r>
          </w:p>
        </w:tc>
        <w:tc>
          <w:tcPr>
            <w:tcW w:w="2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7.</w:t>
            </w:r>
          </w:p>
        </w:tc>
        <w:tc>
          <w:tcPr>
            <w:tcW w:w="8440" w:type="dxa"/>
            <w:vAlign w:val="bottom"/>
          </w:tcPr>
          <w:p>
            <w:pPr>
              <w:ind w:left="140"/>
              <w:spacing w:after="0"/>
              <w:rPr>
                <w:sz w:val="20"/>
                <w:szCs w:val="20"/>
                <w:color w:val="auto"/>
              </w:rPr>
            </w:pPr>
            <w:r>
              <w:rPr>
                <w:rFonts w:ascii="Arial" w:cs="Arial" w:eastAsia="Arial" w:hAnsi="Arial"/>
                <w:sz w:val="18"/>
                <w:szCs w:val="18"/>
                <w:color w:val="auto"/>
              </w:rPr>
              <w:t>Plans or Proposals of the Company</w:t>
            </w:r>
          </w:p>
        </w:tc>
        <w:tc>
          <w:tcPr>
            <w:tcW w:w="2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8.</w:t>
            </w:r>
          </w:p>
        </w:tc>
        <w:tc>
          <w:tcPr>
            <w:tcW w:w="8440" w:type="dxa"/>
            <w:vAlign w:val="bottom"/>
          </w:tcPr>
          <w:p>
            <w:pPr>
              <w:ind w:left="140"/>
              <w:spacing w:after="0"/>
              <w:rPr>
                <w:sz w:val="20"/>
                <w:szCs w:val="20"/>
                <w:color w:val="auto"/>
              </w:rPr>
            </w:pPr>
            <w:r>
              <w:rPr>
                <w:rFonts w:ascii="Arial" w:cs="Arial" w:eastAsia="Arial" w:hAnsi="Arial"/>
                <w:sz w:val="18"/>
                <w:szCs w:val="18"/>
                <w:color w:val="auto"/>
              </w:rPr>
              <w:t>Interests of Directors, Executive Officers and Affiliates of the Company in the Notes</w:t>
            </w:r>
          </w:p>
        </w:tc>
        <w:tc>
          <w:tcPr>
            <w:tcW w:w="2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9.</w:t>
            </w:r>
          </w:p>
        </w:tc>
        <w:tc>
          <w:tcPr>
            <w:tcW w:w="8440" w:type="dxa"/>
            <w:vAlign w:val="bottom"/>
          </w:tcPr>
          <w:p>
            <w:pPr>
              <w:ind w:left="140"/>
              <w:spacing w:after="0"/>
              <w:rPr>
                <w:sz w:val="20"/>
                <w:szCs w:val="20"/>
                <w:color w:val="auto"/>
              </w:rPr>
            </w:pPr>
            <w:r>
              <w:rPr>
                <w:rFonts w:ascii="Arial" w:cs="Arial" w:eastAsia="Arial" w:hAnsi="Arial"/>
                <w:sz w:val="18"/>
                <w:szCs w:val="18"/>
                <w:color w:val="auto"/>
              </w:rPr>
              <w:t>Agreements Involving the Company’s Securities</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10.</w:t>
            </w:r>
          </w:p>
        </w:tc>
        <w:tc>
          <w:tcPr>
            <w:tcW w:w="8440" w:type="dxa"/>
            <w:vAlign w:val="bottom"/>
          </w:tcPr>
          <w:p>
            <w:pPr>
              <w:ind w:left="140"/>
              <w:spacing w:after="0"/>
              <w:rPr>
                <w:sz w:val="20"/>
                <w:szCs w:val="20"/>
                <w:color w:val="auto"/>
              </w:rPr>
            </w:pPr>
            <w:r>
              <w:rPr>
                <w:rFonts w:ascii="Arial" w:cs="Arial" w:eastAsia="Arial" w:hAnsi="Arial"/>
                <w:sz w:val="18"/>
                <w:szCs w:val="18"/>
                <w:color w:val="auto"/>
              </w:rPr>
              <w:t>Material U.S. Federal Income Tax Considerations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11.</w:t>
            </w:r>
          </w:p>
        </w:tc>
        <w:tc>
          <w:tcPr>
            <w:tcW w:w="8440" w:type="dxa"/>
            <w:vAlign w:val="bottom"/>
          </w:tcPr>
          <w:p>
            <w:pPr>
              <w:ind w:left="140"/>
              <w:spacing w:after="0"/>
              <w:rPr>
                <w:sz w:val="20"/>
                <w:szCs w:val="20"/>
                <w:color w:val="auto"/>
              </w:rPr>
            </w:pPr>
            <w:r>
              <w:rPr>
                <w:rFonts w:ascii="Arial" w:cs="Arial" w:eastAsia="Arial" w:hAnsi="Arial"/>
                <w:sz w:val="18"/>
                <w:szCs w:val="18"/>
                <w:color w:val="auto"/>
              </w:rPr>
              <w:t>Additional Information</w:t>
            </w: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12.</w:t>
            </w:r>
          </w:p>
        </w:tc>
        <w:tc>
          <w:tcPr>
            <w:tcW w:w="8440" w:type="dxa"/>
            <w:vAlign w:val="bottom"/>
          </w:tcPr>
          <w:p>
            <w:pPr>
              <w:ind w:left="140"/>
              <w:spacing w:after="0"/>
              <w:rPr>
                <w:sz w:val="20"/>
                <w:szCs w:val="20"/>
                <w:color w:val="auto"/>
              </w:rPr>
            </w:pPr>
            <w:r>
              <w:rPr>
                <w:rFonts w:ascii="Arial" w:cs="Arial" w:eastAsia="Arial" w:hAnsi="Arial"/>
                <w:sz w:val="18"/>
                <w:szCs w:val="18"/>
                <w:color w:val="auto"/>
              </w:rPr>
              <w:t>No Solicitations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13.</w:t>
            </w:r>
          </w:p>
        </w:tc>
        <w:tc>
          <w:tcPr>
            <w:tcW w:w="844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14.</w:t>
            </w:r>
          </w:p>
        </w:tc>
        <w:tc>
          <w:tcPr>
            <w:tcW w:w="8440" w:type="dxa"/>
            <w:vAlign w:val="bottom"/>
          </w:tcPr>
          <w:p>
            <w:pPr>
              <w:ind w:left="140"/>
              <w:spacing w:after="0"/>
              <w:rPr>
                <w:sz w:val="20"/>
                <w:szCs w:val="20"/>
                <w:color w:val="auto"/>
              </w:rPr>
            </w:pPr>
            <w:r>
              <w:rPr>
                <w:rFonts w:ascii="Arial" w:cs="Arial" w:eastAsia="Arial" w:hAnsi="Arial"/>
                <w:sz w:val="18"/>
                <w:szCs w:val="18"/>
                <w:color w:val="auto"/>
              </w:rPr>
              <w:t>Conflicts</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360" w:type="dxa"/>
            <w:vAlign w:val="bottom"/>
          </w:tcPr>
          <w:p>
            <w:pPr>
              <w:spacing w:after="0"/>
              <w:rPr>
                <w:sz w:val="20"/>
                <w:szCs w:val="20"/>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Annex A</w:t>
            </w:r>
          </w:p>
        </w:tc>
        <w:tc>
          <w:tcPr>
            <w:tcW w:w="2500" w:type="dxa"/>
            <w:vAlign w:val="bottom"/>
          </w:tcPr>
          <w:p>
            <w:pPr>
              <w:jc w:val="right"/>
              <w:spacing w:after="0"/>
              <w:rPr>
                <w:sz w:val="20"/>
                <w:szCs w:val="20"/>
                <w:color w:val="auto"/>
              </w:rPr>
            </w:pPr>
            <w:r>
              <w:rPr>
                <w:rFonts w:ascii="Arial" w:cs="Arial" w:eastAsia="Arial" w:hAnsi="Arial"/>
                <w:sz w:val="18"/>
                <w:szCs w:val="18"/>
                <w:color w:val="auto"/>
              </w:rPr>
              <w:t>A-1</w:t>
            </w:r>
          </w:p>
        </w:tc>
      </w:tr>
    </w:tbl>
    <w:p>
      <w:pPr>
        <w:spacing w:after="0" w:line="20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i w:val="1"/>
          <w:iCs w:val="1"/>
          <w:color w:val="auto"/>
        </w:rPr>
        <w:t>No person has been authorized to give any information or to make any representation other than those contained in this Put Right Notice and, if given or made, such information or representation must not be relied upon as having been authorized. You should not assume that the information contained in this Put Right Notice is accurate as of any date other than the date on the front of this Put Right Notice. This Put Right Notice does not constitute an offer to buy or the solicitation of an offer to sell securities in any circumstances or jurisdiction in which such offer or solicitation is unlawful. The delivery of this Put Right Notice shall not under any circumstances create any implication that the information contained in this Put Right Notice is current as of any time subsequent to the date of such information. None of the Company, its board of directors, or its executive management is making any representation or recommendation to any Holder as to whether or not to exercise the Put Right. You should consult your own financial and tax advisors and must make your own decision as to whether to exercise the Put Right and, if so, the principal amount of Notes for which the Put Right should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TERM SHEET</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The following are answers to some of the questions that you may have about the Put Right. To understand the Put Right fully and for a more complete description of the terms of the Put Right, we urge you to carefully read the remainder of this Put Right Notice because the information in this summary is not complete. We have included page references to direct you to a more complete description of the topics in this summary.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offering to purchase my Notes?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Vipshop Holdings Limited, a Cayman Islands company (the “Company”), is obligated to purchase those 1.50% Convertible Senior Notes due 2019 with respect to which you validly exercise your Put Right. (Page 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the Company offering to purchase my Notes?</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right of each Holder of the Notes to sell and the obligation of the Company to purchase such Holder’s Notes pursuant to the Put Right at the time described in this Put Right Notice is a term of the Notes and has been a right of the Holders from the time the Notes were issued on March 17, 2014. We are required to repurchase the Notes of any Holder that exercises its Put Right pursuant to the terms of the Notes and the Indenture. (Page 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Which of the Notes is the Company obligated to purchase?</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obligated to purchase all of the Notes surrendered (and not withdrawn) by any Holder through the facilities of, and in accordance with the procedures of, the Depository Trust Company (“DTC”) prior to 5:00 p.m., New York City time, on Monday, March 13, 2017. As of February 13, 2017, US$632,500,000 in aggregate principal amount of the Notes was outstanding. The Notes were issued under the Indenture, dated as of March 17, 2014 (the “Base Indenture”), by and between the Company and Deutsche Bank Trust Company Americas, as trustee and paying agent (the “Trustee” and the “Paying Agent”), as amended by the First Supplemental Indenture dated as of March 17, 2014 and further amended by the Second Supplemental Indenture dated as of November 11, 2014 (the Base Indenture, as so amended, is herein referred to as the “Indenture”). The surrender by a Holder of any Notes to DTC via the transmittal procedures of DTC’s Automated Tender Offer Program will constitute delivery of a 2017 Repurchase Notice that satisfies such Holder’s notice requirements for its exercise of its Put Right. (Page 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much will the Company pay and what is the form of payment?</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Pursuant to the terms of the Indenture and the Notes, we will pay, in cash, a repurchase price equal to 100% of the principal amount of the Notes,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accrued and unpaid interest to, but not including, March 15, 2017 (the “2017 Repurchase Price”), with respect to any and all Notes validly surrendered for repurchase and not withdrawn;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accrued and unpaid interest (if any) payable on March 15, 2017 will not be paid to the Holder submitting the Notes for repurchase on March 15, 2017 but will be paid to the Holder of record as of 5:00 p.m., New York City time, on Wednesday, March 1, 2017. (Pages 6-7)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much accrued and unpaid interest will the Company pay as part of the 2017 Repurchase Price?</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None. Pursuant to the terms of the Indenture and the Notes, the next interest payment date for the Notes is March 15, 2017. Accordingly, on March 15, 2017, the Company will pay accrued and unpaid interest on all of the Notes through March 14, 2017, to all Holders who were Holders of record as of 5:00 p.m., New York City time, on Wednesday, March 1, 2017, regardless of whether the Put Right is exercised with respect to such Notes. As a result, on March 15, 2017, which is the date specified in the Indenture for repurchase (the “2017 Repurchase Date”), there will be no accrued and unpaid interest on the Notes. (Pages 6-7)</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the Company redeem the Notes?</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Subject to the provisions of the Indenture, the Company may, at its option, on not less than 30 days’ nor more than 60 days’ prior notice, redeem all but not part of the Notes (except in respect of certain Holders that elect otherwise as described in the Indenture) in connection with a change in tax law at a</w:t>
      </w:r>
    </w:p>
    <w:p>
      <w:pPr>
        <w:sectPr>
          <w:pgSz w:w="11900" w:h="16975" w:orient="portrait"/>
          <w:cols w:equalWidth="0" w:num="1">
            <w:col w:w="11400"/>
          </w:cols>
          <w:pgMar w:left="240" w:top="125" w:right="259" w:bottom="0" w:gutter="0" w:footer="0" w:header="0"/>
        </w:sectPr>
      </w:pPr>
    </w:p>
    <w:bookmarkStart w:id="5" w:name="page6"/>
    <w:bookmarkEnd w:id="5"/>
    <w:p>
      <w:pPr>
        <w:jc w:val="both"/>
        <w:ind w:right="20"/>
        <w:spacing w:after="0" w:line="264" w:lineRule="auto"/>
        <w:rPr>
          <w:sz w:val="20"/>
          <w:szCs w:val="20"/>
          <w:color w:val="auto"/>
        </w:rPr>
      </w:pPr>
      <w:r>
        <w:rPr>
          <w:rFonts w:ascii="Arial" w:cs="Arial" w:eastAsia="Arial" w:hAnsi="Arial"/>
          <w:sz w:val="18"/>
          <w:szCs w:val="18"/>
          <w:color w:val="auto"/>
        </w:rPr>
        <w:t xml:space="preserve">redemption price equal to 100% of the principal amount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if any, to, but not including, the redemption date as described in the Indenture. Upon receiving such notice of redemption, each Holder will have the right to elect to not have its Notes redeemed, subject to the provisions of the Indenture. (Page 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my rights to convert my Notes?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Subject to and upon compliance with the provisions of the Indenture, a Holder will have the right, at such Holder’s option, to convert all or any portion (if the portion to be converted is US$1,000 principal amount or an integral multiple thereof) of such Note at any time prior to 5:00 p.m., New York City time, on Monday, March 13, 2019 at an initial conversion rate of 4.9693 ADSs (subject to certain adjustments, the “Conversion Rate”) per US$1,000 principal amount of Notes (the “Conversion Obligation”). If a Holder has already delivered a Fundamental Change Repurchase Notice or a 2017 Repurchase Notice with respect to a Note, such Holder may not surrender that Note for conversion until the Holder has withdrawn the applicable repurchase notice in accordance with the Indenture. The conversion of your Notes is subject to the provisions regarding conversion contained in the Indenture and the Notes.</w:t>
      </w:r>
    </w:p>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Generally, if you exercise the conversion right and the price per ADS is less than the Conversion Price during the relevant observation period, the value of the consideration that you receive in exchange for your Notes will be less than the aggregate principal amount of the Notes. The Conversion Price at any given time is computed by dividing US$1,000 by the applicable Conversion Rate at such time. (Page 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the Company fund the purchase of the Notes?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plans to use its cash balance as of the 2017 Repurchase Date to fund the purchase of the Notes, and may arrange short-term loan if the aggregate principal amount of Notes that the Company is obligated to purchase becomes substantial. (Page 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determine the market value of the Notes?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There is no established reporting system or market for trading in the Notes. To the extent that the Notes are traded, prices of the Notes may fluctuate widely depending on trading volume, the balance between buy and sell orders, prevailing interest rates, the Company’s operating results, the market price and implied volatility of the Company’s ADSs and the market for similar securities. To the extent available, Holders are urged to obtain current market quotations for the Notes prior to making any decision with respect to the Put Right. The value of the Notes upon exercise of the conversion right will be based on the applicable conversion rate for the Notes, as summarized above, under the caption “What are my rights to convert my Notes?” (Page 7-8)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the board of directors of the Company think of the Put Right?</w:t>
      </w:r>
    </w:p>
    <w:p>
      <w:pPr>
        <w:spacing w:after="0" w:line="22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board of directors of the Company has not made any recommendation as to whether you should exercise the Put Right. You must make your own decision whether to exercise the Put Right and, if so, the principal amount of Notes for which the Put Right should be exercised. (Page 7)</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does the Put Right expire?</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Your right to exercise the Put Right expires at 5:00 p.m., New York City time, on Monday, March 13, 2017 (the “Expiration Date”), which is the second Business Day immediately preceding the 2017 Repurchase Date. We will not extend the period Holders have to exercise the Put Right unless required to do so by U.S. federal securities law. (Page 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conditions to the purchase by the Company of the Notes?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purchase of Notes for which the Put Right is validly exercised is not subject to any condition other than such purchase being lawful, the relevant Notes being surrendered and the procedural requirements described in this Put Right Notice being satisfied. (Page 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exercise the Put Right?</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Trustee has informed the Company that, as of the date of this Put Right Notice, all custodians and beneficial holders of the Notes hold the Notes through DTC accounts and that there are no certificated Notes in non-global form. Accordingly, you may exercise the Put Right with respect to your Notes held through DTC, prior to 5:00 p.m., New York City time, on the Expiration Date, in the following manner:</w:t>
      </w:r>
    </w:p>
    <w:p>
      <w:pPr>
        <w:spacing w:after="0" w:line="181" w:lineRule="exact"/>
        <w:rPr>
          <w:sz w:val="20"/>
          <w:szCs w:val="20"/>
          <w:color w:val="auto"/>
        </w:rPr>
      </w:pPr>
    </w:p>
    <w:p>
      <w:pPr>
        <w:ind w:left="660" w:right="200" w:hanging="328"/>
        <w:spacing w:after="0" w:line="312" w:lineRule="auto"/>
        <w:tabs>
          <w:tab w:leader="none" w:pos="6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your Notes are held through a broker, dealer, commercial bank, trust company or other nominee, you must contact such nominee if you desire to exercise the Put Right and instruct such nominee to exercise the Put Right by surrendering the Notes on your behalf through the transmittal procedures of DTC’s Automated Tender Offer Program (“ATOP”) before 5:00 p.m., New York City time, on the Expiration Date; or</w:t>
      </w:r>
    </w:p>
    <w:p>
      <w:pPr>
        <w:spacing w:after="0" w:line="146" w:lineRule="exact"/>
        <w:rPr>
          <w:rFonts w:ascii="Arial" w:cs="Arial" w:eastAsia="Arial" w:hAnsi="Arial"/>
          <w:sz w:val="16"/>
          <w:szCs w:val="16"/>
          <w:color w:val="auto"/>
        </w:rPr>
      </w:pPr>
    </w:p>
    <w:p>
      <w:pPr>
        <w:ind w:left="660" w:right="300" w:hanging="328"/>
        <w:spacing w:after="0" w:line="342" w:lineRule="auto"/>
        <w:tabs>
          <w:tab w:leader="none" w:pos="6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you are a DTC participant and hold your Notes through DTC directly, you must surrender your Notes electronically through ATOP before 5:00 p.m., New York City time, on the Expiration Date, subject to the terms and procedures of ATOP, if you desire to exercise the Put Right.</w:t>
      </w:r>
    </w:p>
    <w:p>
      <w:pPr>
        <w:spacing w:after="0" w:line="12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 xml:space="preserve">While we do not expect any Notes to be issued to a Holder other than DTC or its nominee in physical certificates after the date hereof, in the event that physical certificates evidencing the Notes are issued to such a Holder, any such Holder who desires to tender Notes pursuant to the Put Right and holds physical certificates evidencing such Notes must complete and sign a 2017 Repurchase Notice in the form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(a “2017 Repurchase Notice”) in accordance with the instructions set forth therein, have the signature thereon guaranteed and timely deliver such manually signed 2017 Repurchase Notice, together with the certificates evidencing the Notes being tendered and all necessary endorsements, to the Paying Agent.</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By surrendering your Notes through the transmittal procedures of DTC or to the Paying Agent, as applicable, you agree to be bound by the terms of the Put Right set forth in this Put Right Notice. (Page 10)</w:t>
      </w:r>
    </w:p>
    <w:p>
      <w:pPr>
        <w:spacing w:after="0" w:line="170"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HOLDERS THAT HOLD NOTES THROUGH DTC ACCOUNTS MAY ONLY EXERCISE THE PUT RIGHT BY COMPLYING WITH THE TRANSMITTAL PROCEDURES OF DTC AND SHOULD NOT SUBMIT A PHYSICAL 2017 REPURCHASE NOTICE.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exercise the Put Right, when will I receive payment for my Notes?</w:t>
      </w:r>
    </w:p>
    <w:p>
      <w:pPr>
        <w:sectPr>
          <w:pgSz w:w="11900" w:h="16838" w:orient="portrait"/>
          <w:cols w:equalWidth="0" w:num="1">
            <w:col w:w="11380"/>
          </w:cols>
          <w:pgMar w:left="240" w:top="125" w:right="279" w:bottom="0" w:gutter="0" w:footer="0" w:header="0"/>
        </w:sectPr>
      </w:pPr>
    </w:p>
    <w:bookmarkStart w:id="6" w:name="page7"/>
    <w:bookmarkEnd w:id="6"/>
    <w:p>
      <w:pPr>
        <w:spacing w:after="0" w:line="264" w:lineRule="auto"/>
        <w:rPr>
          <w:sz w:val="20"/>
          <w:szCs w:val="20"/>
          <w:color w:val="auto"/>
        </w:rPr>
      </w:pPr>
      <w:r>
        <w:rPr>
          <w:rFonts w:ascii="Arial" w:cs="Arial" w:eastAsia="Arial" w:hAnsi="Arial"/>
          <w:sz w:val="18"/>
          <w:szCs w:val="18"/>
          <w:color w:val="auto"/>
        </w:rPr>
        <w:t>We will forward the appropriate amount of cash required to pay the 2017 Repurchase Price for your Notes to the Paying Agent, prior to 11:00 a.m., New York City time, on Tuesday, March 14, 2017, which is the Business Day immediately prior to the 2017 Repurchase Date, and the Paying Agent will promptly distribute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consideration to DTC, the sole Holder of record of the Notes. DTC will thereafter distribute the cash to its participants in accordance with its procedures. To the extent that you are not a DTC participant, your broker, dealer, commercial bank, trust company or other nominee, as the case may be, will distribute the cash to you. (Page 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Until what time may I withdraw my previous exercise of the Put Right?</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You may withdraw your exercise of the Put Right with respect to any Notes at any time until 5:00 p.m., New York City time, on Tuesday, March 14, 2017, which is the Business Day immediately prior to the 2017 Repurchase Date. (Page 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withdraw my previous exercise of the Put Right?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To withdraw your previous exercise of the Put Right with respect to any Notes, you must comply with the withdrawal procedures of DTC prior to 5:00 p.m.,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New York City time, on Tuesday, March 14, 2017, which is the Business Day immediately prior to the 2017 Repurchase Date. While the Trustee has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informed us that there are currently no certificated Notes in non-global form, in the event that after the date hereof physical certificates evidencing the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issued to a Holder other than DTC or its nominee, any such Holder who desires to withdraw any Notes evidenced by physical certificates with respect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a 2017 Repurchase Notice was previously delivered must, instead of complying with DTC withdrawal procedures, complete and sign a notice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withdrawal specifying (1) the principal amount of the Notes with respect to which such notice of withdrawal is being submitted, which portion must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US$1,000 aggregate principal amount or an integral multiple thereof, (2) the certificate numbers of the Notes in respect of which such notice of withdrawal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being submitted, and (3) the principal amount, if any, of such Note which remains subject to the 2017 Repurchase Notice, which portion must be US$1,000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aggregate principal amount or an integral multiple thereof, and deliver such manually signed notice of withdrawal to the Paying Agent prior to 5:00 p.m.,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New York City time, on Tuesday, March 14, 2017. (Page 11)</w:t>
      </w:r>
    </w:p>
    <w:p>
      <w:pPr>
        <w:spacing w:after="0" w:line="21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HOLDERS THAT HOLD NOTES THROUGH DTC ACCOUNTS MAY ONLY WITHDRAW THEIR PREVIOUS EXERCISE OF THE PUT RIGHT WITH RESPECT TO SUCH NOTES BY COMPLYING WITH THE TRANSMITTAL PROCEDURES OF DTC AND SHOULD NOT SUBMIT A PHYSICAL NOTICE OF WITHDRAWAL.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 I need to do anything if I do not wish to exercise the Put Right?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 If you do not exercise the Put Right before the expiration of the Put Right, we will not purchase your Notes on the 2017 Repurchase Date and such Notes will remain outstanding subject to their existing terms. (Page 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choose to exercise the Put Right, do I have to exercise the Put Right with respect to all of my Notes?</w:t>
      </w:r>
    </w:p>
    <w:p>
      <w:pPr>
        <w:spacing w:after="0" w:line="229"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No. You may exercise the Put Right with respect to all of your Notes or any portion of your Notes. If you wish to exercise the Put Right with respect to a portion of your Notes, you must exercise the Put Right with respect to Notes for a principal amount of US$1,000 or an integral multiple thereof. (Page 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do not exercise the Put Right, will I continue to be able to exercise my conversion rights?</w:t>
      </w:r>
    </w:p>
    <w:p>
      <w:pPr>
        <w:spacing w:after="0" w:line="22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Yes. If you do not exercise the Put Right, your conversion rights will not be affected. You will continue to have the conversion rights subject to the terms, conditions and adjustments specified in the Indenture and the Notes, as summarized above, under the caption “What are my rights to convert my Notes?” (Page 7)</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If I exercise the Put Right, will my receipt of cash for Notes with respect to which I exercised the Put Right be a taxable transaction for U.S. federal income tax purposes?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Yes. The receipt of cash for Notes pursuant to the Put Right will be a taxable transaction for U.S. federal income tax purposes. You should consult with your tax advisor regarding the actual tax consequences to you. (Pages 13-14)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the Paying Agent?</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Deutsche Bank Trust Company Americas, the Trustee under the Indenture, is serving as Paying Agent in connection with the Put Right. Its address and telephone number are set forth on the front cover page of this Put Right Notice.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can I talk to if I have questions about the Put Right?</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Questions and requests for assistance in connection with the exercise of the Put Right may be directed to the Paying Agent at the address and telephone and facsimile numbers set forth on the cover page of this Put Right Notice.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464"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IMPORTANT INFORMATION CONCERNING THE PUT RIGHT</w:t>
      </w:r>
    </w:p>
    <w:p>
      <w:pPr>
        <w:spacing w:after="0" w:line="225" w:lineRule="exact"/>
        <w:rPr>
          <w:sz w:val="20"/>
          <w:szCs w:val="20"/>
          <w:color w:val="auto"/>
        </w:rPr>
      </w:pPr>
    </w:p>
    <w:p>
      <w:pPr>
        <w:ind w:right="40" w:firstLine="8"/>
        <w:spacing w:after="0" w:line="281" w:lineRule="auto"/>
        <w:tabs>
          <w:tab w:leader="none" w:pos="72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Information Concerning the Company. </w:t>
      </w:r>
      <w:r>
        <w:rPr>
          <w:rFonts w:ascii="Arial" w:cs="Arial" w:eastAsia="Arial" w:hAnsi="Arial"/>
          <w:sz w:val="17"/>
          <w:szCs w:val="17"/>
          <w:color w:val="auto"/>
        </w:rPr>
        <w:t>The Company is a leading online discount retailer for brands in China. The Company offers high-quality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branded products to consumers in China through flash sales mainly on the </w:t>
      </w:r>
      <w:r>
        <w:rPr>
          <w:rFonts w:ascii="Arial" w:cs="Arial" w:eastAsia="Arial" w:hAnsi="Arial"/>
          <w:sz w:val="17"/>
          <w:szCs w:val="17"/>
          <w:i w:val="1"/>
          <w:iCs w:val="1"/>
          <w:color w:val="auto"/>
        </w:rPr>
        <w:t>vip.com</w:t>
      </w:r>
      <w:r>
        <w:rPr>
          <w:rFonts w:ascii="Arial" w:cs="Arial" w:eastAsia="Arial" w:hAnsi="Arial"/>
          <w:sz w:val="17"/>
          <w:szCs w:val="17"/>
          <w:color w:val="auto"/>
        </w:rPr>
        <w:t xml:space="preserve"> website. Flash sales represent an online retail format combining the advantages of e-commerce and discount sales through selling a finite quantity of discounted products or services online for a limited period of time. Since its inception in August 2008, the Company has attracted a large and growing number of consumers and popular brands.</w:t>
      </w:r>
    </w:p>
    <w:p>
      <w:pPr>
        <w:spacing w:after="0" w:line="16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was incorporated in the Cayman Islands in August 2010 and its ADSs began trading on the New York Stock Exchange (“NYSE”) under the ticker symbol “VIPS” in March 2012. The Company’s principal executive offices are located at No. 20 Huahai Street, Liwan District, Guangzhou, Guangdong 510370, People’s Republic of China and its telephone number is +86 (20) 2233-0000. The Company’s registered office in the Cayman Islands is located at the office of International Corporation Services Ltd., P.O. Box 472, 2nd Floor, Harbour Place, 103 South Church Street, George Town, Grand Cayman, KY1-1106, Cayman Islands.</w:t>
      </w:r>
    </w:p>
    <w:p>
      <w:pPr>
        <w:spacing w:after="0" w:line="184" w:lineRule="exact"/>
        <w:rPr>
          <w:sz w:val="20"/>
          <w:szCs w:val="20"/>
          <w:color w:val="auto"/>
        </w:rPr>
      </w:pPr>
    </w:p>
    <w:p>
      <w:pPr>
        <w:ind w:left="720" w:hanging="712"/>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Information Concerning the Notes. </w:t>
      </w:r>
      <w:r>
        <w:rPr>
          <w:rFonts w:ascii="Arial" w:cs="Arial" w:eastAsia="Arial" w:hAnsi="Arial"/>
          <w:sz w:val="18"/>
          <w:szCs w:val="18"/>
          <w:color w:val="auto"/>
        </w:rPr>
        <w:t>The Notes were issued under the Indenture. The Notes mature on March 15, 2019.</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2.1 Interest. </w:t>
      </w:r>
      <w:r>
        <w:rPr>
          <w:rFonts w:ascii="Arial" w:cs="Arial" w:eastAsia="Arial" w:hAnsi="Arial"/>
          <w:sz w:val="18"/>
          <w:szCs w:val="18"/>
          <w:color w:val="auto"/>
        </w:rPr>
        <w:t>The Notes bear interest at the rate of 1.50% per year from March 17, 2014, or from the most recent date to which interest has been paid or</w:t>
      </w:r>
      <w:r>
        <w:rPr>
          <w:rFonts w:ascii="Arial" w:cs="Arial" w:eastAsia="Arial" w:hAnsi="Arial"/>
          <w:sz w:val="18"/>
          <w:szCs w:val="18"/>
          <w:b w:val="1"/>
          <w:bCs w:val="1"/>
          <w:color w:val="auto"/>
        </w:rPr>
        <w:t xml:space="preserve"> </w:t>
      </w:r>
      <w:r>
        <w:rPr>
          <w:rFonts w:ascii="Arial" w:cs="Arial" w:eastAsia="Arial" w:hAnsi="Arial"/>
          <w:sz w:val="18"/>
          <w:szCs w:val="18"/>
          <w:color w:val="auto"/>
        </w:rPr>
        <w:t>duly provided. Interest is payable semi-annually in arrears on March 15 and September 15 of each year, commencing on September 15, 2014, to registered Holders at the close of business on the preceding March 1 and September 1, respectively. The amount of interest payable will be computed on the basis of a 360-day year consisting of twelve 30-day months. Unless the Company fails to make the payment of the 2017 Repurchase Price for Notes for which a 2017 Repurchase Notice has been submitted and not properly withdrawn, such Notes will no longer be outstanding and interest on the Notes will cease to accrue on and after the 2017 Repurchase Date.</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2.2 The Company’s Obligation to Purchase the Notes. </w:t>
      </w:r>
      <w:r>
        <w:rPr>
          <w:rFonts w:ascii="Arial" w:cs="Arial" w:eastAsia="Arial" w:hAnsi="Arial"/>
          <w:sz w:val="17"/>
          <w:szCs w:val="17"/>
          <w:color w:val="auto"/>
        </w:rPr>
        <w:t>Pursuant to the terms of the Indenture and the Notes, on March 15, 2017, which is the 2017</w:t>
      </w:r>
      <w:r>
        <w:rPr>
          <w:rFonts w:ascii="Arial" w:cs="Arial" w:eastAsia="Arial" w:hAnsi="Arial"/>
          <w:sz w:val="17"/>
          <w:szCs w:val="17"/>
          <w:b w:val="1"/>
          <w:bCs w:val="1"/>
          <w:color w:val="auto"/>
        </w:rPr>
        <w:t xml:space="preserve"> </w:t>
      </w:r>
      <w:r>
        <w:rPr>
          <w:rFonts w:ascii="Arial" w:cs="Arial" w:eastAsia="Arial" w:hAnsi="Arial"/>
          <w:sz w:val="17"/>
          <w:szCs w:val="17"/>
          <w:color w:val="auto"/>
        </w:rPr>
        <w:t>Repurchase Date, the Company is obligated to purchase all Notes for which the Put Right has been timely exercised and not withdrawn by the Holders. This Put Right will expire at 5:00 p.m., New York City time, on Monday, March 13, 2017, the Expiration Date, which is the second Business Day immediately preceding the 2017 Repurchase Date. The terms and conditions of the Indenture and Notes require Holders that choose to exercise the Put Right to do so by 5:00 p.m., New York City time, on the Expiration Date, and we do not expect to extend the period that Holders have to exercise the Put Right unless required to do so by U.S. federal securities law. Regardless of whether we extend this period, the Indenture does not provide us with the right to delay the 2017 Repurchase Date. The purchase by the Company of Notes for which the Put Right is validly exercised is not subject to any condition other than such purchase being lawful, the relevant Notes being surrendered and the procedural requirements described in this Put Right Notice being satisfied. You may only exercise the Put Right with respect to Notes in principal amounts equal to US$1,000 or integral multiples thereof.</w:t>
      </w:r>
    </w:p>
    <w:p>
      <w:pPr>
        <w:spacing w:after="0" w:line="17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2.3 Repurchase Price. </w:t>
      </w:r>
      <w:r>
        <w:rPr>
          <w:rFonts w:ascii="Arial" w:cs="Arial" w:eastAsia="Arial" w:hAnsi="Arial"/>
          <w:sz w:val="17"/>
          <w:szCs w:val="17"/>
          <w:color w:val="auto"/>
        </w:rPr>
        <w:t>The 2017 Repurchase Price to be paid by the Company with respect to any and all Notes validly surrendered for repurchase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 withdrawn on the 2017 Repurchase Date is equal to 100% of the principal amount of the Notes,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accrued and unpaid interest to, but not including, March 15, 2017;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accrued and unpaid interest (if any) payable on March 15, 2017 will not be paid to the Holder submitting the Notes for repurchase on March 15, 2017 but will be paid to the Holder of record as of 5:00 p.m., New York City time, on Wednesday, March 1, 2017. Pursuant to the terms of the Indenture and the Notes, on March 15, 2017, the Company will pay accrued and unpaid interest on all of the Notes through March 14, 2017, to all Holders who were Holders of record as of 5:00 p.m., New York City time, on Wednesday,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March 1, 2017, regardless of whether the Put Right is exercised with respect to such Notes. As a result, there will be no accrued and unpaid interest on the Notes on March 15, 2017. The 2017 Repurchase Price will be paid in cash with respect to any and all Notes validly surrendered for repurchase and not withdrawn prior to 5:00 p.m., New York City time, on the Expiration Date.</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2017 Repurchase Price, which will be paid in cash, is based solely on the requirements of the Indenture and the Notes and bears no relationship to the market price of the Notes or the ADSs. Thus, the 2017 Repurchase Price may be significantly greater or less than the market price of the Notes on the 2017 Repurchase Date. Holders are urged to obtain the best available information as to potential current market prices of the Notes, to the extent available, and the ADSs before making a decision whether to exercise the Put Right.</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None of the Company, its board of directors or its executive management is making any recommendation to Holders as to whether to exercise the Put Right or refrain from exercising the Put Right. Each Holder must make such Holder’s own decision whether to exercise the Put Right with respect to such Holder’s Notes and, if so, the principal amount of Notes for which the Put Right should be exercised.</w:t>
      </w:r>
    </w:p>
    <w:p>
      <w:pPr>
        <w:spacing w:after="0" w:line="177"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2.4 Source of Funds. </w:t>
      </w:r>
      <w:r>
        <w:rPr>
          <w:rFonts w:ascii="Arial" w:cs="Arial" w:eastAsia="Arial" w:hAnsi="Arial"/>
          <w:sz w:val="18"/>
          <w:szCs w:val="18"/>
          <w:color w:val="auto"/>
        </w:rPr>
        <w:t>If the Put Right is exercised for any Notes, the Company plans to use its cash balance as of the 2017 Repurchase Date to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2017 Repurchase Price for the Notes, and may arrange short-term loan if the aggregate principal amount of Notes that the Company is obligated to purchase becomes substantial.</w:t>
      </w:r>
    </w:p>
    <w:p>
      <w:pPr>
        <w:spacing w:after="0" w:line="176"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 xml:space="preserve">2.5 Conversion Rights of the Notes. </w:t>
      </w:r>
      <w:r>
        <w:rPr>
          <w:rFonts w:ascii="Arial" w:cs="Arial" w:eastAsia="Arial" w:hAnsi="Arial"/>
          <w:sz w:val="16"/>
          <w:szCs w:val="16"/>
          <w:color w:val="auto"/>
        </w:rPr>
        <w:t>Subject to and upon compliance with the provisions of the Indenture, a Holder will have the right, at such</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option, to convert all or any portion (if the portion to be converted is US$1,000 principal amount or an integral multiple thereof) of such Note at any time prior to 5:00 p.m., New York City time, on Monday, March 13, 2019 at an initial conversion rate of 4.9693 ADSs (subject to certain adjustments) per US$1,000 principal amount of Notes. If a Holder has already delivered a Fundamental Change Repurchase Notice or a 2017 Repurchase Notice with respect to a Note, such Holder may not surrender that Note for conversion until the Holder has withdrawn the applicable repurchase notice in accordance with the Indenture. The conversion of your Notes is subject to the provisions regarding conversion contained in the Indenture and the Notes.</w:t>
      </w:r>
    </w:p>
    <w:p>
      <w:pPr>
        <w:spacing w:after="0" w:line="16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Generally, if you exercise the conversion right and the price per ADS is less than the Conversion Price during the relevant observation period, the value of the consideration that you receive in exchange for your Notes will be less than the aggregate principal amount of the Notes. The Conversion Price at any given time is computed by dividing US$1,000 by the applicable Conversion Rate at such time.</w:t>
      </w:r>
    </w:p>
    <w:p>
      <w:pPr>
        <w:spacing w:after="0" w:line="17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2.6 Market for the Notes and the Company’s ADSs. </w:t>
      </w:r>
      <w:r>
        <w:rPr>
          <w:rFonts w:ascii="Arial" w:cs="Arial" w:eastAsia="Arial" w:hAnsi="Arial"/>
          <w:sz w:val="18"/>
          <w:szCs w:val="18"/>
          <w:color w:val="auto"/>
        </w:rPr>
        <w:t>There is no established reporting system or market for trading in the Notes. To the extent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Notes are traded, prices of the Notes may fluctuate widely depending on trading volume, the balance between buy and sell orders, prevailing interest rates, the Company’s operating results, the market price and implied volatility of the Company’s ADSs and the market for similar securities. As of February 13, 2017, US$632,500,000 in aggregate principal amount of the Notes was outstanding.</w:t>
      </w:r>
    </w:p>
    <w:p>
      <w:pPr>
        <w:sectPr>
          <w:pgSz w:w="11900" w:h="16838" w:orient="portrait"/>
          <w:cols w:equalWidth="0" w:num="1">
            <w:col w:w="11400"/>
          </w:cols>
          <w:pgMar w:left="240" w:top="121" w:right="259" w:bottom="0" w:gutter="0" w:footer="0" w:header="0"/>
        </w:sectPr>
      </w:pPr>
    </w:p>
    <w:bookmarkStart w:id="8" w:name="page9"/>
    <w:bookmarkEnd w:id="8"/>
    <w:p>
      <w:pPr>
        <w:ind w:right="300"/>
        <w:spacing w:after="0" w:line="277" w:lineRule="auto"/>
        <w:rPr>
          <w:sz w:val="20"/>
          <w:szCs w:val="20"/>
          <w:color w:val="auto"/>
        </w:rPr>
      </w:pPr>
      <w:r>
        <w:rPr>
          <w:rFonts w:ascii="Arial" w:cs="Arial" w:eastAsia="Arial" w:hAnsi="Arial"/>
          <w:sz w:val="18"/>
          <w:szCs w:val="18"/>
          <w:color w:val="auto"/>
        </w:rPr>
        <w:t>The Company’s ADSs into which the Notes are convertible are listed on the NYSE under the ticker symbol “VIPS.” The following table sets forth, for the fiscal quarters indicated, the high and low sales prices of the ADSs as reported on the NYSE.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1940" w:type="dxa"/>
            <w:vAlign w:val="bottom"/>
          </w:tcPr>
          <w:p>
            <w:pPr>
              <w:jc w:val="right"/>
              <w:ind w:right="1013"/>
              <w:spacing w:after="0"/>
              <w:rPr>
                <w:sz w:val="20"/>
                <w:szCs w:val="20"/>
                <w:color w:val="auto"/>
              </w:rPr>
            </w:pPr>
            <w:r>
              <w:rPr>
                <w:rFonts w:ascii="Arial" w:cs="Arial" w:eastAsia="Arial" w:hAnsi="Arial"/>
                <w:sz w:val="14"/>
                <w:szCs w:val="14"/>
                <w:b w:val="1"/>
                <w:bCs w:val="1"/>
                <w:color w:val="auto"/>
              </w:rPr>
              <w:t>High</w:t>
            </w: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Low</w:t>
            </w:r>
          </w:p>
        </w:tc>
      </w:tr>
      <w:tr>
        <w:trPr>
          <w:trHeight w:val="142"/>
        </w:trPr>
        <w:tc>
          <w:tcPr>
            <w:tcW w:w="80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(US$)</w:t>
            </w: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2017 (through February 10, 2017)</w:t>
            </w:r>
          </w:p>
        </w:tc>
        <w:tc>
          <w:tcPr>
            <w:tcW w:w="194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12.62</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Fourth Quarter 2016</w:t>
            </w:r>
          </w:p>
        </w:tc>
        <w:tc>
          <w:tcPr>
            <w:tcW w:w="1940" w:type="dxa"/>
            <w:vAlign w:val="bottom"/>
          </w:tcPr>
          <w:p>
            <w:pPr>
              <w:jc w:val="right"/>
              <w:ind w:right="493"/>
              <w:spacing w:after="0"/>
              <w:rPr>
                <w:sz w:val="20"/>
                <w:szCs w:val="20"/>
                <w:color w:val="auto"/>
              </w:rPr>
            </w:pPr>
            <w:r>
              <w:rPr>
                <w:rFonts w:ascii="Arial" w:cs="Arial" w:eastAsia="Arial" w:hAnsi="Arial"/>
                <w:sz w:val="18"/>
                <w:szCs w:val="18"/>
                <w:color w:val="auto"/>
              </w:rPr>
              <w:t>16.24</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2016</w:t>
            </w:r>
          </w:p>
        </w:tc>
        <w:tc>
          <w:tcPr>
            <w:tcW w:w="194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17.41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Second Quarter 2016</w:t>
            </w:r>
          </w:p>
        </w:tc>
        <w:tc>
          <w:tcPr>
            <w:tcW w:w="1940" w:type="dxa"/>
            <w:vAlign w:val="bottom"/>
          </w:tcPr>
          <w:p>
            <w:pPr>
              <w:jc w:val="right"/>
              <w:ind w:right="493"/>
              <w:spacing w:after="0"/>
              <w:rPr>
                <w:sz w:val="20"/>
                <w:szCs w:val="20"/>
                <w:color w:val="auto"/>
              </w:rPr>
            </w:pPr>
            <w:r>
              <w:rPr>
                <w:rFonts w:ascii="Arial" w:cs="Arial" w:eastAsia="Arial" w:hAnsi="Arial"/>
                <w:sz w:val="18"/>
                <w:szCs w:val="18"/>
                <w:color w:val="auto"/>
              </w:rPr>
              <w:t>15.03</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2016</w:t>
            </w:r>
          </w:p>
        </w:tc>
        <w:tc>
          <w:tcPr>
            <w:tcW w:w="194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15.34</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Fourth Quarter 2015</w:t>
            </w:r>
          </w:p>
        </w:tc>
        <w:tc>
          <w:tcPr>
            <w:tcW w:w="1940" w:type="dxa"/>
            <w:vAlign w:val="bottom"/>
          </w:tcPr>
          <w:p>
            <w:pPr>
              <w:jc w:val="right"/>
              <w:ind w:right="493"/>
              <w:spacing w:after="0"/>
              <w:rPr>
                <w:sz w:val="20"/>
                <w:szCs w:val="20"/>
                <w:color w:val="auto"/>
              </w:rPr>
            </w:pPr>
            <w:r>
              <w:rPr>
                <w:rFonts w:ascii="Arial" w:cs="Arial" w:eastAsia="Arial" w:hAnsi="Arial"/>
                <w:sz w:val="18"/>
                <w:szCs w:val="18"/>
                <w:color w:val="auto"/>
              </w:rPr>
              <w:t>22.31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12.02</w:t>
            </w: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2015</w:t>
            </w:r>
          </w:p>
        </w:tc>
        <w:tc>
          <w:tcPr>
            <w:tcW w:w="194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23.56</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Second Quarter 2015</w:t>
            </w:r>
          </w:p>
        </w:tc>
        <w:tc>
          <w:tcPr>
            <w:tcW w:w="1940" w:type="dxa"/>
            <w:vAlign w:val="bottom"/>
          </w:tcPr>
          <w:p>
            <w:pPr>
              <w:jc w:val="right"/>
              <w:ind w:right="493"/>
              <w:spacing w:after="0"/>
              <w:rPr>
                <w:sz w:val="20"/>
                <w:szCs w:val="20"/>
                <w:color w:val="auto"/>
              </w:rPr>
            </w:pPr>
            <w:r>
              <w:rPr>
                <w:rFonts w:ascii="Arial" w:cs="Arial" w:eastAsia="Arial" w:hAnsi="Arial"/>
                <w:sz w:val="18"/>
                <w:szCs w:val="18"/>
                <w:color w:val="auto"/>
              </w:rPr>
              <w:t>30.72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21.30</w:t>
            </w: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2015</w:t>
            </w:r>
          </w:p>
        </w:tc>
        <w:tc>
          <w:tcPr>
            <w:tcW w:w="194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29.79</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w:t>
            </w: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February 10, 2017, the closing price of the ADSs on the NYSE was US$12.48 per ADS. As of February 10, 2017, there were approximately 443,271,029 ADSs outstanding. We urge you to obtain current market information for the Notes, to the extent available, and the ADSs before making any decision to exercise the Put Right.</w:t>
      </w:r>
    </w:p>
    <w:p>
      <w:pPr>
        <w:spacing w:after="0" w:line="17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2.7 Redemption. </w:t>
      </w:r>
      <w:r>
        <w:rPr>
          <w:rFonts w:ascii="Arial" w:cs="Arial" w:eastAsia="Arial" w:hAnsi="Arial"/>
          <w:sz w:val="18"/>
          <w:szCs w:val="18"/>
          <w:color w:val="auto"/>
        </w:rPr>
        <w:t>Subject to the provisions of the Indenture, the Company may, at its option, on not less than 30 days’ nor more than 60 days’ prior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notice, redeem all but not part of the Notes (except in respect of certain Holders that elect otherwise as described in the Indenture) in connection with a change in tax law at a redemption price equal to 100% of the principal amount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if any, to, but not including, the redemption date as described in the Indenture. Upon receiving such notice of redemption, each Holder will have the right to elect to not have its Notes redeemed, subject to the provisions of the Indenture.</w:t>
      </w:r>
    </w:p>
    <w:p>
      <w:pPr>
        <w:spacing w:after="0" w:line="18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2.8 Ranking. </w:t>
      </w:r>
      <w:r>
        <w:rPr>
          <w:rFonts w:ascii="Arial" w:cs="Arial" w:eastAsia="Arial" w:hAnsi="Arial"/>
          <w:sz w:val="18"/>
          <w:szCs w:val="18"/>
          <w:color w:val="auto"/>
        </w:rPr>
        <w:t>The Notes are senior unsecured obligations of the Company, ranking equally in right of payment with all of the Company’s future senior</w:t>
      </w:r>
      <w:r>
        <w:rPr>
          <w:rFonts w:ascii="Arial" w:cs="Arial" w:eastAsia="Arial" w:hAnsi="Arial"/>
          <w:sz w:val="18"/>
          <w:szCs w:val="18"/>
          <w:b w:val="1"/>
          <w:bCs w:val="1"/>
          <w:color w:val="auto"/>
        </w:rPr>
        <w:t xml:space="preserve"> </w:t>
      </w:r>
      <w:r>
        <w:rPr>
          <w:rFonts w:ascii="Arial" w:cs="Arial" w:eastAsia="Arial" w:hAnsi="Arial"/>
          <w:sz w:val="18"/>
          <w:szCs w:val="18"/>
          <w:color w:val="auto"/>
        </w:rPr>
        <w:t>unsecured indebtedness, and senior in right of payment to any of the Company’s future indebtedness that is expressly subordinated to the Notes. The Notes are effectively subordinated to all of the Company’s future secured indebtedness to the extent of the value of the collateral securing those obligations and structurally subordinated to the existing and future indebtedness and other liabilities (including trade payables) of the Company’s subsidiaries and consolidated affiliated entities.</w:t>
      </w:r>
    </w:p>
    <w:p>
      <w:pPr>
        <w:spacing w:after="0" w:line="184" w:lineRule="exact"/>
        <w:rPr>
          <w:sz w:val="20"/>
          <w:szCs w:val="20"/>
          <w:color w:val="auto"/>
        </w:rPr>
      </w:pPr>
    </w:p>
    <w:p>
      <w:pPr>
        <w:ind w:right="40" w:firstLine="8"/>
        <w:spacing w:after="0" w:line="256" w:lineRule="auto"/>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Procedures to Be Followed by Holders Electing to Exercise the Put Right. </w:t>
      </w:r>
      <w:r>
        <w:rPr>
          <w:rFonts w:ascii="Arial" w:cs="Arial" w:eastAsia="Arial" w:hAnsi="Arial"/>
          <w:sz w:val="18"/>
          <w:szCs w:val="18"/>
          <w:color w:val="auto"/>
        </w:rPr>
        <w:t>Holders will not be entitled to receive the 2017 Repurchase Price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their Notes unless they elect to exercise the Put Right by delivering their 2017 Repurchase Notice on or before 5:00 p.m., New York City time, on Monday, March 13, 2017 and have not withdrawn the 2017 Repurchase Notice prior to 5:00 p.m., New York City time, on Tuesday, March 14, 2017. Holders may exercise the Put Right with respect to some or all of their Notes. Any 2017 Repurchase Notice must specify a principal amount of Notes to be purchased by the Company of US$1,000 or an integral multiple thereof. If Holders do not elect to exercise the Put Right, their Notes will remain outstanding subject to the existing terms of the Indenture and the Notes.</w:t>
      </w:r>
    </w:p>
    <w:p>
      <w:pPr>
        <w:spacing w:after="0" w:line="18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3.1 Method of Delivery. </w:t>
      </w:r>
      <w:r>
        <w:rPr>
          <w:rFonts w:ascii="Arial" w:cs="Arial" w:eastAsia="Arial" w:hAnsi="Arial"/>
          <w:sz w:val="16"/>
          <w:szCs w:val="16"/>
          <w:color w:val="auto"/>
        </w:rPr>
        <w:t>The Trustee has informed the Company that, as of the date of this Put Right Notice, all custodians and beneficial holders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Notes hold the Notes through DTC accounts and that there are no certificated Notes in non-global form. Accordingly, unless physical certificates are issued following the date hereof, all Notes surrendered for repurchase hereunder must be delivered through DTC’s ATOP system. Valid delivery of Notes via ATOP will constitute delivery of a 2017 Repurchase Notice that satisfies such Holder’s notice requirements for its exercise of its Put Right. Delivery of Notes and all other required documents, including delivery and acceptance through ATOP, is at the election and risk of the person surrendering such Notes.</w:t>
      </w:r>
    </w:p>
    <w:p>
      <w:pPr>
        <w:spacing w:after="0" w:line="158"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HOLDERS THAT HOLD NOTES THROUGH DTC ACCOUNTS MAY ONLY EXERCISE THE PUT RIGHT BY COMPLYING WITH THE TRANSMITTAL PROCEDURES OF DTC AND SHOULD NOT SUBMIT A PHYSICAL 2017 REPURCHASE NOTICE.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3.2 Agreement to Be Bound by the Terms of the Put Right. </w:t>
      </w:r>
      <w:r>
        <w:rPr>
          <w:rFonts w:ascii="Arial" w:cs="Arial" w:eastAsia="Arial" w:hAnsi="Arial"/>
          <w:sz w:val="18"/>
          <w:szCs w:val="18"/>
          <w:color w:val="auto"/>
        </w:rPr>
        <w:t>By exercising the Put Right with respect to any portion of your Notes, you acknowledge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 as follows:</w:t>
      </w:r>
    </w:p>
    <w:p>
      <w:pPr>
        <w:spacing w:after="0" w:line="166" w:lineRule="exact"/>
        <w:rPr>
          <w:sz w:val="20"/>
          <w:szCs w:val="20"/>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Notes shall be purchased as of the 2017 Repurchase Date pursuant to the terms and conditions set forth in this Put Right Notice;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agree to all of the terms of this Put Right Notice;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you have received this Put Right Notice and acknowledge that this Put Right Notice provides the notice required pursuant to the Indenture;</w:t>
      </w:r>
    </w:p>
    <w:p>
      <w:pPr>
        <w:spacing w:after="0" w:line="236" w:lineRule="exact"/>
        <w:rPr>
          <w:rFonts w:ascii="Arial" w:cs="Arial" w:eastAsia="Arial" w:hAnsi="Arial"/>
          <w:sz w:val="17"/>
          <w:szCs w:val="17"/>
          <w:color w:val="auto"/>
        </w:rPr>
      </w:pPr>
    </w:p>
    <w:p>
      <w:pPr>
        <w:ind w:left="660" w:right="380" w:hanging="328"/>
        <w:spacing w:after="0" w:line="291" w:lineRule="auto"/>
        <w:tabs>
          <w:tab w:leader="none" w:pos="624" w:val="left"/>
        </w:tabs>
        <w:numPr>
          <w:ilvl w:val="0"/>
          <w:numId w:val="16"/>
        </w:numPr>
        <w:rPr>
          <w:rFonts w:ascii="Arial" w:cs="Arial" w:eastAsia="Arial" w:hAnsi="Arial"/>
          <w:sz w:val="16"/>
          <w:szCs w:val="16"/>
          <w:color w:val="auto"/>
        </w:rPr>
      </w:pPr>
      <w:r>
        <w:rPr>
          <w:rFonts w:ascii="Arial" w:cs="Arial" w:eastAsia="Arial" w:hAnsi="Arial"/>
          <w:sz w:val="16"/>
          <w:szCs w:val="16"/>
          <w:color w:val="auto"/>
        </w:rPr>
        <w:t>upon the terms and subject to the conditions set forth in this Put Right Notice, the Indenture and the Notes, and effective upon the acceptance for payment thereof, you (i) irrevocably sell, assign and transfer to the Company all right, title and interest in and to all the Notes surrendered,</w:t>
      </w:r>
    </w:p>
    <w:p>
      <w:pPr>
        <w:ind w:left="660" w:right="20"/>
        <w:spacing w:after="0" w:line="268" w:lineRule="auto"/>
        <w:rPr>
          <w:rFonts w:ascii="Arial" w:cs="Arial" w:eastAsia="Arial" w:hAnsi="Arial"/>
          <w:sz w:val="16"/>
          <w:szCs w:val="16"/>
          <w:color w:val="auto"/>
        </w:rPr>
      </w:pPr>
      <w:r>
        <w:rPr>
          <w:rFonts w:ascii="Arial" w:cs="Arial" w:eastAsia="Arial" w:hAnsi="Arial"/>
          <w:sz w:val="17"/>
          <w:szCs w:val="17"/>
          <w:color w:val="auto"/>
        </w:rPr>
        <w:t>(ii) release and discharge the Company and its directors, officers, employees and affiliates from any and all claims you may now have, or may have in the future, arising out of, or related to, the Notes, including, without limitation, any claims that you are entitled to receive additional principal or interest payments with respect to the Notes or to participate in any redemption or defeasance of the Notes and (iii) irrevocably constitute and appoint the Paying Agent as your true and lawful agent and attorney-in-fact with respect to any such surrendered Notes, with full power of substitution and resubstitution (such power of attorney being deemed to be an irrevocable power coupled with an interest) to (a) deliver certificates representing such Notes, or transfer ownership of such Notes on the account books maintained by DTC, together, in any such case, with all accompanying evidences of transfer and authenticity, to the Company, (b) present such Notes for transfer on the relevant security register and (c) receive all benefits or otherwise exercise all rights of beneficial ownership of such Notes (except that the Paying Agent will have no rights to, or control over, funds from the Company, except as agent for the Company for the 2017 Repurchase Price of any surrendered Notes that are purchased by the Company), all in accordance with the terms set forth in this Put Right Notice;</w:t>
      </w:r>
    </w:p>
    <w:p>
      <w:pPr>
        <w:sectPr>
          <w:pgSz w:w="11900" w:h="16838" w:orient="portrait"/>
          <w:cols w:equalWidth="0" w:num="1">
            <w:col w:w="11420"/>
          </w:cols>
          <w:pgMar w:left="240" w:top="125" w:right="239" w:bottom="0" w:gutter="0" w:footer="0" w:header="0"/>
        </w:sectPr>
      </w:pPr>
    </w:p>
    <w:bookmarkStart w:id="9" w:name="page10"/>
    <w:bookmarkEnd w:id="9"/>
    <w:p>
      <w:pPr>
        <w:spacing w:after="0" w:line="72" w:lineRule="exact"/>
        <w:rPr>
          <w:sz w:val="20"/>
          <w:szCs w:val="20"/>
          <w:color w:val="auto"/>
        </w:rPr>
      </w:pPr>
    </w:p>
    <w:p>
      <w:pPr>
        <w:ind w:left="660" w:right="140" w:hanging="328"/>
        <w:spacing w:after="0" w:line="259"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represent and warrant that you (i) own the Notes surrendered and are entitled to surrender such Notes and (ii) have full power and authority to surrender, sell, assign and transfer the Notes surrendered hereby and that when such Notes are accepted for purchase and payment by the Company, the Company will acquire good title thereto, free and clear of all liens, restrictions, charges and encumbrances and not subject to any adverse claim or right;</w:t>
      </w:r>
    </w:p>
    <w:p>
      <w:pPr>
        <w:spacing w:after="0" w:line="186" w:lineRule="exact"/>
        <w:rPr>
          <w:rFonts w:ascii="Arial" w:cs="Arial" w:eastAsia="Arial" w:hAnsi="Arial"/>
          <w:sz w:val="18"/>
          <w:szCs w:val="18"/>
          <w:color w:val="auto"/>
        </w:rPr>
      </w:pPr>
    </w:p>
    <w:p>
      <w:pPr>
        <w:ind w:left="660" w:hanging="328"/>
        <w:spacing w:after="0" w:line="277"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agree, upon request from the Company, to execute and deliver any additional transfer documents deemed by the Paying Agent or the Company to be necessary or desirable to complete the sale, assignment and transfer of the Notes surrendered;</w:t>
      </w:r>
    </w:p>
    <w:p>
      <w:pPr>
        <w:spacing w:after="0" w:line="170" w:lineRule="exact"/>
        <w:rPr>
          <w:rFonts w:ascii="Arial" w:cs="Arial" w:eastAsia="Arial" w:hAnsi="Arial"/>
          <w:sz w:val="18"/>
          <w:szCs w:val="18"/>
          <w:color w:val="auto"/>
        </w:rPr>
      </w:pPr>
    </w:p>
    <w:p>
      <w:pPr>
        <w:ind w:left="660" w:right="180" w:hanging="328"/>
        <w:spacing w:after="0" w:line="259"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understand that all Notes properly surrendered for purchase prior to 5:00 p.m., New York City time, on Monday, March 13, 2017 for which a 2017 Repurchase Notice has been delivered and not withdrawn prior to 5:00 p.m., New York City time, on Tuesday, March 14, 2017, will be purchased at the 2017 Repurchase Price, in cash, pursuant to the terms and conditions of the Indenture, the Notes, this Put Right Notice and related notice materials, as amended and supplemented from time to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hanging="328"/>
        <w:spacing w:after="0" w:line="277"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surrendered Notes may be withdrawn by complying with the withdrawal procedures of DTC at any time prior to 5:00 p.m., New York City time, on Tuesday, March 14, 2017; and</w:t>
      </w:r>
    </w:p>
    <w:p>
      <w:pPr>
        <w:spacing w:after="0" w:line="170" w:lineRule="exact"/>
        <w:rPr>
          <w:rFonts w:ascii="Arial" w:cs="Arial" w:eastAsia="Arial" w:hAnsi="Arial"/>
          <w:sz w:val="18"/>
          <w:szCs w:val="18"/>
          <w:color w:val="auto"/>
        </w:rPr>
      </w:pPr>
    </w:p>
    <w:p>
      <w:pPr>
        <w:ind w:left="660" w:right="160" w:hanging="328"/>
        <w:spacing w:after="0" w:line="264"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authority conferred or agreed to be conferred pursuant to your exercise of the Put Right hereby shall survive your death or incapacity and every obligation of yours shall be binding upon your heirs, personal representatives, executors, administrators, successors, assigns, trustees in bankruptcy and other legal representatives.</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Exercise of Put Right; Delivery of Notes.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Notes Held Through a Custodian. </w:t>
      </w:r>
      <w:r>
        <w:rPr>
          <w:rFonts w:ascii="Arial" w:cs="Arial" w:eastAsia="Arial" w:hAnsi="Arial"/>
          <w:sz w:val="18"/>
          <w:szCs w:val="18"/>
          <w:color w:val="auto"/>
        </w:rPr>
        <w:t>If you wish to exercise the Put Right with respect to any of your Notes and your Notes are held by a broker, dealer,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bank, trust company or other nominee, you must contact such nominee and instruct such nominee to surrender the Notes for purchase on your behalf through the transmittal procedures of DTC as set forth below in “Notes Held by a DTC Participant” on or prior to the deadline set by such nominee to permit such nominee to surrender the Notes by 5:00 p.m., New York City time, on the Expiration Date.</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Notes Held by a DTC Participant. </w:t>
      </w:r>
      <w:r>
        <w:rPr>
          <w:rFonts w:ascii="Arial" w:cs="Arial" w:eastAsia="Arial" w:hAnsi="Arial"/>
          <w:sz w:val="18"/>
          <w:szCs w:val="18"/>
          <w:color w:val="auto"/>
        </w:rPr>
        <w:t>If you are a DTC participant who wishes to exercise the Put Right with respect to any of your Notes, you must</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electronically transmit your acceptance through DTC’s ATOP system, subject to the terms and procedures of that system, on or prior to 5:00 p.m., New York City time, on the Expiration Date.</w:t>
      </w:r>
    </w:p>
    <w:p>
      <w:pPr>
        <w:spacing w:after="0" w:line="181"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In exercising the Put Right through ATOP, the electronic instructions sent to DTC by you or by a broker, dealer, commercial bank, trust company or other nominee on your behalf, and transmitted by DTC to the Paying Agent, will acknowledge, on behalf of you and DTC, your receipt of and agreement to be bound by the terms of the Put Right, including those set forth above under 3.2 — “Agreement to Be Bound by the Terms of the Put Right.”</w:t>
      </w:r>
    </w:p>
    <w:p>
      <w:pPr>
        <w:spacing w:after="0" w:line="1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Notes Held in Certificated Non-Global Form. </w:t>
      </w:r>
      <w:r>
        <w:rPr>
          <w:rFonts w:ascii="Arial" w:cs="Arial" w:eastAsia="Arial" w:hAnsi="Arial"/>
          <w:sz w:val="18"/>
          <w:szCs w:val="18"/>
          <w:color w:val="auto"/>
        </w:rPr>
        <w:t>While we do not expect any Notes to be issued to a Holder other than DTC or its nominee in physical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certificates after the date hereof, in the event that physical certificates evidencing the Notes are issued to such a Holder, then, in order to exercise the Put Right with respect to such Notes, any such Holder of the Notes must complete and sign a 2017 Repurchase Notice in the form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in accordance with the instructions set forth therein, have the signature thereon guaranteed and deliver such manually signed 2017 Repurchase Notice to the Paying Agent prior to 5:00 p.m., New York City time, on the Expiration Date. For such a Holder to receive payment of the 2017 Repurchase Price for such Notes with respect to the Put Right was exercised, the Holder must deliver such Notes to the Paying Agent prior to, on or after the 2017 Repurchase Date together with all necessary endorsements.</w:t>
      </w:r>
    </w:p>
    <w:p>
      <w:pPr>
        <w:spacing w:after="0" w:line="18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All signatures on a 2017 Repurchase Notice and endorsing the Notes must be guaranteed by a recognized participant in the Securities Transfer Agents Medallion Program, the NYSE Medallion Signature Program or the Stock Exchange Medallion Program (each, an “Eligible Institution” );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signatures need not be guaranteed if such Notes are tendered for the account of an Eligible Institution. If a 2017 Repurchase Notice or any Note is signed by a trustee, executor, administrator, guardian, attorney-in-fact, agent, officer of a corporation or other person acting in a fiduciary or representative capacity, such person must so indicate when signing, and proper evidence satisfactory to the Company of the authority of such person so to act must be submitted.</w:t>
      </w:r>
    </w:p>
    <w:p>
      <w:pPr>
        <w:spacing w:after="0" w:line="154"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You bear the risk of untimely surrender of your Notes. You must allow sufficient time for completion of the necessary DTC or Paying Agent procedures, as applicable, before 5:00 p.m., New York City time, on the Expiration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60" w:firstLine="8"/>
        <w:spacing w:after="0" w:line="282" w:lineRule="auto"/>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of Withdrawal. </w:t>
      </w:r>
      <w:r>
        <w:rPr>
          <w:rFonts w:ascii="Arial" w:cs="Arial" w:eastAsia="Arial" w:hAnsi="Arial"/>
          <w:sz w:val="18"/>
          <w:szCs w:val="18"/>
          <w:color w:val="auto"/>
        </w:rPr>
        <w:t>You may withdraw your previous exercise of the Put Right with respect to any Notes at any time prior to 5:00 p.m.,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City time, on Tuesday, March 14, 2017, which is the Business Day immediately prior to the 2017 Repurchase Date.</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Except as described below with respect to Notes, if any, for which physical certificates are issued to a Holder other than DTC or its nominee, in order to withdraw your previous exercise of the Put Right, you must comply with the withdrawal procedures of DTC prior to 5:00 p.m., New York City time, on Tuesday, March 14, 2017. This means you must deliver, or cause to be delivered, a valid withdrawal request through the ATOP system before 5:00 p.m., New York City time, on Tuesday, March 14, 2017.</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after the date hereof physical certificates evidencing the Notes are issued to a Holder other than DTC or its nominee, any such Holder who desires to withdraw any previously surrendered Notes evidenced by physical certificates must, instead of complying with the DTC withdrawal procedures, complete and sign a notice of withdrawal specifying (1) the principal amount of the Notes with respect to which such notice of withdrawal is being submitted, which portion must be US$1,000 aggregate principal amount or an integral multiple thereof, (2) the certificate numbers of the Notes in respect of which such notice of withdrawal is being submitted, and (3) the principal amount, if any, of such Note which remains subject to the 2017 Repurchase Notice, which portion must be US$1,000 aggregate principal amount or an integral multiple thereof, and deliver such manually signed notice of withdrawal to the Paying Agent prior to 5:00 p.m., New York City time, on Tuesday, March 14, 2017.</w:t>
      </w:r>
    </w:p>
    <w:p>
      <w:pPr>
        <w:sectPr>
          <w:pgSz w:w="11900" w:h="16910" w:orient="portrait"/>
          <w:cols w:equalWidth="0" w:num="1">
            <w:col w:w="11420"/>
          </w:cols>
          <w:pgMar w:left="240" w:top="341" w:right="239" w:bottom="0" w:gutter="0" w:footer="0" w:header="0"/>
        </w:sectPr>
      </w:pPr>
    </w:p>
    <w:bookmarkStart w:id="10" w:name="page11"/>
    <w:bookmarkEnd w:id="10"/>
    <w:p>
      <w:pPr>
        <w:spacing w:after="0" w:line="3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addition, pursuant to Rule 13e-4(f)(2)(ii) promulgated under the Securities Exchange Act of 1934, as amended (the “Exchange Act” ), Holders are advised that if they timely surrender Notes for purchase under the Put Right, they are also permitted to withdraw such Notes on Wednesday, April 12, 2017 (New York City time) in the event that we have not yet accepted the Notes for payment as of that time. Pursuant to the Indenture, we are required to forward the appropriate amount of cash required to pay the 2017 Repurchase Price for your Notes to the Paying Agent, prior to 11:00 a.m., New York City time, on Tuesday, March 14, 2017, which is the Business Day immediately prior to the 2017 Repurchase Date.</w:t>
      </w:r>
    </w:p>
    <w:p>
      <w:pPr>
        <w:spacing w:after="0" w:line="17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You may exercise the Put Right with respect to Notes for which your election to exercise your Put Right had been previously withdrawn, by following the procedures described in Section 3 above. We will determine all questions as to the validity, form and eligibility, including time of receipt, of notices of withdrawal.</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You bear the risk of untimely withdrawal of your Notes. You must allow sufficient time for completion of the necessary DTC or Paying Agent procedures by withdrawing before 5:00 p.m., New York City time, on Tuesday, March 14, 2017.</w:t>
      </w:r>
    </w:p>
    <w:p>
      <w:pPr>
        <w:spacing w:after="0" w:line="166" w:lineRule="exact"/>
        <w:rPr>
          <w:sz w:val="20"/>
          <w:szCs w:val="20"/>
          <w:color w:val="auto"/>
        </w:rPr>
      </w:pPr>
    </w:p>
    <w:p>
      <w:pPr>
        <w:ind w:right="20" w:firstLine="8"/>
        <w:spacing w:after="0" w:line="258" w:lineRule="auto"/>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for Surrendered Notes. </w:t>
      </w:r>
      <w:r>
        <w:rPr>
          <w:rFonts w:ascii="Arial" w:cs="Arial" w:eastAsia="Arial" w:hAnsi="Arial"/>
          <w:sz w:val="18"/>
          <w:szCs w:val="18"/>
          <w:color w:val="auto"/>
        </w:rPr>
        <w:t>We will forward to the Paying Agent, prior to 11:00 a.m., New York City time, on Tuesday, March 14, 2017,</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the Business Day immediately prior to the 2017 Repurchase Date, the appropriate amount of cash required to pay the 2017 Repurchase Price for your Notes, and the Paying Agent will promptly distribute the consideration to DTC, the sole Holder of record of the Notes. DTC will thereafter distribute the cash to its participants in accordance with its procedures. To the extent that you are not a DTC participant, your broker, dealer, commercial bank, trust company or other nominee, as the case may be, will distribute the cash to you.</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total amount of consideration required by us to repurchase all of the Notes is US$632,500,000 (assuming all of the Notes are validly surrendered for repurchase and accepted for payment).</w:t>
      </w:r>
    </w:p>
    <w:p>
      <w:pPr>
        <w:spacing w:after="0" w:line="166" w:lineRule="exact"/>
        <w:rPr>
          <w:sz w:val="20"/>
          <w:szCs w:val="20"/>
          <w:color w:val="auto"/>
        </w:rPr>
      </w:pPr>
    </w:p>
    <w:p>
      <w:pPr>
        <w:jc w:val="center"/>
        <w:ind w:left="5620" w:right="200" w:hanging="5612"/>
        <w:spacing w:after="0" w:line="532" w:lineRule="auto"/>
        <w:tabs>
          <w:tab w:leader="none" w:pos="721"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Acquired. </w:t>
      </w:r>
      <w:r>
        <w:rPr>
          <w:rFonts w:ascii="Arial" w:cs="Arial" w:eastAsia="Arial" w:hAnsi="Arial"/>
          <w:sz w:val="18"/>
          <w:szCs w:val="18"/>
          <w:color w:val="auto"/>
        </w:rPr>
        <w:t>Any Notes repurchased by us pursuant to the Put Right will be cancelled by the Trustee, pursuant to the terms of the Indenture.</w:t>
      </w:r>
      <w:r>
        <w:rPr>
          <w:rFonts w:ascii="Arial" w:cs="Arial" w:eastAsia="Arial" w:hAnsi="Arial"/>
          <w:sz w:val="18"/>
          <w:szCs w:val="18"/>
          <w:b w:val="1"/>
          <w:bCs w:val="1"/>
          <w:color w:val="auto"/>
        </w:rPr>
        <w:t xml:space="preserve"> </w:t>
      </w:r>
      <w:r>
        <w:rPr>
          <w:rFonts w:ascii="Arial" w:cs="Arial" w:eastAsia="Arial" w:hAnsi="Arial"/>
          <w:sz w:val="18"/>
          <w:szCs w:val="18"/>
          <w:color w:val="auto"/>
        </w:rPr>
        <w:t>11</w:t>
      </w:r>
    </w:p>
    <w:p>
      <w:pPr>
        <w:spacing w:after="0" w:line="200" w:lineRule="exact"/>
        <w:rPr>
          <w:rFonts w:ascii="Arial" w:cs="Arial" w:eastAsia="Arial" w:hAnsi="Arial"/>
          <w:sz w:val="18"/>
          <w:szCs w:val="18"/>
          <w:b w:val="1"/>
          <w:bCs w:val="1"/>
          <w:color w:val="auto"/>
        </w:rPr>
      </w:pPr>
    </w:p>
    <w:p>
      <w:pPr>
        <w:spacing w:after="0" w:line="246" w:lineRule="exact"/>
        <w:rPr>
          <w:rFonts w:ascii="Arial" w:cs="Arial" w:eastAsia="Arial" w:hAnsi="Arial"/>
          <w:sz w:val="18"/>
          <w:szCs w:val="18"/>
          <w:b w:val="1"/>
          <w:bCs w:val="1"/>
          <w:color w:val="auto"/>
        </w:rPr>
      </w:pPr>
    </w:p>
    <w:p>
      <w:pPr>
        <w:jc w:val="both"/>
        <w:ind w:right="340" w:firstLine="8"/>
        <w:spacing w:after="0" w:line="266" w:lineRule="auto"/>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Plans or Proposals of the Company. </w:t>
      </w:r>
      <w:r>
        <w:rPr>
          <w:rFonts w:ascii="Arial" w:cs="Arial" w:eastAsia="Arial" w:hAnsi="Arial"/>
          <w:sz w:val="18"/>
          <w:szCs w:val="18"/>
          <w:color w:val="auto"/>
        </w:rPr>
        <w:t>Except as publicly disclosed on or prior to the date of this Put Right Notice, neither the Company nor its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executive officers currently has any plans, proposals or negotiations that would be material to a Holder’s decision to exercise the Put Right, which relate to or which would result in:</w:t>
      </w:r>
    </w:p>
    <w:p>
      <w:pPr>
        <w:spacing w:after="0" w:line="180" w:lineRule="exact"/>
        <w:rPr>
          <w:rFonts w:ascii="Arial" w:cs="Arial" w:eastAsia="Arial" w:hAnsi="Arial"/>
          <w:sz w:val="18"/>
          <w:szCs w:val="18"/>
          <w:b w:val="1"/>
          <w:bCs w:val="1"/>
          <w:color w:val="auto"/>
        </w:rPr>
      </w:pPr>
    </w:p>
    <w:p>
      <w:pPr>
        <w:ind w:left="620" w:hanging="288"/>
        <w:spacing w:after="0"/>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extraordinary transaction, such as a merger, reorganization or liquidation, involving the Company or any of its subsidiaries;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purchase, sale or transfer of a material amount of assets of the Company or any of its subsidiaries;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material change in the present dividend rate or policy or in the indebtedness or capitalization of the Company or any of its subsidiaries;</w:t>
      </w:r>
    </w:p>
    <w:p>
      <w:pPr>
        <w:spacing w:after="0" w:line="236" w:lineRule="exact"/>
        <w:rPr>
          <w:rFonts w:ascii="Arial" w:cs="Arial" w:eastAsia="Arial" w:hAnsi="Arial"/>
          <w:sz w:val="17"/>
          <w:szCs w:val="17"/>
          <w:color w:val="auto"/>
        </w:rPr>
      </w:pPr>
    </w:p>
    <w:p>
      <w:pPr>
        <w:ind w:left="660" w:right="380" w:hanging="328"/>
        <w:spacing w:after="0" w:line="264" w:lineRule="auto"/>
        <w:tabs>
          <w:tab w:leader="none" w:pos="62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Company or any of its subsidiaries, including, but not limited to, any plans or proposals to change the number or the term of directors or to fill any existing vacancies on the board or to change any material term of the employment contract of any executive officer;</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other material change in the corporate structure or business of the Company or any of its subsidiaries;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2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class of equity securities of the Company or any of its subsidiaries being delisted from a national securities exchange or ceasing to be authorized to be quoted in an automated quotation system operated by a national securities association;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2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class of equity securities of the Company or any of its subsidiaries becoming eligible for termination of registration under Section 12(g)(4) of the Exchange Act;</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suspension of the obligation of the Company to file reports under Section 15(d) of the Exchange Act;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Company or the disposition of securities of the Company; or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2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changes in the charter, bylaws or other governing instruments of the Company or other actions that could impede the acquisition of control of the Company.</w:t>
      </w:r>
    </w:p>
    <w:p>
      <w:pPr>
        <w:spacing w:after="0" w:line="166" w:lineRule="exact"/>
        <w:rPr>
          <w:rFonts w:ascii="Arial" w:cs="Arial" w:eastAsia="Arial" w:hAnsi="Arial"/>
          <w:sz w:val="18"/>
          <w:szCs w:val="18"/>
          <w:color w:val="auto"/>
        </w:rPr>
      </w:pPr>
    </w:p>
    <w:p>
      <w:pPr>
        <w:ind w:left="720" w:hanging="712"/>
        <w:spacing w:after="0"/>
        <w:tabs>
          <w:tab w:leader="none" w:pos="72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Interests of Directors, Executive Officers and Affiliates of the Company in the Notes. </w:t>
      </w:r>
      <w:r>
        <w:rPr>
          <w:rFonts w:ascii="Arial" w:cs="Arial" w:eastAsia="Arial" w:hAnsi="Arial"/>
          <w:sz w:val="17"/>
          <w:szCs w:val="17"/>
          <w:color w:val="auto"/>
        </w:rPr>
        <w:t>Based on a reasonable inquiry by the Company:</w:t>
      </w:r>
    </w:p>
    <w:p>
      <w:pPr>
        <w:spacing w:after="0" w:line="240" w:lineRule="exact"/>
        <w:rPr>
          <w:rFonts w:ascii="Arial" w:cs="Arial" w:eastAsia="Arial" w:hAnsi="Arial"/>
          <w:sz w:val="17"/>
          <w:szCs w:val="17"/>
          <w:b w:val="1"/>
          <w:bCs w:val="1"/>
          <w:color w:val="auto"/>
        </w:rPr>
      </w:pPr>
    </w:p>
    <w:p>
      <w:pPr>
        <w:ind w:left="620" w:hanging="288"/>
        <w:spacing w:after="0"/>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none of the executive officers or directors of the Company or any associate of such executive officers or directors owns any Notes; and</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2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during the 60 days preceding the date of this Put Right Notice, none of the executive officers or directors of the Company has engaged in any transactions in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-5209540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will not purchase any Notes from its affiliates or the executive officers or directors of the Company. Neither the Company nor any of its associates or majority-owned subsidiaries owns any Notes. During the 60 days preceding the date of this Put Right Notice, neither the Company nor any of its subsidiaries has engaged in any transactions in the Notes.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Involving the Company’s Securities. </w:t>
      </w:r>
      <w:r>
        <w:rPr>
          <w:rFonts w:ascii="Arial" w:cs="Arial" w:eastAsia="Arial" w:hAnsi="Arial"/>
          <w:sz w:val="18"/>
          <w:szCs w:val="18"/>
          <w:color w:val="auto"/>
        </w:rPr>
        <w:t>The Company has entered into the following agreements relating to the Notes:</w:t>
      </w:r>
    </w:p>
    <w:p>
      <w:pPr>
        <w:spacing w:after="0" w:line="229" w:lineRule="exact"/>
        <w:rPr>
          <w:rFonts w:ascii="Arial" w:cs="Arial" w:eastAsia="Arial" w:hAnsi="Arial"/>
          <w:sz w:val="18"/>
          <w:szCs w:val="18"/>
          <w:b w:val="1"/>
          <w:bCs w:val="1"/>
          <w:color w:val="auto"/>
        </w:rPr>
      </w:pPr>
    </w:p>
    <w:p>
      <w:pPr>
        <w:ind w:left="620" w:hanging="288"/>
        <w:spacing w:after="0"/>
        <w:tabs>
          <w:tab w:leader="none" w:pos="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Indenture.</w:t>
      </w:r>
    </w:p>
    <w:p>
      <w:pPr>
        <w:sectPr>
          <w:pgSz w:w="11900" w:h="16874" w:orient="portrait"/>
          <w:cols w:equalWidth="0" w:num="1">
            <w:col w:w="11400"/>
          </w:cols>
          <w:pgMar w:left="240" w:top="341" w:right="259" w:bottom="0" w:gutter="0" w:footer="0" w:header="0"/>
        </w:sectPr>
      </w:pPr>
    </w:p>
    <w:bookmarkStart w:id="11" w:name="page12"/>
    <w:bookmarkEnd w:id="11"/>
    <w:p>
      <w:pPr>
        <w:ind w:right="180"/>
        <w:spacing w:after="0" w:line="264" w:lineRule="auto"/>
        <w:rPr>
          <w:sz w:val="20"/>
          <w:szCs w:val="20"/>
          <w:color w:val="auto"/>
        </w:rPr>
      </w:pPr>
      <w:r>
        <w:rPr>
          <w:rFonts w:ascii="Arial" w:cs="Arial" w:eastAsia="Arial" w:hAnsi="Arial"/>
          <w:sz w:val="18"/>
          <w:szCs w:val="18"/>
          <w:color w:val="auto"/>
        </w:rPr>
        <w:t>There are no agreements between the Company and any other person with respect to any other securities issued by the Company that are material to the Put Right or the Notes. The Company is not aware of any agreements between any directors or executive officers of the Company and any other person with respect to any other securities issued by the Company that are material to the Put Right or the Notes.</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following discussion is a summary of material U.S. federal income tax considerations relating to the exercise of the Put Right by U.S. Holders (defined below) of our Notes. This summary is based upon the Internal Revenue Code of 1986, as amended (the “Code”), the regulations promulgated by the U.S. Treasury Department, current administrative interpretations and practices of the Internal Revenue Service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 This summary is for general information only and does not discuss all aspects of U.S. federal income taxation that may be important to particular holders in light of their individual circumstances, including holders subject to special tax rules (for example, financial institutions, insurance companies, broker-dealers in securities or currencies, traders in securities that elect mark-to-market treatment, partnerships and other pass-through entities and holders of interests therein, pension plans, regulated investment companies, real estate investment trusts, cooperatives, foreign entities treated as domestic corporations for U.S. federal income tax purposes, and tax-exempt organizations (including private foundations)), holders that hold their Notes as part of a straddle, hedge, conversion, constructive sale, or other integrated transaction for U.S. federal income tax purposes, U.S. expatriates and certain former citizens or long-term residents of the United States, U.S. Holders whose “functional currency” is not the U.S. dollar, persons liable for alternative minimum tax, all of whom may be subject to tax rules that differ significantly from those summarized below. This summary is limited to U.S. Holders who hold the Notes as “capital assets” within the meaning of</w:t>
      </w:r>
    </w:p>
    <w:p>
      <w:pPr>
        <w:spacing w:after="0" w:line="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Section 1221 of the Code (generally, property held for investment). In addition, this summary of U.S. federal income tax considerations does not discuss any state, local, or non-U.S. tax considerations, any non-income tax (such as gift or estate tax) considerations, or the Medicare net investment income tax. Each U.S. Holder is urged to consult its tax advisor regarding the U.S. federal, state, local, and non-U.S. income and other tax considerations relating to the exercise of the Put Right of our Notes.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is a beneficial owner of our Notes that is:</w:t>
      </w:r>
    </w:p>
    <w:p>
      <w:pPr>
        <w:spacing w:after="0" w:line="225" w:lineRule="exact"/>
        <w:rPr>
          <w:sz w:val="20"/>
          <w:szCs w:val="20"/>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hanging="328"/>
        <w:spacing w:after="0" w:line="264"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which has one or more U.S. persons who have the authority to control all substantial decisions of the trust or (ii) that has in effect a valid election under applicable Treasury regulations to be treated as a U.S. person.</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a partnership (including an entity or arrangement treated as a partnership for U.S. federal income tax purposes) holds our Notes, the U.S. federal income tax treatment of a partner in such partnership will generally depend upon the status of the partner and the activities of the partnership. If you are a partner of a partnership holding our Notes, you are urged to consult your tax advisor regarding the tax consequences of the exercise of the Put Right.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Notes Pursuant to the Put Right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Upon exercise of the Put Right, subject to the discussion of market discount below, a U.S. Holder generally will recognize gain or loss equal to the difference between (i) the amount of cash proceeds received on the exercise, and (ii) such U.S. Holder’s adjusted tax basis in the Note. A U.S. Holder’s adjusted tax basis in a Note generally will equal its cost, increased by any accrued market discount if the U.S. Holder has elected to include such market discount as it accrued (as described below), and reduced (but not to below zero) by amortizable bond premium (generally, the excess, if any, of the tax basis of the Note to a U.S. Holder immediately after its acquisition over the principal amount of the Note payable at maturity) allowed as an offset against interest income with respect to the Note. Except to the extent it is subject to the market discount rules discussed below, any gain or loss recognized will be capital gain or loss and will be long-term capital gain or loss if, on the date of the sale, the Note has been held for more than one year. Non-corporate U.S. Holders will generally be eligible for beneficial rates on long-term capital gains. The deductibility of capital losses is subject to limitations. The gain or loss will generally be treated as U.S. source gain or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Discount</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Notes have “market discount” if their stated redemption price at maturity (as defined for purposes of the market discount rules) exceeds their tax basis in the hands of a U.S. Holder immediately after their acquisition, unless a statutorily defined de minimis exception applies. Gain recognized by a U.S. Holder with respect to the Notes acquired with market discount generally will be subject to tax as ordinary income to the extent of the market discount accrued during the period the Notes were held by such U.S. Holder, unless the U.S. Holder previously elected to include market discount in income as it accrued for U.S. federal income tax purposes. Market discount is accrued on a ratable basis, unless the U.S. Holder elected to accrue market discount using a constant-yield method. Gain in excess of accrued market discount will be subject to the capital gains rules described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Proceeds of the exercise of the Put Right generally are subject to information reporting unless the U.S. Holder is an exempt recipient.</w:t>
      </w:r>
    </w:p>
    <w:p>
      <w:pPr>
        <w:spacing w:after="0" w:line="221" w:lineRule="exact"/>
        <w:rPr>
          <w:sz w:val="20"/>
          <w:szCs w:val="20"/>
          <w:color w:val="auto"/>
        </w:rPr>
      </w:pPr>
    </w:p>
    <w:p>
      <w:pPr>
        <w:ind w:right="160" w:firstLine="8"/>
        <w:spacing w:after="0" w:line="303" w:lineRule="auto"/>
        <w:tabs>
          <w:tab w:leader="none" w:pos="665"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Additional Information. </w:t>
      </w:r>
      <w:r>
        <w:rPr>
          <w:rFonts w:ascii="Arial" w:cs="Arial" w:eastAsia="Arial" w:hAnsi="Arial"/>
          <w:sz w:val="16"/>
          <w:szCs w:val="16"/>
          <w:color w:val="auto"/>
        </w:rPr>
        <w:t>The Company is subject to the reporting and other informational requirements of the Exchange Act and,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therewith, files reports and other information with the SEC. Such reports and other information can be inspected and copied at the Public Reference Section of the SEC located at Station Place, 100 F Street, N.E., Washington D.C. 20549. Copies of such material can be obtained from the Public Reference Section of the SEC at prescribed rates. Such material may also be accessed electronically by means of the SEC’s home page on the Internet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ectPr>
          <w:pgSz w:w="11900" w:h="16838" w:orient="portrait"/>
          <w:cols w:equalWidth="0" w:num="1">
            <w:col w:w="11400"/>
          </w:cols>
          <w:pgMar w:left="240" w:top="341" w:right="259" w:bottom="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has filed with the SEC a Tender Offer Statement on Schedule TO, pursuant to Section 13(e) of the Exchange Act and Rule 13e-4 promulgated thereunder, furnishing certain information with respect to the Put Option. The Tender Offer Statement on Schedule TO, together with any exhibits and any amendments thereto, may be examined and copies may be obtained at the same places and in the same manner as set forth above.</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documents listed below (as such documents may be amended from time to time) contain important information about the Company and its financial condition, and we incorporate by reference such documents herein:</w:t>
      </w:r>
    </w:p>
    <w:p>
      <w:pPr>
        <w:spacing w:after="0" w:line="170" w:lineRule="exact"/>
        <w:rPr>
          <w:sz w:val="20"/>
          <w:szCs w:val="20"/>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annual report on Form 20-F of the Company for the year ended December 31, 2015, as filed on April 22, 2016;</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other reports filed pursuant to Sections 13, 14 or 15(d) of the Exchange Act and Rule 13a-16 or 15d-16 under the Exchange Act since the end of the fiscal year covered by the Form 20-F mentioned above; and</w:t>
      </w:r>
    </w:p>
    <w:p>
      <w:pPr>
        <w:spacing w:after="0" w:line="170" w:lineRule="exact"/>
        <w:rPr>
          <w:rFonts w:ascii="Arial" w:cs="Arial" w:eastAsia="Arial" w:hAnsi="Arial"/>
          <w:sz w:val="18"/>
          <w:szCs w:val="18"/>
          <w:color w:val="auto"/>
        </w:rPr>
      </w:pPr>
    </w:p>
    <w:p>
      <w:pPr>
        <w:ind w:left="660" w:right="160" w:hanging="328"/>
        <w:spacing w:after="0" w:line="308" w:lineRule="auto"/>
        <w:tabs>
          <w:tab w:leader="none" w:pos="6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documents filed with the SEC by the Company pursuant to Sections 13, 14 and 15(d) of the Exchange Act and Rule 13a-16 or 15d-16 under the Exchange Act subsequent to the date of this Put Right Notice and prior to 5:00 p.m., New York City time, on the Expiration Date.</w:t>
      </w:r>
    </w:p>
    <w:p>
      <w:pPr>
        <w:spacing w:after="0" w:line="14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All documents we file with the SEC shall be deemed to be incorporated by reference in this Put Right Notice and to be a part hereof from the date of the filing or furnishing of such documents. Any statement contained in a document incorporated, or deemed to be incorporated, by reference herein or contained in this Put Right Notice shall be deemed to be modified or superseded for purposes of this Put Right Notice to the extent any statement contained herein or in any subsequently filed or furnished document which also is, or is deemed to be, incorporated by reference herein modifies or supersedes such statement. Any such statement so modified or superseded shall not be deemed to constitute a part hereof except as so modified or superseded.</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Notwithstanding the foregoing, the Schedule TO to which this Put Right Notice relates does not permit forward “incorporation by reference.” Accordingly, if a material change occurs in the information set forth in this Put Right Notice, we will amend the Schedule TO accordingly.</w:t>
      </w:r>
    </w:p>
    <w:p>
      <w:pPr>
        <w:spacing w:after="0" w:line="166" w:lineRule="exact"/>
        <w:rPr>
          <w:sz w:val="20"/>
          <w:szCs w:val="20"/>
          <w:color w:val="auto"/>
        </w:rPr>
      </w:pPr>
    </w:p>
    <w:p>
      <w:pPr>
        <w:ind w:left="680" w:hanging="672"/>
        <w:spacing w:after="0"/>
        <w:tabs>
          <w:tab w:leader="none" w:pos="68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Solicitation. </w:t>
      </w:r>
      <w:r>
        <w:rPr>
          <w:rFonts w:ascii="Arial" w:cs="Arial" w:eastAsia="Arial" w:hAnsi="Arial"/>
          <w:sz w:val="17"/>
          <w:szCs w:val="17"/>
          <w:color w:val="auto"/>
        </w:rPr>
        <w:t>The Company has not employed any person to make solicitations or recommendations in connection with the Put Right.</w:t>
      </w:r>
    </w:p>
    <w:p>
      <w:pPr>
        <w:spacing w:after="0" w:line="236" w:lineRule="exact"/>
        <w:rPr>
          <w:rFonts w:ascii="Arial" w:cs="Arial" w:eastAsia="Arial" w:hAnsi="Arial"/>
          <w:sz w:val="17"/>
          <w:szCs w:val="17"/>
          <w:b w:val="1"/>
          <w:bCs w:val="1"/>
          <w:color w:val="auto"/>
        </w:rPr>
      </w:pPr>
    </w:p>
    <w:p>
      <w:pPr>
        <w:ind w:right="460" w:firstLine="8"/>
        <w:spacing w:after="0" w:line="282" w:lineRule="auto"/>
        <w:tabs>
          <w:tab w:leader="none" w:pos="67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All capitalized terms used but not specifically defined in this Put Right Notice shall have the meanings given to such terms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and the Notes.</w:t>
      </w:r>
    </w:p>
    <w:p>
      <w:pPr>
        <w:spacing w:after="0" w:line="161" w:lineRule="exact"/>
        <w:rPr>
          <w:rFonts w:ascii="Arial" w:cs="Arial" w:eastAsia="Arial" w:hAnsi="Arial"/>
          <w:sz w:val="18"/>
          <w:szCs w:val="18"/>
          <w:b w:val="1"/>
          <w:bCs w:val="1"/>
          <w:color w:val="auto"/>
        </w:rPr>
      </w:pPr>
    </w:p>
    <w:p>
      <w:pPr>
        <w:ind w:right="160" w:firstLine="8"/>
        <w:spacing w:after="0" w:line="282" w:lineRule="auto"/>
        <w:tabs>
          <w:tab w:leader="none" w:pos="67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Conflicts. </w:t>
      </w:r>
      <w:r>
        <w:rPr>
          <w:rFonts w:ascii="Arial" w:cs="Arial" w:eastAsia="Arial" w:hAnsi="Arial"/>
          <w:sz w:val="18"/>
          <w:szCs w:val="18"/>
          <w:color w:val="auto"/>
        </w:rPr>
        <w:t>In the event of any conflict between this Put Right Notice on the one hand and the terms of the Indenture or the Notes or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on the other hand, the terms of the Indenture or the Notes or applicable laws, as the case may be, will control.</w:t>
      </w:r>
    </w:p>
    <w:p>
      <w:pPr>
        <w:spacing w:after="0" w:line="162"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color w:val="auto"/>
        </w:rPr>
        <w:t>None of the Company, its board of directors or its executive management is making any recommendation to any Holder as to whether to exercise the Put Right or refrain from exercising the Put Right pursuant to this Put Right Notice. Each Holder must make such Holder’s own decision whether to exercise the Put Right and, if so, the principal amount of Notes for which the Put Right should be exercised.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FORM OF 2017 REPURCHASE NOTICE</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Vipshop Holdings Limited and Deutsche Bank Trust Company Americas, as Trustee</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undersigned registered owner of this Note hereby acknowledges receipt of a notice from Vipshop Holdings Limited (the “</w:t>
      </w:r>
      <w:r>
        <w:rPr>
          <w:rFonts w:ascii="Arial" w:cs="Arial" w:eastAsia="Arial" w:hAnsi="Arial"/>
          <w:sz w:val="17"/>
          <w:szCs w:val="17"/>
          <w:u w:val="single" w:color="auto"/>
          <w:color w:val="auto"/>
        </w:rPr>
        <w:t>Company</w:t>
      </w:r>
      <w:r>
        <w:rPr>
          <w:rFonts w:ascii="Arial" w:cs="Arial" w:eastAsia="Arial" w:hAnsi="Arial"/>
          <w:sz w:val="17"/>
          <w:szCs w:val="17"/>
          <w:color w:val="auto"/>
        </w:rPr>
        <w:t>”) as to such Holder’s right to require the Company to repurchase such Holder’s Notes on March 15, 2017 (the “</w:t>
      </w:r>
      <w:r>
        <w:rPr>
          <w:rFonts w:ascii="Arial" w:cs="Arial" w:eastAsia="Arial" w:hAnsi="Arial"/>
          <w:sz w:val="17"/>
          <w:szCs w:val="17"/>
          <w:u w:val="single" w:color="auto"/>
          <w:color w:val="auto"/>
        </w:rPr>
        <w:t>2017 Repurchase Date</w:t>
      </w:r>
      <w:r>
        <w:rPr>
          <w:rFonts w:ascii="Arial" w:cs="Arial" w:eastAsia="Arial" w:hAnsi="Arial"/>
          <w:sz w:val="17"/>
          <w:szCs w:val="17"/>
          <w:color w:val="auto"/>
        </w:rPr>
        <w:t>”) and requests and instructs the Company to pay to the registered holder hereof in accordance with the applicable provisions of the Indenture referred to in this Note the entire principal amount of this Note, or the portion thereof (that is US$1,000 principal amount or an integral multiple thereof) designated below. The undersigned acknowledges that the accrued and unpaid interest thereon to, but not including, the 2017 Repurchase Date shall be paid to the Holder of record at the close of business on the Regular Record Date immediately preceding the 2017 Repurchase Date.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Certificated Notes, the certificate numbers of the Notes to be repurchased are as set forth below:</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Certificate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2980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you want to elect to have this Note purchased by the Company pursuant to Section 3.04 of the First Supplemental Indenture, check the box £</w:t>
      </w:r>
    </w:p>
    <w:p>
      <w:pPr>
        <w:spacing w:after="0" w:line="23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you want to elect to have only part of this Note purchased by the Company pursuant to Section 3.04 of the First Supplemental Indenture, state the amount you elect to have purchased (must be integral multiple of US$1,000):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420" w:type="dxa"/>
            <w:vAlign w:val="bottom"/>
          </w:tcPr>
          <w:p>
            <w:pPr>
              <w:ind w:left="560"/>
              <w:spacing w:after="0"/>
              <w:rPr>
                <w:sz w:val="20"/>
                <w:szCs w:val="20"/>
                <w:color w:val="auto"/>
              </w:rPr>
            </w:pPr>
            <w:r>
              <w:rPr>
                <w:rFonts w:ascii="Arial" w:cs="Arial" w:eastAsia="Arial" w:hAnsi="Arial"/>
                <w:sz w:val="18"/>
                <w:szCs w:val="18"/>
                <w:color w:val="auto"/>
              </w:rPr>
              <w:t>US$:</w:t>
            </w:r>
          </w:p>
        </w:tc>
        <w:tc>
          <w:tcPr>
            <w:tcW w:w="4180" w:type="dxa"/>
            <w:vAlign w:val="bottom"/>
            <w:tcBorders>
              <w:bottom w:val="single" w:sz="8" w:color="auto"/>
            </w:tcBorders>
            <w:gridSpan w:val="2"/>
          </w:tcPr>
          <w:p>
            <w:pPr>
              <w:spacing w:after="0"/>
              <w:rPr>
                <w:sz w:val="20"/>
                <w:szCs w:val="20"/>
                <w:color w:val="auto"/>
              </w:rPr>
            </w:pPr>
          </w:p>
        </w:tc>
        <w:tc>
          <w:tcPr>
            <w:tcW w:w="2280" w:type="dxa"/>
            <w:vAlign w:val="bottom"/>
          </w:tcPr>
          <w:p>
            <w:pPr>
              <w:spacing w:after="0"/>
              <w:rPr>
                <w:sz w:val="20"/>
                <w:szCs w:val="20"/>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Dated:</w:t>
            </w:r>
          </w:p>
        </w:tc>
        <w:tc>
          <w:tcPr>
            <w:tcW w:w="2760" w:type="dxa"/>
            <w:vAlign w:val="bottom"/>
            <w:tcBorders>
              <w:bottom w:val="single" w:sz="8" w:color="auto"/>
            </w:tcBorders>
          </w:tcPr>
          <w:p>
            <w:pPr>
              <w:spacing w:after="0"/>
              <w:rPr>
                <w:sz w:val="24"/>
                <w:szCs w:val="24"/>
                <w:color w:val="auto"/>
              </w:rPr>
            </w:pPr>
          </w:p>
        </w:tc>
        <w:tc>
          <w:tcPr>
            <w:tcW w:w="2000" w:type="dxa"/>
            <w:vAlign w:val="bottom"/>
            <w:gridSpan w:val="2"/>
          </w:tcPr>
          <w:p>
            <w:pPr>
              <w:ind w:left="380"/>
              <w:spacing w:after="0"/>
              <w:rPr>
                <w:sz w:val="20"/>
                <w:szCs w:val="20"/>
                <w:color w:val="auto"/>
              </w:rPr>
            </w:pPr>
            <w:r>
              <w:rPr>
                <w:rFonts w:ascii="Arial" w:cs="Arial" w:eastAsia="Arial" w:hAnsi="Arial"/>
                <w:sz w:val="18"/>
                <w:szCs w:val="18"/>
                <w:color w:val="auto"/>
              </w:rPr>
              <w:t>Your Signature:</w:t>
            </w:r>
          </w:p>
        </w:tc>
        <w:tc>
          <w:tcPr>
            <w:tcW w:w="36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r>
        <w:trPr>
          <w:trHeight w:val="224"/>
        </w:trPr>
        <w:tc>
          <w:tcPr>
            <w:tcW w:w="7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600" w:type="dxa"/>
            <w:vAlign w:val="bottom"/>
            <w:gridSpan w:val="3"/>
          </w:tcPr>
          <w:p>
            <w:pPr>
              <w:ind w:left="380"/>
              <w:spacing w:after="0"/>
              <w:rPr>
                <w:sz w:val="20"/>
                <w:szCs w:val="20"/>
                <w:color w:val="auto"/>
              </w:rPr>
            </w:pPr>
            <w:r>
              <w:rPr>
                <w:rFonts w:ascii="Arial" w:cs="Arial" w:eastAsia="Arial" w:hAnsi="Arial"/>
                <w:sz w:val="18"/>
                <w:szCs w:val="18"/>
                <w:color w:val="auto"/>
              </w:rPr>
              <w:t>Sign exactly as your name appears on the face of this Note.</w:t>
            </w:r>
          </w:p>
        </w:tc>
        <w:tc>
          <w:tcPr>
            <w:tcW w:w="22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04"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Social Security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-115570</wp:posOffset>
            </wp:positionV>
            <wp:extent cx="4759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5932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14605</wp:posOffset>
            </wp:positionV>
            <wp:extent cx="11493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must be guaranteed by a participant in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recognized Signature Guarantee Medallion Program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 other signature guarantor program reasonably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acceptable to the Trustee)</w:t>
      </w:r>
    </w:p>
    <w:p>
      <w:pPr>
        <w:spacing w:after="0" w:line="21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154940</wp:posOffset>
            </wp:positionV>
            <wp:extent cx="1252220" cy="7886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5222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Announces Put Right Notification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1.50% Convertible Senior Notes due 2019</w:t>
      </w:r>
    </w:p>
    <w:p>
      <w:pPr>
        <w:spacing w:after="0" w:line="21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Guangzhou, China, February 14, 2017 — Vipshop Holdings Limited (NYSE: VIPS), a leading online discount retailer for brands in China (“Vipshop” or the “Company”), today announced that it is notifying holders of its 1.50% Convertible Senior Notes due 2019 (CUSIP No. 92763WAA1) (the “Notes”) that pursuant to the Indenture dated as of March 17, 2014 relating to the Notes by and between the Company and Deutsche Bank Trust Company Americas, as trustee and paying agent, as amended by the First Supplemental Indenture dated as of March 17, 2014 and further amended by the Second Supplemental Indenture dated as of November 11, 2014, each holder has the right, at the option of such holder, to require the Company to purchase all of such holder’s Notes or any portion of the principal thereof that is equal to US$1,000 principal amount (or an integral multiple thereof) for cash on March 15, 2017 (the “Put Right”). The Put Right expires at 5:00 p.m., New York City time, on Monday, March 13, 2017.</w:t>
      </w:r>
    </w:p>
    <w:p>
      <w:pPr>
        <w:spacing w:after="0" w:line="17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required by rules of the United States Securities and Exchange Commission (the “SEC”), the Company will file a Tender Offer Statement on Schedule TO today. In addition, documents specifying the terms, conditions and procedures for exercising the Put Right will be available through the Depository Trust Company and the paying agent, which is Deutsche Bank Trust Company Americas. None of the Company, its board of directors, or its employees has made or is making any representation or recommendation to any holder as to whether to exercise or refrain from exercising the Put Right.</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Put Right entitles each holder of the Notes to require the Company to repurchase all or a portion of such holder’s Notes in principal amounts equal to US$1,000 or integral multiples thereof. The repurchase price for such Notes will be equal to 100% of the principal amount of the Notes to be repurchased, </w:t>
      </w:r>
      <w:r>
        <w:rPr>
          <w:rFonts w:ascii="Arial" w:cs="Arial" w:eastAsia="Arial" w:hAnsi="Arial"/>
          <w:sz w:val="17"/>
          <w:szCs w:val="17"/>
          <w:i w:val="1"/>
          <w:iCs w:val="1"/>
          <w:color w:val="auto"/>
        </w:rPr>
        <w:t xml:space="preserve">plus </w:t>
      </w:r>
      <w:r>
        <w:rPr>
          <w:rFonts w:ascii="Arial" w:cs="Arial" w:eastAsia="Arial" w:hAnsi="Arial"/>
          <w:sz w:val="17"/>
          <w:szCs w:val="17"/>
          <w:color w:val="auto"/>
        </w:rPr>
        <w:t>any accrued and unpaid interest to, but not including, March 15, 2017, which is the date specified for repurchase in the Indenture (the “2017 Repurchase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Date”), subject to the terms and conditions of the Indenture and the Notes. The 2017 Repurchase Date is an interest payment date under the terms of the Indenture and the Notes. Accordingly, on March 15, 2017, the Company will pay accrued and unpaid interest on all of the Notes through March 14, 2017, to all holders who were holders of record on March 1, 2017, regardless of whether the Put Right is exercised with respect to such Notes. On the 2017 Repurchase Date, there will be no accrued and unpaid interest on the Notes. As of February 13, 2017, there was U$632,500,000 in aggregate principal amount of the Notes outstanding. If all outstanding Notes are surrendered for repurchase through exercise of the Put Right, the aggregate cash purchase price will be US$632,500,000.</w:t>
      </w:r>
    </w:p>
    <w:p>
      <w:pPr>
        <w:spacing w:after="0" w:line="18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opportunity for holders of the Notes to exercise the Put Right commences today, February 14, 2017, and will terminate at 5:00 p.m., New York City time, on Monday, March 13, 2017. In order to exercise the Put Right, a holder must follow the transmittal procedures set forth in the Company’s Put Right Notice to holders (the “Put Right Notice”), which is available through the Depository Trust Company and Deutsche Bank Trust Company Americas. Holders may withdraw any previously tendered Notes pursuant to the terms of the Put Right at any time prior to 5:00 p.m., New York City time, on Tuesday, March 14, 2017, which is the business day immediately prior to the 2017 Repurchase Date, or as otherwise provided by applicable law.</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press release is for information only and is not an offer to purchase, a solicitation of an offer to purchase, or a solicitation of an offer to sell the Notes or any other securities of the Company. The offer to purchase the Notes will be only pursuant to, and the Notes may be tendered only in accordance with the Company’s Put Right Notice dated February 14, 2017 and related documents. Holders of Notes may request the Company’s Put Right Notice from the paying agent, Deutsche Bank Trust Company Americas.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i w:val="1"/>
                <w:iCs w:val="1"/>
                <w:color w:val="auto"/>
              </w:rPr>
              <w:t>By Regular, Registered or Certified Mail or Overnight Courier:</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By Facsimile (for Eligible Institutions only):</w:t>
            </w:r>
          </w:p>
        </w:tc>
      </w:tr>
      <w:tr>
        <w:trPr>
          <w:trHeight w:val="418"/>
        </w:trPr>
        <w:tc>
          <w:tcPr>
            <w:tcW w:w="6280" w:type="dxa"/>
            <w:vAlign w:val="bottom"/>
          </w:tcPr>
          <w:p>
            <w:pPr>
              <w:spacing w:after="0"/>
              <w:rPr>
                <w:sz w:val="20"/>
                <w:szCs w:val="20"/>
                <w:color w:val="auto"/>
              </w:rPr>
            </w:pPr>
            <w:r>
              <w:rPr>
                <w:rFonts w:ascii="Arial" w:cs="Arial" w:eastAsia="Arial" w:hAnsi="Arial"/>
                <w:sz w:val="18"/>
                <w:szCs w:val="18"/>
                <w:color w:val="auto"/>
              </w:rPr>
              <w:t>DB Services Americas, Inc.</w:t>
            </w:r>
          </w:p>
        </w:tc>
        <w:tc>
          <w:tcPr>
            <w:tcW w:w="5140" w:type="dxa"/>
            <w:vAlign w:val="bottom"/>
          </w:tcPr>
          <w:p>
            <w:pPr>
              <w:jc w:val="right"/>
              <w:spacing w:after="0"/>
              <w:rPr>
                <w:sz w:val="20"/>
                <w:szCs w:val="20"/>
                <w:color w:val="auto"/>
              </w:rPr>
            </w:pPr>
            <w:r>
              <w:rPr>
                <w:rFonts w:ascii="Arial" w:cs="Arial" w:eastAsia="Arial" w:hAnsi="Arial"/>
                <w:sz w:val="18"/>
                <w:szCs w:val="18"/>
                <w:color w:val="auto"/>
              </w:rPr>
              <w:t>+1 (615) 866-3889</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5022 Gate Parkway Suite 200</w:t>
            </w:r>
          </w:p>
        </w:tc>
        <w:tc>
          <w:tcPr>
            <w:tcW w:w="5140" w:type="dxa"/>
            <w:vAlign w:val="bottom"/>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MS JCK01-0218</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For Information or Confirmation by Telephone:</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Jacksonville, FL 32256</w:t>
            </w:r>
          </w:p>
        </w:tc>
        <w:tc>
          <w:tcPr>
            <w:tcW w:w="5140" w:type="dxa"/>
            <w:vAlign w:val="bottom"/>
          </w:tcPr>
          <w:p>
            <w:pPr>
              <w:spacing w:after="0"/>
              <w:rPr>
                <w:sz w:val="18"/>
                <w:szCs w:val="18"/>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U.S.A.</w:t>
            </w:r>
          </w:p>
        </w:tc>
        <w:tc>
          <w:tcPr>
            <w:tcW w:w="5140" w:type="dxa"/>
            <w:vAlign w:val="bottom"/>
          </w:tcPr>
          <w:p>
            <w:pPr>
              <w:jc w:val="right"/>
              <w:spacing w:after="0"/>
              <w:rPr>
                <w:sz w:val="20"/>
                <w:szCs w:val="20"/>
                <w:color w:val="auto"/>
              </w:rPr>
            </w:pPr>
            <w:r>
              <w:rPr>
                <w:rFonts w:ascii="Arial" w:cs="Arial" w:eastAsia="Arial" w:hAnsi="Arial"/>
                <w:sz w:val="18"/>
                <w:szCs w:val="18"/>
                <w:color w:val="auto"/>
              </w:rPr>
              <w:t>+1 (800) 735-7777</w:t>
            </w:r>
          </w:p>
        </w:tc>
      </w:tr>
    </w:tbl>
    <w:p>
      <w:pPr>
        <w:spacing w:after="0" w:line="20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HOLDERS OF NOTES AND OTHER INTERESTED PARTIES ARE URGED TO READ THE COMPANY’S SCHEDULE TO, PUT RIGHT NOTICE AND OTHER RELEVANT DOCUMENTS FILED WITH THE SEC WHEN THEY BECOME AVAILABLE BECAUSE THEY WILL CONTAIN IMPORTANT INFORMATION ABOUT VIPSHOP HOLDINGS LIMITED AND THE PUT RIGHT.</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Materials filed with the SEC will be available electronically without charge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Documents filed with the SEC may also be obtained without charge at the Company’s website, </w:t>
      </w:r>
      <w:r>
        <w:rPr>
          <w:rFonts w:ascii="Arial" w:cs="Arial" w:eastAsia="Arial" w:hAnsi="Arial"/>
          <w:sz w:val="18"/>
          <w:szCs w:val="18"/>
          <w:i w:val="1"/>
          <w:iCs w:val="1"/>
          <w:color w:val="auto"/>
        </w:rPr>
        <w:t>ir.vip.com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Vipshop Holdings Limited</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Vipshop Holdings Limited is a leading online discount retailer for brands in China. Vipshop offers high quality and popular branded products to consumers throughout China at a significant discount to retail prices. Since it was founded in August 2008, the Company has rapidly built a sizeable and growing base of customers and brand partners. For more information, please visit </w:t>
      </w:r>
      <w:r>
        <w:rPr>
          <w:rFonts w:ascii="Arial" w:cs="Arial" w:eastAsia="Arial" w:hAnsi="Arial"/>
          <w:sz w:val="18"/>
          <w:szCs w:val="18"/>
          <w:i w:val="1"/>
          <w:iCs w:val="1"/>
          <w:color w:val="auto"/>
        </w:rPr>
        <w:t>www.vip.com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Vipshop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Millicent Tu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(20) 2233-0732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IR@vipshop.com</w:t>
      </w:r>
    </w:p>
    <w:p>
      <w:pPr>
        <w:sectPr>
          <w:pgSz w:w="11900" w:h="16838" w:orient="portrait"/>
          <w:cols w:equalWidth="0" w:num="1">
            <w:col w:w="11420"/>
          </w:cols>
          <w:pgMar w:left="240" w:top="121" w:right="239" w:bottom="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Jeremy Peruski</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Tel: +1 (646) 405-4866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Email: IR@vipshop.com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o"/>
      <w:numFmt w:val="bullet"/>
      <w:start w:val="1"/>
    </w:lvl>
  </w:abstractNum>
  <w:abstractNum w:abstractNumId="3">
    <w:nsid w:val="41A7C4C9"/>
    <w:multiLevelType w:val="hybridMultilevel"/>
    <w:lvl w:ilvl="0">
      <w:lvlJc w:val="left"/>
      <w:lvlText w:val="x"/>
      <w:numFmt w:val="bullet"/>
      <w:start w:val="1"/>
    </w:lvl>
  </w:abstractNum>
  <w:abstractNum w:abstractNumId="4">
    <w:nsid w:val="6B68079A"/>
    <w:multiLevelType w:val="hybridMultilevel"/>
    <w:lvl w:ilvl="0">
      <w:lvlJc w:val="left"/>
      <w:lvlText w:val="o"/>
      <w:numFmt w:val="bullet"/>
      <w:start w:val="1"/>
    </w:lvl>
  </w:abstractNum>
  <w:abstractNum w:abstractNumId="5">
    <w:nsid w:val="4E6AFB66"/>
    <w:multiLevelType w:val="hybridMultilevel"/>
    <w:lvl w:ilvl="0">
      <w:lvlJc w:val="left"/>
      <w:lvlText w:val="o"/>
      <w:numFmt w:val="bullet"/>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lowerLetter"/>
      <w:start w:val="3"/>
    </w:lvl>
  </w:abstractNum>
  <w:abstractNum w:abstractNumId="9">
    <w:nsid w:val="3F2DBA31"/>
    <w:multiLevelType w:val="hybridMultilevel"/>
    <w:lvl w:ilvl="0">
      <w:lvlJc w:val="left"/>
      <w:lvlText w:val="(%1)"/>
      <w:numFmt w:val="lowerLetter"/>
      <w:start w:val="2"/>
    </w:lvl>
  </w:abstractNum>
  <w:abstractNum w:abstractNumId="10">
    <w:nsid w:val="7C83E458"/>
    <w:multiLevelType w:val="hybridMultilevel"/>
    <w:lvl w:ilvl="0">
      <w:lvlJc w:val="left"/>
      <w:lvlText w:val="(%1)"/>
      <w:numFmt w:val="lowerLetter"/>
      <w:start w:val="7"/>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2"/>
    </w:lvl>
  </w:abstractNum>
  <w:abstractNum w:abstractNumId="14">
    <w:nsid w:val="628C895D"/>
    <w:multiLevelType w:val="hybridMultilevel"/>
    <w:lvl w:ilvl="0">
      <w:lvlJc w:val="left"/>
      <w:lvlText w:val="3"/>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4"/>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decimal"/>
      <w:start w:val="6"/>
    </w:lvl>
    <w:lvl w:ilvl="1">
      <w:lvlJc w:val="left"/>
      <w:lvlText w:val="·"/>
      <w:numFmt w:val="bullet"/>
      <w:start w:val="1"/>
    </w:lvl>
  </w:abstractNum>
  <w:abstractNum w:abstractNumId="21">
    <w:nsid w:val="8EDBDAB"/>
    <w:multiLevelType w:val="hybridMultilevel"/>
    <w:lvl w:ilvl="0">
      <w:lvlJc w:val="left"/>
      <w:lvlText w:val="%1."/>
      <w:numFmt w:val="decimal"/>
      <w:start w:val="9"/>
    </w:lvl>
    <w:lvl w:ilvl="1">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2019-12-07T16:29:58Z</dcterms:created>
  <dcterms:modified xsi:type="dcterms:W3CDTF">2019-12-07T16:29:58Z</dcterms:modified>
</cp:coreProperties>
</file>