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color w:val="auto"/>
        </w:rPr>
        <w:t>For the month of May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001-35454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Vipshop Holdings Limited</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Vipshop Headquarters, 128 Dingxin Road</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Haizhu District, Guangzhou 510220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
          </w:tcPr>
          <w:p>
            <w:pPr>
              <w:ind w:left="35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3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9880" w:type="dxa"/>
            <w:vAlign w:val="bottom"/>
            <w:gridSpan w:val="2"/>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gridSpan w:val="3"/>
          </w:tcPr>
          <w:p>
            <w:pPr>
              <w:jc w:val="center"/>
              <w:ind w:right="380"/>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988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 Vipshop Reports Unaudited First Quarter 2026 Financial Results</w:t>
            </w:r>
          </w:p>
        </w:tc>
      </w:tr>
      <w:tr>
        <w:trPr>
          <w:trHeight w:val="696"/>
        </w:trPr>
        <w:tc>
          <w:tcPr>
            <w:tcW w:w="42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20" w:type="dxa"/>
            <w:vAlign w:val="bottom"/>
            <w:tcBorders>
              <w:top w:val="single" w:sz="8" w:color="0000EE"/>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Vipshop Holdings Limited</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Wang</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Wang</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694055"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40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Vipshop Reports Unaudited First Quarter 2026 Financial Results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Conference Call to Be Held at 7:30 A.M. U.S. Eastern Time on May 21, 2026</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Guangzhou, China, May 21, 2026 — Vipshop Holdings Limited (NYSE: VIPS), a leading off-price retailer in China (“Vipshop” or the “Company”), today announced its unaudited financial results for the quarter ended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Highlights</w:t>
      </w:r>
    </w:p>
    <w:p>
      <w:pPr>
        <w:spacing w:after="0" w:line="225" w:lineRule="exact"/>
        <w:rPr>
          <w:sz w:val="20"/>
          <w:szCs w:val="20"/>
          <w:color w:val="auto"/>
        </w:rPr>
      </w:pPr>
    </w:p>
    <w:p>
      <w:pPr>
        <w:ind w:left="660" w:hanging="328"/>
        <w:spacing w:after="0" w:line="285"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Total net revenues </w:t>
      </w:r>
      <w:r>
        <w:rPr>
          <w:rFonts w:ascii="Times New Roman" w:cs="Times New Roman" w:eastAsia="Times New Roman" w:hAnsi="Times New Roman"/>
          <w:sz w:val="18"/>
          <w:szCs w:val="18"/>
          <w:color w:val="auto"/>
        </w:rPr>
        <w:t>for the first quarter of 2026 increased by 1.2% year over year to RMB26.6 billion (US$3.9 billion) from RMB26.3 billion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prior year period.</w:t>
      </w:r>
    </w:p>
    <w:p>
      <w:pPr>
        <w:spacing w:after="0" w:line="159"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GMV</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first quarter of 2026 increased by 8.6% year over year to RMB56.9 billion from RMB52.4 billion in the prior year period.</w:t>
      </w:r>
    </w:p>
    <w:p>
      <w:pPr>
        <w:spacing w:after="0" w:line="135" w:lineRule="exact"/>
        <w:rPr>
          <w:rFonts w:ascii="Arial" w:cs="Arial" w:eastAsia="Arial" w:hAnsi="Arial"/>
          <w:sz w:val="18"/>
          <w:szCs w:val="18"/>
          <w:b w:val="1"/>
          <w:bCs w:val="1"/>
          <w:color w:val="auto"/>
        </w:rPr>
      </w:pPr>
    </w:p>
    <w:p>
      <w:pPr>
        <w:ind w:left="660" w:hanging="328"/>
        <w:spacing w:after="0" w:line="285"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for the first quarter of 2026 increased by 6.8% year over year to RMB6.5 billion (US$941.6 million) from RMB6.1 billion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year period.</w:t>
      </w:r>
    </w:p>
    <w:p>
      <w:pPr>
        <w:spacing w:after="0" w:line="155" w:lineRule="exact"/>
        <w:rPr>
          <w:rFonts w:ascii="Arial" w:cs="Arial" w:eastAsia="Arial" w:hAnsi="Arial"/>
          <w:sz w:val="18"/>
          <w:szCs w:val="18"/>
          <w:b w:val="1"/>
          <w:bCs w:val="1"/>
          <w:color w:val="auto"/>
        </w:rPr>
      </w:pPr>
    </w:p>
    <w:p>
      <w:pPr>
        <w:ind w:left="660" w:hanging="328"/>
        <w:spacing w:after="0" w:line="285"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Net income attributable to Vipshop’s shareholders </w:t>
      </w:r>
      <w:r>
        <w:rPr>
          <w:rFonts w:ascii="Times New Roman" w:cs="Times New Roman" w:eastAsia="Times New Roman" w:hAnsi="Times New Roman"/>
          <w:sz w:val="18"/>
          <w:szCs w:val="18"/>
          <w:color w:val="auto"/>
        </w:rPr>
        <w:t>for the first quarter of 2026 increased by 13.6% year over year to RMB2.2 billion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(US$319.8 million) from RMB1.9 billion in the prior year period.</w:t>
      </w:r>
    </w:p>
    <w:p>
      <w:pPr>
        <w:spacing w:after="0" w:line="163" w:lineRule="exact"/>
        <w:rPr>
          <w:rFonts w:ascii="Arial" w:cs="Arial" w:eastAsia="Arial" w:hAnsi="Arial"/>
          <w:sz w:val="18"/>
          <w:szCs w:val="18"/>
          <w:b w:val="1"/>
          <w:bCs w:val="1"/>
          <w:color w:val="auto"/>
        </w:rPr>
      </w:pPr>
    </w:p>
    <w:p>
      <w:pPr>
        <w:ind w:left="660" w:hanging="328"/>
        <w:spacing w:after="0" w:line="216"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Non-GAAP net income attributable to Vipshop’s shareholders</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first quarter of 2026 was RMB2.31 billion (US$334.2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with RMB2.31 billion in the prior year period.</w:t>
      </w:r>
    </w:p>
    <w:p>
      <w:pPr>
        <w:spacing w:after="0" w:line="202" w:lineRule="exact"/>
        <w:rPr>
          <w:rFonts w:ascii="Arial" w:cs="Arial" w:eastAsia="Arial" w:hAnsi="Arial"/>
          <w:sz w:val="18"/>
          <w:szCs w:val="18"/>
          <w:b w:val="1"/>
          <w:bCs w:val="1"/>
          <w:color w:val="auto"/>
        </w:rPr>
      </w:pPr>
    </w:p>
    <w:p>
      <w:pPr>
        <w:ind w:left="660" w:hanging="328"/>
        <w:spacing w:after="0" w:line="216"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The number of active customers</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first quarter of 2026 increased by 0.9% year over year to 41.7 million from 41.3 million in the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period.</w:t>
      </w:r>
    </w:p>
    <w:p>
      <w:pPr>
        <w:spacing w:after="0" w:line="202"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Total orders</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first quarter of 2026 increased by 3.2% year over year to 172.6 million from 167.2 million in the prior year period.</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Eric Shen, Chairman and Chief Executive Officer of Vipshop, stated, “Our first-quarter performance was driven by strong apparel sales, supported by a successful Chinese New Year holiday when consumers responded enthusiastically to our seasonal, value-for-money collections. Our SVIP customer base achieved solid growth in both number and contribution, reflecting our long-standing appeal to high-value consumers. Alongside these results, we have made steady progress across our merchandising portfolio, customer engagement, and AI integration, all of which are helping to further leverage our off-price retail model for growth. With continued dedication to the brand-discount space, we remain confident in our ability to deliver sustainable, profitable growth over the long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783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5" w:lineRule="exact"/>
        <w:rPr>
          <w:sz w:val="20"/>
          <w:szCs w:val="20"/>
          <w:color w:val="auto"/>
        </w:rPr>
      </w:pPr>
    </w:p>
    <w:p>
      <w:pPr>
        <w:jc w:val="both"/>
        <w:ind w:firstLine="8"/>
        <w:spacing w:after="0" w:line="231" w:lineRule="auto"/>
        <w:tabs>
          <w:tab w:leader="none" w:pos="139"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“Gross merchandise value (GMV)” is defined as the total value of all products and services sold through the Company’s online channels, Shan Shan Outlets (including Vipshop Outlet REIT operated and managed by Shan Shan Outlets), and other Vipshop offline stores during the given period, including the Company’s Vipshop App mobile application, </w:t>
      </w:r>
      <w:r>
        <w:rPr>
          <w:rFonts w:ascii="Times New Roman" w:cs="Times New Roman" w:eastAsia="Times New Roman" w:hAnsi="Times New Roman"/>
          <w:sz w:val="18"/>
          <w:szCs w:val="18"/>
          <w:i w:val="1"/>
          <w:iCs w:val="1"/>
          <w:color w:val="auto"/>
        </w:rPr>
        <w:t>vip.com</w:t>
      </w:r>
      <w:r>
        <w:rPr>
          <w:rFonts w:ascii="Times New Roman" w:cs="Times New Roman" w:eastAsia="Times New Roman" w:hAnsi="Times New Roman"/>
          <w:sz w:val="18"/>
          <w:szCs w:val="18"/>
          <w:color w:val="auto"/>
        </w:rPr>
        <w:t xml:space="preserve"> website, Vipshop WeChat Mini-Program, online stores that are operated at third-party platforms, Shan Shan Outlets and its corresponding Vipshop Outlet REIT, as well as Vipshop offline stores, which were fulfilled by either the Company or its third-party merchants, regardless of whether or not the goods were delivered or returned. GMV includes shipping charges paid by buyers to sellers. Out of prudence, the Company does not consider products or services to be sold if the orders were placed and canceled pre-shipment and only included orders that left the Company’s or other third-party vendors’ warehouses.</w:t>
      </w:r>
    </w:p>
    <w:p>
      <w:pPr>
        <w:spacing w:after="0" w:line="25" w:lineRule="exact"/>
        <w:rPr>
          <w:sz w:val="20"/>
          <w:szCs w:val="20"/>
          <w:color w:val="auto"/>
        </w:rPr>
      </w:pPr>
    </w:p>
    <w:p>
      <w:pPr>
        <w:jc w:val="both"/>
        <w:ind w:firstLine="8"/>
        <w:spacing w:after="0" w:line="210" w:lineRule="auto"/>
        <w:tabs>
          <w:tab w:leader="none" w:pos="125"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Non-GAAP net income attributable to Vipshop’s shareholders is a non-GAAP financial measure, which, for the periods presented in this press release, is defined as net income attributable to Vipshop’s shareholders excluding (i) share-based compensation expenses, (ii) investment loss (gain) and revaluation of investments excluding dividends, (iii) reconciling items on the share of equity method investments, and (iv) tax effects on non-GAAP adjustments.</w:t>
      </w:r>
    </w:p>
    <w:p>
      <w:pPr>
        <w:spacing w:after="0" w:line="22" w:lineRule="exact"/>
        <w:rPr>
          <w:sz w:val="20"/>
          <w:szCs w:val="20"/>
          <w:color w:val="auto"/>
        </w:rPr>
      </w:pPr>
    </w:p>
    <w:p>
      <w:pPr>
        <w:ind w:right="560" w:firstLine="8"/>
        <w:spacing w:after="0" w:line="196" w:lineRule="auto"/>
        <w:tabs>
          <w:tab w:leader="none" w:pos="12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“Active customers” is defined as registered members who have purchased from the Company’s Vipshop mobile app, </w:t>
      </w:r>
      <w:r>
        <w:rPr>
          <w:rFonts w:ascii="Times New Roman" w:cs="Times New Roman" w:eastAsia="Times New Roman" w:hAnsi="Times New Roman"/>
          <w:sz w:val="18"/>
          <w:szCs w:val="18"/>
          <w:i w:val="1"/>
          <w:iCs w:val="1"/>
          <w:color w:val="auto"/>
        </w:rPr>
        <w:t>vip.com</w:t>
      </w:r>
      <w:r>
        <w:rPr>
          <w:rFonts w:ascii="Times New Roman" w:cs="Times New Roman" w:eastAsia="Times New Roman" w:hAnsi="Times New Roman"/>
          <w:sz w:val="18"/>
          <w:szCs w:val="18"/>
          <w:color w:val="auto"/>
        </w:rPr>
        <w:t xml:space="preserve"> website and Vipshop WeChat Mini-Program at least once during the relevant period.</w:t>
      </w:r>
    </w:p>
    <w:p>
      <w:pPr>
        <w:spacing w:after="0" w:line="2" w:lineRule="exact"/>
        <w:rPr>
          <w:sz w:val="20"/>
          <w:szCs w:val="20"/>
          <w:color w:val="auto"/>
        </w:rPr>
      </w:pPr>
    </w:p>
    <w:p>
      <w:pPr>
        <w:jc w:val="both"/>
        <w:ind w:firstLine="8"/>
        <w:spacing w:after="0" w:line="201" w:lineRule="auto"/>
        <w:tabs>
          <w:tab w:leader="none" w:pos="15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2"/>
          <w:szCs w:val="22"/>
          <w:color w:val="auto"/>
        </w:rPr>
        <w:t xml:space="preserve">“Total orders” is defined as the total number of orders placed during the given period, including the orders for products and services sold </w:t>
      </w:r>
      <w:r>
        <w:rPr>
          <w:rFonts w:ascii="Times New Roman" w:cs="Times New Roman" w:eastAsia="Times New Roman" w:hAnsi="Times New Roman"/>
          <w:sz w:val="17"/>
          <w:szCs w:val="17"/>
          <w:color w:val="auto"/>
        </w:rPr>
        <w:t>through the Company’s online channels, including the Company’s Vipshop App mobile application,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i w:val="1"/>
          <w:iCs w:val="1"/>
          <w:color w:val="auto"/>
        </w:rPr>
        <w:t>vip.com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website, Vipshop WeChat</w:t>
      </w:r>
    </w:p>
    <w:p>
      <w:pPr>
        <w:spacing w:after="0" w:line="258" w:lineRule="auto"/>
        <w:rPr>
          <w:sz w:val="20"/>
          <w:szCs w:val="20"/>
          <w:color w:val="auto"/>
        </w:rPr>
      </w:pPr>
      <w:r>
        <w:rPr>
          <w:rFonts w:ascii="Times New Roman" w:cs="Times New Roman" w:eastAsia="Times New Roman" w:hAnsi="Times New Roman"/>
          <w:sz w:val="18"/>
          <w:szCs w:val="18"/>
          <w:color w:val="auto"/>
        </w:rPr>
        <w:t>Mini-Program, online stores that are operated at third-party platforms (excluding, for the avoidance of doubt, orders from the Company’s offline stores and outlets), net of orders returned.</w:t>
      </w: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line="3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694055"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94055" cy="411480"/>
                    </a:xfrm>
                    <a:prstGeom prst="rect">
                      <a:avLst/>
                    </a:prstGeom>
                    <a:noFill/>
                  </pic:spPr>
                </pic:pic>
              </a:graphicData>
            </a:graphic>
          </wp:anchor>
        </w:drawing>
      </w:r>
    </w:p>
    <w:p>
      <w:pPr>
        <w:jc w:val="both"/>
        <w:spacing w:after="0" w:line="258" w:lineRule="auto"/>
        <w:rPr>
          <w:sz w:val="20"/>
          <w:szCs w:val="20"/>
          <w:color w:val="auto"/>
        </w:rPr>
      </w:pPr>
      <w:r>
        <w:rPr>
          <w:rFonts w:ascii="Times New Roman" w:cs="Times New Roman" w:eastAsia="Times New Roman" w:hAnsi="Times New Roman"/>
          <w:sz w:val="18"/>
          <w:szCs w:val="18"/>
          <w:color w:val="auto"/>
        </w:rPr>
        <w:t>Mr. Mark Wang, Chief Financial Officer of Vipshop, further commented, “We delivered an in-line quarter, reflecting a pull-forward of demand around the Chinese New Year, which concentrated activity in the first two months. Margins remained healthy and stable, supported by a stronger mix of higher-margin categories and disciplined operations. In April, we completed our annual dividend payout, and remain committed to delivering on our full-year shareholder return promises. With a solid financial position and consistent execution, we are well positioned to fund our strategic initiatives and business growth, while driving value for our shareholders.”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net revenues for the first quarter of 2026 increased by 1.2% year over year to RMB26.6 billion (US$3.9 billion) from RMB26.3 billion in the prior year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for the first quarter of 2026 increased by 6.8% year over year to RMB6.5 billion (US$941.6 million) from RMB6.1 billion in the prior year period. Gross margin for the first quarter of 2026 increased to 24.4% from 23.2% in the prior year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operating expenses for the first quarter of 2026 were RMB4.2 billion (US$603.8 million), compared with RMB4.0 billion in the prior year period. As a percentage of total net revenues, total operating expenses for the first quarter of 2026 was 15.7%, compared with 15.3% in the prior year period.</w:t>
      </w:r>
    </w:p>
    <w:p>
      <w:pPr>
        <w:spacing w:after="0" w:line="158" w:lineRule="exact"/>
        <w:rPr>
          <w:sz w:val="20"/>
          <w:szCs w:val="20"/>
          <w:color w:val="auto"/>
        </w:rPr>
      </w:pPr>
    </w:p>
    <w:p>
      <w:pPr>
        <w:jc w:val="both"/>
        <w:ind w:left="660" w:hanging="274"/>
        <w:spacing w:after="0" w:line="268" w:lineRule="auto"/>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Fulfillment expenses </w:t>
      </w:r>
      <w:r>
        <w:rPr>
          <w:rFonts w:ascii="Times New Roman" w:cs="Times New Roman" w:eastAsia="Times New Roman" w:hAnsi="Times New Roman"/>
          <w:sz w:val="18"/>
          <w:szCs w:val="18"/>
          <w:color w:val="auto"/>
        </w:rPr>
        <w:t>for the first quarter of 2026 were RMB2.0 billion (US$296.7 million), compared with RMB1.9 billion in the prior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As a percentage of total net revenues, fulfillment expenses for the first quarter of 2026 were 7.7%, compared with 7.2% in the prior year period.</w:t>
      </w:r>
    </w:p>
    <w:p>
      <w:pPr>
        <w:spacing w:after="0" w:line="169" w:lineRule="exact"/>
        <w:rPr>
          <w:rFonts w:ascii="Arial" w:cs="Arial" w:eastAsia="Arial" w:hAnsi="Arial"/>
          <w:sz w:val="18"/>
          <w:szCs w:val="18"/>
          <w:b w:val="1"/>
          <w:bCs w:val="1"/>
          <w:color w:val="auto"/>
        </w:rPr>
      </w:pPr>
    </w:p>
    <w:p>
      <w:pPr>
        <w:jc w:val="both"/>
        <w:ind w:left="660" w:hanging="274"/>
        <w:spacing w:after="0" w:line="268" w:lineRule="auto"/>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i w:val="1"/>
          <w:iCs w:val="1"/>
          <w:color w:val="auto"/>
        </w:rPr>
        <w:t xml:space="preserve">Marketing expenses </w:t>
      </w:r>
      <w:r>
        <w:rPr>
          <w:rFonts w:ascii="Times New Roman" w:cs="Times New Roman" w:eastAsia="Times New Roman" w:hAnsi="Times New Roman"/>
          <w:sz w:val="18"/>
          <w:szCs w:val="18"/>
          <w:color w:val="auto"/>
        </w:rPr>
        <w:t>for the first quarter of 2026 decreased by 1.8% year over year to RMB719.3 million (US$104.3 million) from RMB732.1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the prior year period. As a percentage of total net revenues, marketing expenses for the first quarter of 2026 decreased to 2.7% from 2.8% in the prior year period.</w:t>
      </w:r>
    </w:p>
    <w:p>
      <w:pPr>
        <w:spacing w:after="0" w:line="169" w:lineRule="exact"/>
        <w:rPr>
          <w:rFonts w:ascii="Arial" w:cs="Arial" w:eastAsia="Arial" w:hAnsi="Arial"/>
          <w:sz w:val="18"/>
          <w:szCs w:val="18"/>
          <w:b w:val="1"/>
          <w:bCs w:val="1"/>
          <w:color w:val="auto"/>
        </w:rPr>
      </w:pPr>
    </w:p>
    <w:p>
      <w:pPr>
        <w:jc w:val="both"/>
        <w:ind w:left="660" w:hanging="274"/>
        <w:spacing w:after="0" w:line="268" w:lineRule="auto"/>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i w:val="1"/>
          <w:iCs w:val="1"/>
          <w:color w:val="auto"/>
        </w:rPr>
        <w:t xml:space="preserve">Technology and content expenses </w:t>
      </w:r>
      <w:r>
        <w:rPr>
          <w:rFonts w:ascii="Times New Roman" w:cs="Times New Roman" w:eastAsia="Times New Roman" w:hAnsi="Times New Roman"/>
          <w:sz w:val="18"/>
          <w:szCs w:val="18"/>
          <w:color w:val="auto"/>
        </w:rPr>
        <w:t>for the first quarter of 2026 decreased by 0.2% year over year to RMB448.2 million (US$65.0 million)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RMB449.1 million in the prior year period. As a percentage of total net revenues, technology and content expenses for the first quarter of 2026 was 1.7%, which stayed flat as compared with that in the prior year period.</w:t>
      </w:r>
    </w:p>
    <w:p>
      <w:pPr>
        <w:spacing w:after="0" w:line="169" w:lineRule="exact"/>
        <w:rPr>
          <w:rFonts w:ascii="Arial" w:cs="Arial" w:eastAsia="Arial" w:hAnsi="Arial"/>
          <w:sz w:val="18"/>
          <w:szCs w:val="18"/>
          <w:b w:val="1"/>
          <w:bCs w:val="1"/>
          <w:color w:val="auto"/>
        </w:rPr>
      </w:pPr>
    </w:p>
    <w:p>
      <w:pPr>
        <w:jc w:val="both"/>
        <w:ind w:left="660" w:hanging="274"/>
        <w:spacing w:after="0" w:line="268" w:lineRule="auto"/>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for the first quarter of 2026 were RMB950.5 million (US$137.8 million), compared with RMB950.8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the prior year period. As a percentage of total net revenues, general and administrative expenses for the first quarter of 2026 was 3.6%, which stayed flat as compared with that in the prior year period.</w:t>
      </w:r>
    </w:p>
    <w:p>
      <w:pPr>
        <w:spacing w:after="0" w:line="3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3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694055"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94055" cy="4114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Income from operations for the first quarter of 2026 increased by 9.7% year over year to RMB2.5 billion (US$362.1 million) from RMB2.3 billion in the prior year period. Operating margin for the first quarter of 2026 increased to 9.4% from 8.7% in the prior year period.</w:t>
      </w:r>
    </w:p>
    <w:p>
      <w:pPr>
        <w:spacing w:after="0" w:line="165"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Non-GAAP income from operations</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for the first quarter of 2026, which excluded share-based compensation expenses, increased by 3.5% year over year to RMB2.7 billion (US$394.1 million) from RMB2.6 billion in the prior year period. Non-GAAP operating margin</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for the first quarter of 2026 increased to 10.2% from 10.0% in the prior year period.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attributable to Vipshop’s shareholders for the first quarter of 2026 increased by 13.6% year over year to RMB2.2 billion (US$319.8 million) from RMB1.9 billion in the prior year period. Net margin attributable to Vipshop’s shareholders for the first quarter of 2026 increased to 8.3% from 7.4%</w:t>
      </w:r>
    </w:p>
    <w:p>
      <w:pPr>
        <w:ind w:right="20"/>
        <w:spacing w:after="0" w:line="209" w:lineRule="auto"/>
        <w:rPr>
          <w:sz w:val="20"/>
          <w:szCs w:val="20"/>
          <w:color w:val="auto"/>
        </w:rPr>
      </w:pPr>
      <w:r>
        <w:rPr>
          <w:rFonts w:ascii="Times New Roman" w:cs="Times New Roman" w:eastAsia="Times New Roman" w:hAnsi="Times New Roman"/>
          <w:sz w:val="18"/>
          <w:szCs w:val="18"/>
          <w:color w:val="auto"/>
        </w:rPr>
        <w:t>in the prior year period. Net income attributable to Vipshop’s shareholders per diluted ADS</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for the first quarter of 2026 increased to RMB4.48 (US$0.65) from RMB3.72 in the prior year period.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net income attributable to Vipshop’s shareholders for the first quarter of 2026, which excluded (i) share-based compensation expenses,</w:t>
      </w:r>
    </w:p>
    <w:p>
      <w:pPr>
        <w:spacing w:after="0" w:line="27" w:lineRule="exact"/>
        <w:rPr>
          <w:sz w:val="20"/>
          <w:szCs w:val="20"/>
          <w:color w:val="auto"/>
        </w:rPr>
      </w:pPr>
    </w:p>
    <w:p>
      <w:pPr>
        <w:ind w:left="300" w:hanging="292"/>
        <w:spacing w:after="0"/>
        <w:tabs>
          <w:tab w:leader="none" w:pos="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loss (gain) and revaluation of investments excluding dividends, (iii) reconciling items on the share of equity method investments, and</w:t>
      </w:r>
    </w:p>
    <w:p>
      <w:pPr>
        <w:spacing w:after="0" w:line="9" w:lineRule="exact"/>
        <w:rPr>
          <w:rFonts w:ascii="Times New Roman" w:cs="Times New Roman" w:eastAsia="Times New Roman" w:hAnsi="Times New Roman"/>
          <w:sz w:val="18"/>
          <w:szCs w:val="18"/>
          <w:color w:val="auto"/>
        </w:rPr>
      </w:pPr>
    </w:p>
    <w:p>
      <w:pPr>
        <w:jc w:val="both"/>
        <w:ind w:firstLine="8"/>
        <w:spacing w:after="0" w:line="210" w:lineRule="auto"/>
        <w:tabs>
          <w:tab w:leader="none" w:pos="30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on non-GAAP adjustments, was RMB2.31 billion (US$334.2 million), compared with RMB2.31 billion in the prior year period. Non-GAAP net margin attributable to Vipshop’s shareholders</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for the first quarter of 2026 was 8.7%, compared with 8.8% in the prior year period. Non-GAAP net</w:t>
      </w:r>
    </w:p>
    <w:p>
      <w:pPr>
        <w:spacing w:after="0" w:line="1" w:lineRule="exact"/>
        <w:rPr>
          <w:sz w:val="20"/>
          <w:szCs w:val="20"/>
          <w:color w:val="auto"/>
        </w:rPr>
      </w:pPr>
    </w:p>
    <w:p>
      <w:pPr>
        <w:ind w:right="20"/>
        <w:spacing w:after="0" w:line="209" w:lineRule="auto"/>
        <w:rPr>
          <w:sz w:val="20"/>
          <w:szCs w:val="20"/>
          <w:color w:val="auto"/>
        </w:rPr>
      </w:pPr>
      <w:r>
        <w:rPr>
          <w:rFonts w:ascii="Times New Roman" w:cs="Times New Roman" w:eastAsia="Times New Roman" w:hAnsi="Times New Roman"/>
          <w:sz w:val="18"/>
          <w:szCs w:val="18"/>
          <w:color w:val="auto"/>
        </w:rPr>
        <w:t>income attributable to Vipshop’s shareholders per diluted ADS</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for the first quarter of 2026 increased to RMB4.68 (US$0.68) from RMB4.43 in the prior year period.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quarter ended March 31, 2026, the Company’s weighted average number of ADSs used in computing diluted income per ADS was 492,729,110.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AND CASH FLOW</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cash and cash equivalents and restricted cash of RMB28.3 billion (US$4.1 billion) and short term investments of RMB2.7 billion (US$389.2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ind w:firstLine="8"/>
        <w:spacing w:after="0" w:line="195" w:lineRule="auto"/>
        <w:tabs>
          <w:tab w:leader="none" w:pos="124"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Non-GAAP income from operations is a non-GAAP financial measure, which is defined as income from operations excluding share-based compensation expenses.</w:t>
      </w:r>
    </w:p>
    <w:p>
      <w:pPr>
        <w:spacing w:after="0" w:line="24" w:lineRule="exact"/>
        <w:rPr>
          <w:sz w:val="20"/>
          <w:szCs w:val="20"/>
          <w:color w:val="auto"/>
        </w:rPr>
      </w:pPr>
    </w:p>
    <w:p>
      <w:pPr>
        <w:ind w:right="440" w:firstLine="8"/>
        <w:spacing w:after="0" w:line="195" w:lineRule="auto"/>
        <w:tabs>
          <w:tab w:leader="none" w:pos="12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Non-GAAP operating margin is a non-GAAP financial measure, which is defined as non-GAAP income from operations as a percentage of total net revenues.</w:t>
      </w:r>
    </w:p>
    <w:p>
      <w:pPr>
        <w:spacing w:after="0" w:line="1" w:lineRule="exact"/>
        <w:rPr>
          <w:rFonts w:ascii="Times New Roman" w:cs="Times New Roman" w:eastAsia="Times New Roman" w:hAnsi="Times New Roman"/>
          <w:sz w:val="30"/>
          <w:szCs w:val="30"/>
          <w:color w:val="auto"/>
          <w:vertAlign w:val="superscript"/>
        </w:rPr>
      </w:pPr>
    </w:p>
    <w:p>
      <w:pPr>
        <w:spacing w:after="0" w:line="185"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“ADS” means American depositary share, each of which represents 0.2 Class A ordinary share.</w:t>
      </w:r>
    </w:p>
    <w:p>
      <w:pPr>
        <w:spacing w:after="0" w:line="22" w:lineRule="exact"/>
        <w:rPr>
          <w:sz w:val="20"/>
          <w:szCs w:val="20"/>
          <w:color w:val="auto"/>
        </w:rPr>
      </w:pPr>
    </w:p>
    <w:p>
      <w:pPr>
        <w:ind w:firstLine="8"/>
        <w:spacing w:after="0" w:line="195" w:lineRule="auto"/>
        <w:tabs>
          <w:tab w:leader="none" w:pos="127"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Non-GAAP net margin attributable to Vipshop’s shareholders is a non-GAAP financial measure, which is defined as non-GAAP net income attributable to Vipshop’s shareholders, as a percentage of total net revenues.</w:t>
      </w:r>
    </w:p>
    <w:p>
      <w:pPr>
        <w:spacing w:after="0" w:line="24" w:lineRule="exact"/>
        <w:rPr>
          <w:sz w:val="20"/>
          <w:szCs w:val="20"/>
          <w:color w:val="auto"/>
        </w:rPr>
      </w:pPr>
    </w:p>
    <w:p>
      <w:pPr>
        <w:jc w:val="both"/>
        <w:ind w:firstLine="8"/>
        <w:spacing w:after="0" w:line="210" w:lineRule="auto"/>
        <w:tabs>
          <w:tab w:leader="none" w:pos="133"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Non-GAAP net income attributable to Vipshop’s shareholders per diluted ADS is a non-GAAP financial measure, which is defined as non-GAAP net income attributable to Vipshop’s shareholders, divided by the weighted average number of diluted ADSs outstanding for computing diluted earnings per ADS.</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3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694055"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94055" cy="4114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For the quarter ended March 31, 2026, net cash generated from operating activities was RMB2.0 billion (US$283.8 million), and free cash flow</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a non-</w:t>
      </w:r>
    </w:p>
    <w:p>
      <w:pPr>
        <w:spacing w:after="0"/>
        <w:rPr>
          <w:sz w:val="20"/>
          <w:szCs w:val="20"/>
          <w:color w:val="auto"/>
        </w:rPr>
      </w:pPr>
      <w:r>
        <w:rPr>
          <w:rFonts w:ascii="Times New Roman" w:cs="Times New Roman" w:eastAsia="Times New Roman" w:hAnsi="Times New Roman"/>
          <w:sz w:val="18"/>
          <w:szCs w:val="18"/>
          <w:color w:val="auto"/>
        </w:rPr>
        <w:t>GAAP measurement of liquidity, was as follows:</w:t>
      </w:r>
    </w:p>
    <w:p>
      <w:pPr>
        <w:sectPr>
          <w:pgSz w:w="11900" w:h="16838" w:orient="portrait"/>
          <w:cols w:equalWidth="0" w:num="1">
            <w:col w:w="11240"/>
          </w:cols>
          <w:pgMar w:left="320" w:top="1440" w:right="339" w:bottom="1440" w:gutter="0" w:footer="0" w:header="0"/>
        </w:sect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generated from operating activities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Reconciling items:</w:t>
      </w:r>
    </w:p>
    <w:p>
      <w:pPr>
        <w:ind w:left="180"/>
        <w:spacing w:after="0" w:line="192" w:lineRule="auto"/>
        <w:rPr>
          <w:sz w:val="20"/>
          <w:szCs w:val="20"/>
          <w:color w:val="auto"/>
        </w:rPr>
      </w:pPr>
      <w:r>
        <w:rPr>
          <w:rFonts w:ascii="Times New Roman" w:cs="Times New Roman" w:eastAsia="Times New Roman" w:hAnsi="Times New Roman"/>
          <w:sz w:val="18"/>
          <w:szCs w:val="18"/>
          <w:color w:val="auto"/>
        </w:rPr>
        <w:t>Net impact from internet financing activities</w:t>
      </w:r>
      <w:r>
        <w:rPr>
          <w:rFonts w:ascii="Times New Roman" w:cs="Times New Roman" w:eastAsia="Times New Roman" w:hAnsi="Times New Roman"/>
          <w:sz w:val="29"/>
          <w:szCs w:val="29"/>
          <w:color w:val="auto"/>
          <w:vertAlign w:val="superscript"/>
        </w:rPr>
        <w:t>11</w:t>
      </w:r>
    </w:p>
    <w:p>
      <w:pPr>
        <w:ind w:left="180"/>
        <w:spacing w:after="0"/>
        <w:rPr>
          <w:sz w:val="20"/>
          <w:szCs w:val="20"/>
          <w:color w:val="auto"/>
        </w:rPr>
      </w:pPr>
      <w:r>
        <w:rPr>
          <w:rFonts w:ascii="Times New Roman" w:cs="Times New Roman" w:eastAsia="Times New Roman" w:hAnsi="Times New Roman"/>
          <w:sz w:val="18"/>
          <w:szCs w:val="18"/>
          <w:color w:val="auto"/>
        </w:rPr>
        <w:t>Capital expenditures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cash (outflow) inflow</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trailing twelve months ended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8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color w:val="auto"/>
              </w:rPr>
              <w:t>March 31,</w:t>
            </w: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March 31,</w:t>
            </w:r>
          </w:p>
        </w:tc>
        <w:tc>
          <w:tcPr>
            <w:tcW w:w="13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March 31,</w:t>
            </w:r>
          </w:p>
        </w:tc>
      </w:tr>
      <w:tr>
        <w:trPr>
          <w:trHeight w:val="216"/>
        </w:trPr>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48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color w:val="auto"/>
                <w:w w:val="98"/>
              </w:rPr>
              <w:t>RMB’000</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RMB’000</w:t>
            </w:r>
          </w:p>
        </w:tc>
        <w:tc>
          <w:tcPr>
            <w:tcW w:w="13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8"/>
              </w:rPr>
              <w:t>US$’000</w:t>
            </w:r>
          </w:p>
        </w:tc>
      </w:tr>
      <w:tr>
        <w:trPr>
          <w:trHeight w:val="228"/>
        </w:trPr>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(1,030,275)</w:t>
            </w:r>
          </w:p>
        </w:tc>
        <w:tc>
          <w:tcPr>
            <w:tcW w:w="22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1,957,468</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283,773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36"/>
        </w:trPr>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(74,740)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95,315</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13,818</w:t>
            </w:r>
          </w:p>
        </w:tc>
      </w:tr>
      <w:tr>
        <w:trPr>
          <w:trHeight w:val="248"/>
        </w:trPr>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(680,205)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(438,378)</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(63,551)</w:t>
            </w:r>
          </w:p>
        </w:tc>
      </w:tr>
      <w:tr>
        <w:trPr>
          <w:trHeight w:val="223"/>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(1,785,220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1,614,405</w:t>
            </w:r>
          </w:p>
        </w:tc>
        <w:tc>
          <w:tcPr>
            <w:tcW w:w="220" w:type="dxa"/>
            <w:vAlign w:val="bottom"/>
          </w:tcPr>
          <w:p>
            <w:pPr>
              <w:spacing w:after="0"/>
              <w:rPr>
                <w:sz w:val="19"/>
                <w:szCs w:val="19"/>
                <w:color w:val="auto"/>
              </w:rPr>
            </w:pP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234,040</w:t>
            </w:r>
          </w:p>
        </w:tc>
        <w:tc>
          <w:tcPr>
            <w:tcW w:w="40" w:type="dxa"/>
            <w:vAlign w:val="bottom"/>
          </w:tcPr>
          <w:p>
            <w:pPr>
              <w:spacing w:after="0"/>
              <w:rPr>
                <w:sz w:val="19"/>
                <w:szCs w:val="19"/>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-770890</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-487680</wp:posOffset>
            </wp:positionV>
            <wp:extent cx="713232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-179070</wp:posOffset>
            </wp:positionV>
            <wp:extent cx="713232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6260" w:space="720"/>
            <w:col w:w="426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generated from operating activities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Reconciling items: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Net impact from internet financing activities</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Capital expenditures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cash inflow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March 31,</w:t>
            </w: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March 31,</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March 31,</w:t>
            </w:r>
          </w:p>
        </w:tc>
      </w:tr>
      <w:tr>
        <w:trPr>
          <w:trHeight w:val="216"/>
        </w:trPr>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tcPr>
          <w:p>
            <w:pPr>
              <w:spacing w:after="0"/>
              <w:rPr>
                <w:sz w:val="18"/>
                <w:szCs w:val="18"/>
                <w:color w:val="auto"/>
              </w:rPr>
            </w:pP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RMB’000</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RMB’000</w:t>
            </w:r>
          </w:p>
        </w:tc>
        <w:tc>
          <w:tcPr>
            <w:tcW w:w="13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8"/>
              </w:rPr>
              <w:t>US$’000</w:t>
            </w:r>
          </w:p>
        </w:tc>
      </w:tr>
      <w:tr>
        <w:trPr>
          <w:trHeight w:val="228"/>
        </w:trPr>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8,659,431</w:t>
            </w:r>
          </w:p>
        </w:tc>
        <w:tc>
          <w:tcPr>
            <w:tcW w:w="22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10,441,988</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1,513,770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95"/>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44,016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134,981</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19,568</w:t>
            </w:r>
          </w:p>
        </w:tc>
      </w:tr>
      <w:tr>
        <w:trPr>
          <w:trHeight w:val="248"/>
        </w:trPr>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(3,530,728)</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(1,824,710)</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(264,527)</w:t>
            </w:r>
          </w:p>
        </w:tc>
      </w:tr>
      <w:tr>
        <w:trPr>
          <w:trHeight w:val="223"/>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5,172,719</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8,752,259</w:t>
            </w:r>
          </w:p>
        </w:tc>
        <w:tc>
          <w:tcPr>
            <w:tcW w:w="220" w:type="dxa"/>
            <w:vAlign w:val="bottom"/>
          </w:tcPr>
          <w:p>
            <w:pPr>
              <w:spacing w:after="0"/>
              <w:rPr>
                <w:sz w:val="19"/>
                <w:szCs w:val="19"/>
                <w:color w:val="auto"/>
              </w:rPr>
            </w:pP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1,268,811</w:t>
            </w:r>
          </w:p>
        </w:tc>
        <w:tc>
          <w:tcPr>
            <w:tcW w:w="40" w:type="dxa"/>
            <w:vAlign w:val="bottom"/>
          </w:tcPr>
          <w:p>
            <w:pPr>
              <w:spacing w:after="0"/>
              <w:rPr>
                <w:sz w:val="19"/>
                <w:szCs w:val="19"/>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-745490</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-462280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-179070</wp:posOffset>
            </wp:positionV>
            <wp:extent cx="713232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600" w:lineRule="exact"/>
        <w:rPr>
          <w:sz w:val="20"/>
          <w:szCs w:val="20"/>
          <w:color w:val="auto"/>
        </w:rPr>
      </w:pPr>
    </w:p>
    <w:p>
      <w:pPr>
        <w:sectPr>
          <w:pgSz w:w="11900" w:h="16838" w:orient="portrait"/>
          <w:cols w:equalWidth="0" w:num="2">
            <w:col w:w="6260" w:space="720"/>
            <w:col w:w="4260"/>
          </w:cols>
          <w:pgMar w:left="320" w:top="1440" w:right="339" w:bottom="1440" w:gutter="0" w:footer="0" w:header="0"/>
          <w:type w:val="continuous"/>
        </w:sectPr>
      </w:pPr>
    </w:p>
    <w:p>
      <w:pPr>
        <w:spacing w:after="0" w:line="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second quarter of 2026, the Company expects its total net revenues to be between RMB24.5 billion and RMB25.8 billion, representing a year-over-year decrease of approximately 5% to 0%. These forecasts reflect the Company’s current and preliminary view on the market and operational conditions, which is subject to 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business is primarily conducted in China and the significant majority of revenues generated are denominated in Renminbi. This announcement contains currency translations of Renminbi amounts into U.S. dollars solely for the convenience of the reader. Unless otherwise noted, all translations from Renminbi to U.S. dollars are made at a rate of RMB6.8980 to US$1.00, the effective noon buying rate on March 31, 2026 as set forth in the H.10 statistical release of the Federal Reserve Board. No representation is made that the Renminbi amounts could have been, or could be, converted, realized or settled into U.S. dollars at that rate on March 31, 2026 or at any other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1" w:lineRule="exact"/>
        <w:rPr>
          <w:sz w:val="20"/>
          <w:szCs w:val="20"/>
          <w:color w:val="auto"/>
        </w:rPr>
      </w:pPr>
    </w:p>
    <w:p>
      <w:pPr>
        <w:ind w:firstLine="8"/>
        <w:spacing w:after="0" w:line="208" w:lineRule="auto"/>
        <w:tabs>
          <w:tab w:leader="none" w:pos="200" w:val="left"/>
        </w:tabs>
        <w:numPr>
          <w:ilvl w:val="0"/>
          <w:numId w:val="1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Free cash flow is a non-GAAP financial measure, which is defined as net cash from operating activities adding back the impact from internet financing activities and less capital expenditures, which include purchase and deposits of property and equipment and land use rights.</w:t>
      </w:r>
    </w:p>
    <w:p>
      <w:pPr>
        <w:spacing w:after="0" w:line="24" w:lineRule="exact"/>
        <w:rPr>
          <w:rFonts w:ascii="Times New Roman" w:cs="Times New Roman" w:eastAsia="Times New Roman" w:hAnsi="Times New Roman"/>
          <w:sz w:val="28"/>
          <w:szCs w:val="28"/>
          <w:color w:val="auto"/>
          <w:vertAlign w:val="superscript"/>
        </w:rPr>
      </w:pPr>
    </w:p>
    <w:p>
      <w:pPr>
        <w:ind w:firstLine="8"/>
        <w:spacing w:after="0" w:line="195" w:lineRule="auto"/>
        <w:tabs>
          <w:tab w:leader="none" w:pos="217"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Net impact from internet financing activities represents net cash flow relating to the Company’s financial products, which are primarily consumer financing and supplier financing that the Company provides to its customers and suppliers.</w:t>
      </w: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3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694055" cy="411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94055" cy="4114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hold a conference call on Thursday, May 21, 2026 at 7:30 am U.S. Eastern Time, 7:30 pm Beijing Time to discuss the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participants wishing to join the conference call must pre-register online using the link provided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Link: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https://register-conf.media-server.com/register/BI71549415d6954eecad77793367ea5b63</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Once pre-registration has been completed, each participant will receive dial-in numbers and a unique access PIN via email. To join the conference, participants should use the dial-in details followed by the PIN code.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 live webcast of the earnings conference call can be accessed at </w:t>
      </w:r>
      <w:r>
        <w:rPr>
          <w:rFonts w:ascii="Times New Roman" w:cs="Times New Roman" w:eastAsia="Times New Roman" w:hAnsi="Times New Roman"/>
          <w:sz w:val="18"/>
          <w:szCs w:val="18"/>
          <w:u w:val="single" w:color="auto"/>
          <w:color w:val="auto"/>
        </w:rPr>
        <w:t>https://edge.media-server.com/mmc/p/tqxh35wg</w:t>
      </w:r>
      <w:r>
        <w:rPr>
          <w:rFonts w:ascii="Times New Roman" w:cs="Times New Roman" w:eastAsia="Times New Roman" w:hAnsi="Times New Roman"/>
          <w:sz w:val="18"/>
          <w:szCs w:val="18"/>
          <w:color w:val="auto"/>
        </w:rPr>
        <w:t xml:space="preserve">. An archived webcast will be available at the Company’s investor relations website at </w:t>
      </w:r>
      <w:r>
        <w:rPr>
          <w:rFonts w:ascii="Times New Roman" w:cs="Times New Roman" w:eastAsia="Times New Roman" w:hAnsi="Times New Roman"/>
          <w:sz w:val="18"/>
          <w:szCs w:val="18"/>
          <w:u w:val="single" w:color="auto"/>
          <w:color w:val="auto"/>
        </w:rPr>
        <w:t>http://ir.vip.com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Vipshop Holdings Limited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Vipshop Holdings Limited is a leading off-price retailer in China. Vipshop offers high-quality and popular branded products to consumers throughout China at deep discounts through diverse online and offline channels. Since its founding in 2008, the Company has built a large and loyal customer base and extensive brand partnerships. For more information, please visit </w:t>
      </w:r>
      <w:r>
        <w:rPr>
          <w:rFonts w:ascii="Times New Roman" w:cs="Times New Roman" w:eastAsia="Times New Roman" w:hAnsi="Times New Roman"/>
          <w:sz w:val="18"/>
          <w:szCs w:val="18"/>
          <w:i w:val="1"/>
          <w:iCs w:val="1"/>
          <w:color w:val="auto"/>
        </w:rPr>
        <w:t>https://ir.vip.com/.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announcement, as well as Vipshop’s strategic and operational plans, contain forward-looking statements. Vipshop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Vipshop’s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Vipshop’s goals and strategies; Vipshop’s future business development, results of operations and financial condition; the expected growth of the off-price retailer market in China; Vipshop’s ability to attract customers and brand partners and further enhance its brand recognition; Vipshop’s expectations regarding needs for and market acceptance of flash sales products and services; competition in the discount retail industry; fluctuations in general economic and business conditions in China and assumptions underlying or related to any of the foregoing. Further information regarding these and other risks is included in Vipshop’s filings with the SEC. All information provided in this press release is as of the date of this press release, and Vipshop does not undertake any obligation to update any forward-looking statement, except as required under applicable law.</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3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694055" cy="411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94055" cy="4114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condensed consolidated financial information is derived from the Company’s unaudited interim condensed consolidated financial statements prepared in conformity with accounting principles generally accepted in the United States of America (“U.S. GAAP”), except that comparative consolidated statements of income and cash flows for the period presented and the detailed footnote disclosures required by Accounting Standards Codification 270, Interim Reporting (“ASC270”) have been omitted. Vipshop uses non-GAAP net income attributable to Vipshop’s shareholders, non-GAAP net income attributable to Vipshop’s shareholders per diluted ADS, non-GAAP income from operations, non-GAAP operating margin, non-GAAP net margin attributable to Vipshop’s shareholders, and free cash flow, each of which is a non-GAAP financial measure. For the periods presented in this press release, non-GAAP net income attributable to Vipshop’s shareholders is net income attributable to Vipshop’s shareholders excluding (i) share-based compensation expenses, (ii) investment loss (gain) and revaluation of investments excluding dividends, (iii) reconciling items on the share of equity method investments, and (iv) tax effects on non-GAAP adjustments. Non-GAAP net income attributable to Vipshop’s shareholders per diluted ADS is computed using non-GAAP net income attributable to Vipshop’s shareholders divided by weighted average number of diluted ADS outstanding for computing diluted earnings per ADS. Non-GAAP income from operations is income from operations excluding share-based compensation expenses. Non-GAAP operating margin is non-GAAP income from operations as a percentage of total net revenues. Non-GAAP net margin attributable to Vipshop’s shareholders is non-GAAP net income attributable to Vipshop’s shareholders as a percentage of total net revenues. Free cash flow is net cash from operating activities adding back the impact from internet financing activities and less capital expenditures, which include purchase and deposits of property and equipment and land use rights. Impact from internet financing activities added back or deducted from free cash flow contains changes in the balances of financial products, which are primarily consumer financing and supplier financing that the Company provides to customers and suppliers. The Company believes that separate analysis and exclusion of the non-cash impact of (i) share-based compensation expenses, (ii) investment loss (gain) and revaluation of investments excluding dividends, (iii) reconciling items on the share of equity method investments, and (iv) tax effects on non-GAAP adjustments add clarity to the constituent parts of its performance. The Company reviews these non-GAAP financial measures together with GAAP financial measures to obtain a better understanding of its operating performance. It uses these non-GAAP financial measures for planning, forecasting, and measuring results against the forecast. The Company believes that non-GAAP financial measures are useful supplemental information for investors and analysts to assess its operating performance without the effect of (i) share-based compensation expenses, (ii) investment loss (gain) and revaluation of investments excluding dividends,</w:t>
      </w:r>
    </w:p>
    <w:p>
      <w:pPr>
        <w:spacing w:after="0" w:line="8" w:lineRule="exact"/>
        <w:rPr>
          <w:sz w:val="20"/>
          <w:szCs w:val="20"/>
          <w:color w:val="auto"/>
        </w:rPr>
      </w:pPr>
    </w:p>
    <w:p>
      <w:pPr>
        <w:jc w:val="both"/>
        <w:ind w:firstLine="8"/>
        <w:spacing w:after="0" w:line="252" w:lineRule="auto"/>
        <w:tabs>
          <w:tab w:leader="none" w:pos="3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reconciling items on the share of equity method investments, and (iv) tax effects on non-GAAP adjustments. Free cash flow enables the Company to assess liquidity and cash flow, taking into account the impact from internet financing activities and the financial resources needed for the expansion of technology platform, and Shan Shan Outlets. Share-based compensation expenses have been and will continue to be significant recurring expenses in its business. However, the use of non-GAAP financial measures has material limitations as an analytical tool. One of the limitations of using non-GAAP financial measures is that they do not include all items that impact the Company’s net income for the period. In addition, because non-GAAP financial measures are not measured in the same manner by all companies, they may not be comparable to other similar titled measures used by other companies. One of the key limitations of free cash flow is that it does not represent the residual cash flow available for discretionary expenditures.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presentation of these non-GAAP financial measures is not intended to be considered in isolation from, or as a substitute for, the financial information prepared and presented in accordance with U.S. GAAP. For more information on these non-GAAP financial measures, please see the table captioned “Vipshop Holdings Limited Reconciliations of GAAP and Non-GAAP Results” at the end of this release.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 (20) 2233-0732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IR@vipshop.com</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Income and Comprehensive Income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2920" w:type="dxa"/>
            <w:vAlign w:val="bottom"/>
            <w:tcBorders>
              <w:bottom w:val="single" w:sz="8" w:color="auto"/>
            </w:tcBorders>
            <w:gridSpan w:val="4"/>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9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March 31,2025</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March 31,2026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31,2026</w:t>
            </w:r>
          </w:p>
        </w:tc>
        <w:tc>
          <w:tcPr>
            <w:tcW w:w="100" w:type="dxa"/>
            <w:vAlign w:val="bottom"/>
          </w:tcPr>
          <w:p>
            <w:pPr>
              <w:spacing w:after="0"/>
              <w:rPr>
                <w:sz w:val="18"/>
                <w:szCs w:val="18"/>
                <w:color w:val="auto"/>
              </w:rPr>
            </w:pPr>
          </w:p>
        </w:tc>
      </w:tr>
      <w:tr>
        <w:trPr>
          <w:trHeight w:val="210"/>
        </w:trPr>
        <w:tc>
          <w:tcPr>
            <w:tcW w:w="6980" w:type="dxa"/>
            <w:vAlign w:val="bottom"/>
          </w:tcPr>
          <w:p>
            <w:pPr>
              <w:spacing w:after="0"/>
              <w:rPr>
                <w:sz w:val="18"/>
                <w:szCs w:val="18"/>
                <w:color w:val="auto"/>
              </w:rPr>
            </w:pPr>
          </w:p>
        </w:tc>
        <w:tc>
          <w:tcPr>
            <w:tcW w:w="12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RMB'000</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RMB'000</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USD'000</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24,293,121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24,331,594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3,527,340</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revenues (1)</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1,975,422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2,242,915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325,154</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26,268,543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26,574,509</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3,852,494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(20,186,333)</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(20,079,359)</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(2,910,896)</w:t>
            </w:r>
          </w:p>
        </w:tc>
        <w:tc>
          <w:tcPr>
            <w:tcW w:w="100" w:type="dxa"/>
            <w:vAlign w:val="bottom"/>
            <w:tcBorders>
              <w:bottom w:val="single" w:sz="8" w:color="CCEEFF"/>
            </w:tcBorders>
          </w:tcPr>
          <w:p>
            <w:pPr>
              <w:spacing w:after="0"/>
              <w:rPr>
                <w:sz w:val="18"/>
                <w:szCs w:val="18"/>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6,082,210</w:t>
            </w:r>
          </w:p>
        </w:tc>
        <w:tc>
          <w:tcPr>
            <w:tcW w:w="2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6,495,150</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941,598</w:t>
            </w:r>
          </w:p>
        </w:tc>
        <w:tc>
          <w:tcPr>
            <w:tcW w:w="100" w:type="dxa"/>
            <w:vAlign w:val="bottom"/>
            <w:shd w:val="clear" w:color="auto" w:fill="CCEEFF"/>
          </w:tcPr>
          <w:p>
            <w:pPr>
              <w:spacing w:after="0"/>
              <w:rPr>
                <w:sz w:val="18"/>
                <w:szCs w:val="18"/>
                <w:color w:val="auto"/>
              </w:rPr>
            </w:pP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Fulfillment expenses (2)</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(1,889,954)</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(2,046,921)</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(296,741)</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Marketing expenses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(732,148)</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(719,311)</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(104,278)</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content expenses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(449,071)</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(448,211)</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(64,977)</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(950,795)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(950,456)</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(137,787)</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(4,021,968)</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(4,164,899)</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216,556</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167,518</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24,285</w:t>
            </w:r>
          </w:p>
        </w:tc>
        <w:tc>
          <w:tcPr>
            <w:tcW w:w="100" w:type="dxa"/>
            <w:vAlign w:val="bottom"/>
            <w:tcBorders>
              <w:bottom w:val="single" w:sz="8" w:color="CCEEFF"/>
            </w:tcBorders>
          </w:tcPr>
          <w:p>
            <w:pPr>
              <w:spacing w:after="0"/>
              <w:rPr>
                <w:sz w:val="18"/>
                <w:szCs w:val="18"/>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2,276,798</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2,497,769</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362,100</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Investment (loss) gain and revaluation of investments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(37,459)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51,183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7,420</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(10,240)</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(29,911)</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(4,336)</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222,950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180,023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26,098</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loss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(12,936)</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(18,812)</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(2,727)</w:t>
            </w: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expense and share of income of equity method investees</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2,439,113</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2,680,252</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388,555</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(507,667)</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(519,290)</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(75,281)</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Share of income of equity method investees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48,865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102,523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14,863</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1,980,311</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2,263,485</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(37,466)</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(57,177)</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(8,289)</w:t>
            </w:r>
          </w:p>
        </w:tc>
      </w:tr>
      <w:tr>
        <w:trPr>
          <w:trHeight w:val="210"/>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Vipshop's shareholders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1,942,845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2,206,308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calculating earnings per share (3):</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Class A and Class B ordinary shares: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102,682,285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96,026,819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96,026,819</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104,315,110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98,545,822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98,545,822</w:t>
            </w: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per Class A and Class B ordinary share</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Vipshop's shareholders—Basic</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Vipshop's shareholders—Diluted</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w:t>
            </w:r>
          </w:p>
        </w:tc>
      </w:tr>
      <w:tr>
        <w:trPr>
          <w:trHeight w:val="216"/>
        </w:trPr>
        <w:tc>
          <w:tcPr>
            <w:tcW w:w="6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per ADS (1 ordinary share equals to 5 ADSs)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Vipshop's shareholders—Basic</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0.67</w:t>
            </w: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Vipshop's shareholders—Diluted</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0.65</w:t>
            </w:r>
          </w:p>
        </w:tc>
      </w:tr>
    </w:tbl>
    <w:p>
      <w:pPr>
        <w:spacing w:after="0" w:line="177" w:lineRule="exact"/>
        <w:rPr>
          <w:sz w:val="20"/>
          <w:szCs w:val="20"/>
          <w:color w:val="auto"/>
        </w:rPr>
      </w:pPr>
    </w:p>
    <w:p>
      <w:pPr>
        <w:jc w:val="both"/>
        <w:ind w:firstLine="8"/>
        <w:spacing w:after="0" w:line="267" w:lineRule="auto"/>
        <w:tabs>
          <w:tab w:leader="none" w:pos="264"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revenues primarily consist of product promotion and online advertising revenues, lease income mainly earned from the Shan Shan Outlets ,fees charged to third-party merchants which the Company provides platform access for sales of their products, revenue from third-party logistics services, loan facilitation service income and membership fee income.</w:t>
      </w:r>
    </w:p>
    <w:p>
      <w:pPr>
        <w:spacing w:after="0" w:line="173" w:lineRule="exact"/>
        <w:rPr>
          <w:rFonts w:ascii="Times New Roman" w:cs="Times New Roman" w:eastAsia="Times New Roman" w:hAnsi="Times New Roman"/>
          <w:sz w:val="18"/>
          <w:szCs w:val="18"/>
          <w:i w:val="1"/>
          <w:iCs w:val="1"/>
          <w:color w:val="auto"/>
        </w:rPr>
      </w:pPr>
    </w:p>
    <w:p>
      <w:pPr>
        <w:ind w:firstLine="8"/>
        <w:spacing w:after="0" w:line="284" w:lineRule="auto"/>
        <w:tabs>
          <w:tab w:leader="none" w:pos="26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Fulfillment expenses include shipping and handling expenses, which amounted RMB 1.3 billion and RMB 1.4 billion in the three month periods ended March 31,2025 and March 31,2026, respectively.</w:t>
      </w:r>
    </w:p>
    <w:p>
      <w:pPr>
        <w:spacing w:after="0" w:line="158" w:lineRule="exact"/>
        <w:rPr>
          <w:rFonts w:ascii="Times New Roman" w:cs="Times New Roman" w:eastAsia="Times New Roman" w:hAnsi="Times New Roman"/>
          <w:sz w:val="18"/>
          <w:szCs w:val="18"/>
          <w:i w:val="1"/>
          <w:iCs w:val="1"/>
          <w:color w:val="auto"/>
        </w:rPr>
      </w:pPr>
    </w:p>
    <w:p>
      <w:pPr>
        <w:ind w:firstLine="8"/>
        <w:spacing w:after="0" w:line="284" w:lineRule="auto"/>
        <w:tabs>
          <w:tab w:leader="none" w:pos="256"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Authorized share capital is re-classified and re-designated into Class A ordinary shares and Class B ordinary shares, with each Class A ordinary share being entitled to one vote and each Class B ordinary share being entitled to ten votes on all matters that are subject to shareholder vote.</w:t>
      </w:r>
    </w:p>
    <w:p>
      <w:pPr>
        <w:sectPr>
          <w:pgSz w:w="11900" w:h="16838" w:orient="portrait"/>
          <w:cols w:equalWidth="0" w:num="1">
            <w:col w:w="11240"/>
          </w:cols>
          <w:pgMar w:left="320" w:top="900" w:right="339" w:bottom="8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expenses are included in the operating expenses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Fulfillment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Marketing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Technology and content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8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March 31,2025</w:t>
            </w:r>
          </w:p>
        </w:tc>
        <w:tc>
          <w:tcPr>
            <w:tcW w:w="144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March 31,2026</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31,2026</w:t>
            </w:r>
          </w:p>
        </w:tc>
        <w:tc>
          <w:tcPr>
            <w:tcW w:w="20" w:type="dxa"/>
            <w:vAlign w:val="bottom"/>
          </w:tcPr>
          <w:p>
            <w:pPr>
              <w:spacing w:after="0"/>
              <w:rPr>
                <w:sz w:val="19"/>
                <w:szCs w:val="19"/>
                <w:color w:val="auto"/>
              </w:rPr>
            </w:pPr>
          </w:p>
        </w:tc>
      </w:tr>
      <w:tr>
        <w:trPr>
          <w:trHeight w:val="232"/>
        </w:trPr>
        <w:tc>
          <w:tcPr>
            <w:tcW w:w="12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RMB'000</w:t>
            </w:r>
          </w:p>
        </w:tc>
        <w:tc>
          <w:tcPr>
            <w:tcW w:w="220" w:type="dxa"/>
            <w:vAlign w:val="bottom"/>
          </w:tcPr>
          <w:p>
            <w:pPr>
              <w:spacing w:after="0"/>
              <w:rPr>
                <w:sz w:val="20"/>
                <w:szCs w:val="20"/>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RMB'000</w:t>
            </w:r>
          </w:p>
        </w:tc>
        <w:tc>
          <w:tcPr>
            <w:tcW w:w="220" w:type="dxa"/>
            <w:vAlign w:val="bottom"/>
          </w:tcPr>
          <w:p>
            <w:pPr>
              <w:spacing w:after="0"/>
              <w:rPr>
                <w:sz w:val="20"/>
                <w:szCs w:val="20"/>
                <w:color w:val="auto"/>
              </w:rPr>
            </w:pPr>
          </w:p>
        </w:tc>
        <w:tc>
          <w:tcPr>
            <w:tcW w:w="12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USD'000</w:t>
            </w:r>
          </w:p>
        </w:tc>
        <w:tc>
          <w:tcPr>
            <w:tcW w:w="20" w:type="dxa"/>
            <w:vAlign w:val="bottom"/>
          </w:tcPr>
          <w:p>
            <w:pPr>
              <w:spacing w:after="0"/>
              <w:rPr>
                <w:sz w:val="20"/>
                <w:szCs w:val="20"/>
                <w:color w:val="auto"/>
              </w:rPr>
            </w:pPr>
          </w:p>
        </w:tc>
      </w:tr>
      <w:tr>
        <w:trPr>
          <w:trHeight w:val="391"/>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20,177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15,086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2,187</w:t>
            </w:r>
          </w:p>
        </w:tc>
      </w:tr>
      <w:tr>
        <w:trPr>
          <w:trHeight w:val="216"/>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7,042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12,106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1,755</w:t>
            </w:r>
          </w:p>
        </w:tc>
      </w:tr>
      <w:tr>
        <w:trPr>
          <w:trHeight w:val="229"/>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88,845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68,363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9,911</w:t>
            </w:r>
          </w:p>
        </w:tc>
      </w:tr>
      <w:tr>
        <w:trPr>
          <w:trHeight w:val="234"/>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234,539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125,090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18,134</w:t>
            </w:r>
          </w:p>
        </w:tc>
      </w:tr>
      <w:tr>
        <w:trPr>
          <w:trHeight w:val="223"/>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350,603</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220,645</w:t>
            </w:r>
          </w:p>
        </w:tc>
        <w:tc>
          <w:tcPr>
            <w:tcW w:w="220" w:type="dxa"/>
            <w:vAlign w:val="bottom"/>
          </w:tcPr>
          <w:p>
            <w:pPr>
              <w:spacing w:after="0"/>
              <w:rPr>
                <w:sz w:val="19"/>
                <w:szCs w:val="19"/>
                <w:color w:val="auto"/>
              </w:rPr>
            </w:pP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31,987</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60" w:space="720"/>
            <w:col w:w="4260"/>
          </w:cols>
          <w:pgMar w:left="320" w:top="900" w:right="339" w:bottom="808" w:gutter="0" w:footer="0" w:header="0"/>
          <w:type w:val="continuous"/>
        </w:sectPr>
      </w:pPr>
    </w:p>
    <w:p>
      <w:pPr>
        <w:spacing w:after="0" w:line="214"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808"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4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December 31,2025</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March 31,2026</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March 31,2026</w:t>
            </w:r>
          </w:p>
        </w:tc>
      </w:tr>
      <w:tr>
        <w:trPr>
          <w:trHeight w:val="209"/>
        </w:trPr>
        <w:tc>
          <w:tcPr>
            <w:tcW w:w="6840" w:type="dxa"/>
            <w:vAlign w:val="bottom"/>
          </w:tcPr>
          <w:p>
            <w:pPr>
              <w:spacing w:after="0"/>
              <w:rPr>
                <w:sz w:val="18"/>
                <w:szCs w:val="18"/>
                <w:color w:val="auto"/>
              </w:rPr>
            </w:pPr>
          </w:p>
        </w:tc>
        <w:tc>
          <w:tcPr>
            <w:tcW w:w="14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RMB'000</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RMB'000</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USD'000</w:t>
            </w:r>
          </w:p>
        </w:tc>
        <w:tc>
          <w:tcPr>
            <w:tcW w:w="100" w:type="dxa"/>
            <w:vAlign w:val="bottom"/>
            <w:gridSpan w:val="2"/>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22,990,435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27,659,303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4,009,757</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1,132,729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607,548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88,076</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investments</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5,777,222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2,684,723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389,203</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889,220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734,404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106,466</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parties,net</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762,781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732,386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106,174</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 and prepayments,net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2,860,301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2,951,043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427,811</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receivables,net</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9,166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9,624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1,395</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5,153,413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4,621,665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670,001</w:t>
            </w:r>
          </w:p>
        </w:tc>
        <w:tc>
          <w:tcPr>
            <w:tcW w:w="80" w:type="dxa"/>
            <w:vAlign w:val="bottom"/>
          </w:tcPr>
          <w:p>
            <w:pPr>
              <w:spacing w:after="0"/>
              <w:rPr>
                <w:sz w:val="18"/>
                <w:szCs w:val="18"/>
                <w:color w:val="auto"/>
              </w:rPr>
            </w:pPr>
          </w:p>
        </w:tc>
      </w:tr>
      <w:tr>
        <w:trPr>
          <w:trHeight w:val="209"/>
        </w:trPr>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39,575,267</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40,000,696</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5,798,883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18,311,533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17,954,802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2,602,900</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Deposits for property and equipment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6,420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8,016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1,162</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use rights, net</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10,426,682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10,429,432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1,511,950</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324,067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323,122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46,843</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equity method investees</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3,136,784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3,382,701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490,389</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4,800,356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4,842,845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702,065</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Held-to-maturity securities</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802,366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116,319</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351,085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242,204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35,112</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755,213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755,213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109,483</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757,113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781,454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113,287</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398,798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402,568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58,360</w:t>
            </w:r>
          </w:p>
        </w:tc>
        <w:tc>
          <w:tcPr>
            <w:tcW w:w="80" w:type="dxa"/>
            <w:vAlign w:val="bottom"/>
            <w:shd w:val="clear" w:color="auto" w:fill="CCEEFF"/>
          </w:tcPr>
          <w:p>
            <w:pPr>
              <w:spacing w:after="0"/>
              <w:rPr>
                <w:sz w:val="18"/>
                <w:szCs w:val="18"/>
                <w:color w:val="auto"/>
              </w:rPr>
            </w:pPr>
          </w:p>
        </w:tc>
      </w:tr>
      <w:tr>
        <w:trPr>
          <w:trHeight w:val="210"/>
        </w:trPr>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39,268,051</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39,924,723</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5,787,870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78,843,318</w:t>
            </w: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79,925,419</w:t>
            </w: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11,586,753</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8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loans</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5,844,620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6,559,600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950,942</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12,536,639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11,403,704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1,653,190</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from customers</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1,890,586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1,694,602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245,666</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9,941,146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11,350,723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1,645,509</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101,782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103,585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15,017</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520,853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533,532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77,346</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47,458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44,436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6,442</w:t>
            </w:r>
          </w:p>
        </w:tc>
        <w:tc>
          <w:tcPr>
            <w:tcW w:w="80" w:type="dxa"/>
            <w:vAlign w:val="bottom"/>
            <w:shd w:val="clear" w:color="auto" w:fill="CCEEFF"/>
          </w:tcPr>
          <w:p>
            <w:pPr>
              <w:spacing w:after="0"/>
              <w:rPr>
                <w:sz w:val="18"/>
                <w:szCs w:val="18"/>
                <w:color w:val="auto"/>
              </w:rPr>
            </w:pPr>
          </w:p>
        </w:tc>
      </w:tr>
      <w:tr>
        <w:trPr>
          <w:trHeight w:val="209"/>
        </w:trPr>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30,883,084</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31,690,182</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4,594,112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707,322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763,187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110,639</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income-non current</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2,252,797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2,234,957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324,001</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556,951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564,338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81,812</w:t>
            </w:r>
          </w:p>
        </w:tc>
        <w:tc>
          <w:tcPr>
            <w:tcW w:w="80" w:type="dxa"/>
            <w:vAlign w:val="bottom"/>
          </w:tcPr>
          <w:p>
            <w:pPr>
              <w:spacing w:after="0"/>
              <w:rPr>
                <w:sz w:val="18"/>
                <w:szCs w:val="18"/>
                <w:color w:val="auto"/>
              </w:rPr>
            </w:pPr>
          </w:p>
        </w:tc>
      </w:tr>
      <w:tr>
        <w:trPr>
          <w:trHeight w:val="210"/>
        </w:trPr>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3,517,070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3,562,482</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50"/>
        </w:trPr>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34,400,154</w:t>
            </w:r>
          </w:p>
        </w:tc>
        <w:tc>
          <w:tcPr>
            <w:tcW w:w="2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35,252,664</w:t>
            </w:r>
          </w:p>
        </w:tc>
        <w:tc>
          <w:tcPr>
            <w:tcW w:w="2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5,110,564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96"/>
        </w:trPr>
        <w:tc>
          <w:tcPr>
            <w:tcW w:w="68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6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shareholders' equity (US$0.0001 par value, 500 million shares authorized, 106.9</w:t>
            </w: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million shares issued, and 96.1 million shares outstanding as of March 31, 2026) (4)</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41,004,749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41,248,690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5,979,804</w:t>
            </w:r>
          </w:p>
        </w:tc>
        <w:tc>
          <w:tcPr>
            <w:tcW w:w="80" w:type="dxa"/>
            <w:vAlign w:val="bottom"/>
            <w:shd w:val="clear" w:color="auto" w:fill="CCEEFF"/>
          </w:tcPr>
          <w:p>
            <w:pPr>
              <w:spacing w:after="0"/>
              <w:rPr>
                <w:sz w:val="20"/>
                <w:szCs w:val="20"/>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3,438,415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3,424,065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496,385</w:t>
            </w:r>
          </w:p>
        </w:tc>
        <w:tc>
          <w:tcPr>
            <w:tcW w:w="80" w:type="dxa"/>
            <w:vAlign w:val="bottom"/>
          </w:tcPr>
          <w:p>
            <w:pPr>
              <w:spacing w:after="0"/>
              <w:rPr>
                <w:sz w:val="18"/>
                <w:szCs w:val="18"/>
                <w:color w:val="auto"/>
              </w:rPr>
            </w:pPr>
          </w:p>
        </w:tc>
      </w:tr>
      <w:tr>
        <w:trPr>
          <w:trHeight w:val="209"/>
        </w:trPr>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44,443,164</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44,672,755</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6,476,189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78,843,318</w:t>
            </w:r>
          </w:p>
        </w:tc>
        <w:tc>
          <w:tcPr>
            <w:tcW w:w="2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79,925,419</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11,586,753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firstLine="8"/>
        <w:spacing w:after="0" w:line="284" w:lineRule="auto"/>
        <w:tabs>
          <w:tab w:leader="none" w:pos="257"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number of treasury stock as of March 31, 2026 was 10.8 million, all of which are Class A ordinary shares repurchased under the share repurchase program.</w:t>
      </w:r>
    </w:p>
    <w:p>
      <w:pPr>
        <w:spacing w:after="0" w:line="3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from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income from operations</w:t>
      </w:r>
    </w:p>
    <w:p>
      <w:pPr>
        <w:spacing w:after="0" w:line="20" w:lineRule="exact"/>
        <w:rPr>
          <w:sz w:val="20"/>
          <w:szCs w:val="20"/>
          <w:color w:val="auto"/>
        </w:rPr>
      </w:pPr>
      <w:r>
        <w:rPr>
          <w:sz w:val="20"/>
          <w:szCs w:val="20"/>
          <w:color w:val="auto"/>
        </w:rPr>
        <w:br w:type="column"/>
      </w:r>
    </w:p>
    <w:p>
      <w:pPr>
        <w:jc w:val="center"/>
        <w:ind w:right="3720"/>
        <w:spacing w:after="0"/>
        <w:rPr>
          <w:sz w:val="20"/>
          <w:szCs w:val="20"/>
          <w:color w:val="auto"/>
        </w:rPr>
      </w:pPr>
      <w:r>
        <w:rPr>
          <w:rFonts w:ascii="Times New Roman" w:cs="Times New Roman" w:eastAsia="Times New Roman" w:hAnsi="Times New Roman"/>
          <w:sz w:val="18"/>
          <w:szCs w:val="18"/>
          <w:b w:val="1"/>
          <w:bCs w:val="1"/>
          <w:color w:val="auto"/>
        </w:rPr>
        <w:t>Vipshop Holdings Limited</w:t>
      </w:r>
    </w:p>
    <w:p>
      <w:pPr>
        <w:spacing w:after="0" w:line="31" w:lineRule="exact"/>
        <w:rPr>
          <w:sz w:val="20"/>
          <w:szCs w:val="20"/>
          <w:color w:val="auto"/>
        </w:rPr>
      </w:pPr>
    </w:p>
    <w:p>
      <w:pPr>
        <w:jc w:val="center"/>
        <w:ind w:right="3720"/>
        <w:spacing w:after="0"/>
        <w:rPr>
          <w:sz w:val="20"/>
          <w:szCs w:val="20"/>
          <w:color w:val="auto"/>
        </w:rPr>
      </w:pPr>
      <w:r>
        <w:rPr>
          <w:rFonts w:ascii="Times New Roman" w:cs="Times New Roman" w:eastAsia="Times New Roman" w:hAnsi="Times New Roman"/>
          <w:sz w:val="18"/>
          <w:szCs w:val="18"/>
          <w:b w:val="1"/>
          <w:bCs w:val="1"/>
          <w:color w:val="auto"/>
        </w:rPr>
        <w:t>Reconciliations of GAAP and Non-GAAP Results</w:t>
      </w:r>
    </w:p>
    <w:p>
      <w:pPr>
        <w:spacing w:after="0" w:line="2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3260" w:type="dxa"/>
        <w:tblCellMar>
          <w:top w:w="0" w:type="dxa"/>
          <w:left w:w="0" w:type="dxa"/>
          <w:bottom w:w="0" w:type="dxa"/>
          <w:right w:w="0" w:type="dxa"/>
        </w:tblCellMar>
      </w:tblPr>
      <w:tr>
        <w:trPr>
          <w:trHeight w:val="223"/>
        </w:trPr>
        <w:tc>
          <w:tcPr>
            <w:tcW w:w="148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March 31,2025</w:t>
            </w:r>
          </w:p>
        </w:tc>
        <w:tc>
          <w:tcPr>
            <w:tcW w:w="144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March 31,2026</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31,2026</w:t>
            </w:r>
          </w:p>
        </w:tc>
        <w:tc>
          <w:tcPr>
            <w:tcW w:w="20" w:type="dxa"/>
            <w:vAlign w:val="bottom"/>
          </w:tcPr>
          <w:p>
            <w:pPr>
              <w:spacing w:after="0"/>
              <w:rPr>
                <w:sz w:val="19"/>
                <w:szCs w:val="19"/>
                <w:color w:val="auto"/>
              </w:rPr>
            </w:pPr>
          </w:p>
        </w:tc>
      </w:tr>
      <w:tr>
        <w:trPr>
          <w:trHeight w:val="191"/>
        </w:trPr>
        <w:tc>
          <w:tcPr>
            <w:tcW w:w="1260" w:type="dxa"/>
            <w:vAlign w:val="bottom"/>
            <w:tcBorders>
              <w:top w:val="single" w:sz="8" w:color="auto"/>
            </w:tcBorders>
          </w:tcPr>
          <w:p>
            <w:pPr>
              <w:jc w:val="right"/>
              <w:ind w:right="170"/>
              <w:spacing w:after="0" w:line="191" w:lineRule="exact"/>
              <w:rPr>
                <w:sz w:val="20"/>
                <w:szCs w:val="20"/>
                <w:color w:val="auto"/>
              </w:rPr>
            </w:pPr>
            <w:r>
              <w:rPr>
                <w:rFonts w:ascii="Times New Roman" w:cs="Times New Roman" w:eastAsia="Times New Roman" w:hAnsi="Times New Roman"/>
                <w:sz w:val="18"/>
                <w:szCs w:val="18"/>
                <w:b w:val="1"/>
                <w:bCs w:val="1"/>
                <w:color w:val="auto"/>
              </w:rPr>
              <w:t>RMB'000</w:t>
            </w:r>
          </w:p>
        </w:tc>
        <w:tc>
          <w:tcPr>
            <w:tcW w:w="220" w:type="dxa"/>
            <w:vAlign w:val="bottom"/>
          </w:tcPr>
          <w:p>
            <w:pPr>
              <w:spacing w:after="0"/>
              <w:rPr>
                <w:sz w:val="16"/>
                <w:szCs w:val="16"/>
                <w:color w:val="auto"/>
              </w:rPr>
            </w:pPr>
          </w:p>
        </w:tc>
        <w:tc>
          <w:tcPr>
            <w:tcW w:w="12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RMB'000</w:t>
            </w:r>
          </w:p>
        </w:tc>
        <w:tc>
          <w:tcPr>
            <w:tcW w:w="220" w:type="dxa"/>
            <w:vAlign w:val="bottom"/>
          </w:tcPr>
          <w:p>
            <w:pPr>
              <w:spacing w:after="0"/>
              <w:rPr>
                <w:sz w:val="16"/>
                <w:szCs w:val="16"/>
                <w:color w:val="auto"/>
              </w:rPr>
            </w:pPr>
          </w:p>
        </w:tc>
        <w:tc>
          <w:tcPr>
            <w:tcW w:w="1240" w:type="dxa"/>
            <w:vAlign w:val="bottom"/>
            <w:tcBorders>
              <w:top w:val="single" w:sz="8" w:color="auto"/>
            </w:tcBorders>
          </w:tcPr>
          <w:p>
            <w:pPr>
              <w:jc w:val="right"/>
              <w:ind w:right="190"/>
              <w:spacing w:after="0" w:line="191" w:lineRule="exact"/>
              <w:rPr>
                <w:sz w:val="20"/>
                <w:szCs w:val="20"/>
                <w:color w:val="auto"/>
              </w:rPr>
            </w:pPr>
            <w:r>
              <w:rPr>
                <w:rFonts w:ascii="Times New Roman" w:cs="Times New Roman" w:eastAsia="Times New Roman" w:hAnsi="Times New Roman"/>
                <w:sz w:val="18"/>
                <w:szCs w:val="18"/>
                <w:b w:val="1"/>
                <w:bCs w:val="1"/>
                <w:color w:val="auto"/>
              </w:rPr>
              <w:t>USD'000</w:t>
            </w:r>
          </w:p>
        </w:tc>
        <w:tc>
          <w:tcPr>
            <w:tcW w:w="20" w:type="dxa"/>
            <w:vAlign w:val="bottom"/>
          </w:tcPr>
          <w:p>
            <w:pPr>
              <w:spacing w:after="0"/>
              <w:rPr>
                <w:sz w:val="16"/>
                <w:szCs w:val="16"/>
                <w:color w:val="auto"/>
              </w:rPr>
            </w:pPr>
          </w:p>
        </w:tc>
      </w:tr>
      <w:tr>
        <w:trPr>
          <w:trHeight w:val="229"/>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2,276,798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2,497,769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362,100</w:t>
            </w:r>
          </w:p>
        </w:tc>
        <w:tc>
          <w:tcPr>
            <w:tcW w:w="20" w:type="dxa"/>
            <w:vAlign w:val="bottom"/>
          </w:tcPr>
          <w:p>
            <w:pPr>
              <w:spacing w:after="0"/>
              <w:rPr>
                <w:sz w:val="19"/>
                <w:szCs w:val="19"/>
                <w:color w:val="auto"/>
              </w:rPr>
            </w:pPr>
          </w:p>
        </w:tc>
      </w:tr>
      <w:tr>
        <w:trPr>
          <w:trHeight w:val="234"/>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350,603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220,645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31,987</w:t>
            </w:r>
          </w:p>
        </w:tc>
      </w:tr>
      <w:tr>
        <w:trPr>
          <w:trHeight w:val="223"/>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2,627,401</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2,718,414</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394,087</w:t>
            </w:r>
          </w:p>
        </w:tc>
        <w:tc>
          <w:tcPr>
            <w:tcW w:w="20" w:type="dxa"/>
            <w:vAlign w:val="bottom"/>
            <w:tcBorders>
              <w:top w:val="single" w:sz="8" w:color="auto"/>
              <w:bottom w:val="single" w:sz="8" w:color="auto"/>
            </w:tcBorders>
          </w:tcPr>
          <w:p>
            <w:pPr>
              <w:spacing w:after="0"/>
              <w:rPr>
                <w:sz w:val="19"/>
                <w:szCs w:val="19"/>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-462280</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-179705</wp:posOffset>
            </wp:positionV>
            <wp:extent cx="71323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720"/>
            <w:col w:w="7520"/>
          </w:cols>
          <w:pgMar w:left="320" w:top="900" w:right="339" w:bottom="1440" w:gutter="0" w:footer="0" w:header="0"/>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Vipshop's shareholders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1,942,845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2,206,308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319,848</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350,603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220,645</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31,987</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loss (gain) and revaluation of investments excluding dividends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37,459</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(51,183)</w:t>
            </w: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(7,420)</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Reconciling items on the share of equity method investments(5)</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(38,362)</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(5,561)</w:t>
            </w: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effects on non-GAAP adjustments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(22,583)</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(31,785)</w:t>
            </w: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(4,608)</w:t>
            </w: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attributable to Vipshop's shareholders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2,308,385</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2,305,623</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334,246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9" w:lineRule="exact"/>
        <w:rPr>
          <w:sz w:val="20"/>
          <w:szCs w:val="20"/>
          <w:color w:val="auto"/>
        </w:rPr>
      </w:pPr>
    </w:p>
    <w:p>
      <w:pPr>
        <w:ind w:right="20" w:firstLine="8"/>
        <w:spacing w:after="0" w:line="284" w:lineRule="auto"/>
        <w:tabs>
          <w:tab w:leader="none" w:pos="288"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 exclude the GAAP to non-GAAP reconciling items relating to investment gain and revaluation of investments on the share of equity method investments.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calculating earnings per share:</w:t>
            </w:r>
          </w:p>
        </w:tc>
        <w:tc>
          <w:tcPr>
            <w:tcW w:w="2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Class A and Class B ordinary shares:</w:t>
            </w:r>
          </w:p>
        </w:tc>
        <w:tc>
          <w:tcPr>
            <w:tcW w:w="2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102,682,285</w:t>
            </w:r>
          </w:p>
        </w:tc>
        <w:tc>
          <w:tcPr>
            <w:tcW w:w="1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96,026,819</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96,026,819</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104,315,110</w:t>
            </w: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98,545,822</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98,545,822</w:t>
            </w:r>
          </w:p>
        </w:tc>
      </w:tr>
      <w:tr>
        <w:trPr>
          <w:trHeight w:val="216"/>
        </w:trPr>
        <w:tc>
          <w:tcPr>
            <w:tcW w:w="62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per Class A and Class B ordinary share</w:t>
            </w:r>
          </w:p>
        </w:tc>
        <w:tc>
          <w:tcPr>
            <w:tcW w:w="2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attributable to Vipshop's shareholders—Basic</w:t>
            </w:r>
          </w:p>
        </w:tc>
        <w:tc>
          <w:tcPr>
            <w:tcW w:w="2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22.48</w:t>
            </w:r>
          </w:p>
        </w:tc>
        <w:tc>
          <w:tcPr>
            <w:tcW w:w="1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24.01</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attributable to Vipshop's shareholders—Diluted</w:t>
            </w:r>
          </w:p>
        </w:tc>
        <w:tc>
          <w:tcPr>
            <w:tcW w:w="2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22.13</w:t>
            </w: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23.40</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3.39</w:t>
            </w:r>
          </w:p>
        </w:tc>
      </w:tr>
      <w:tr>
        <w:trPr>
          <w:trHeight w:val="216"/>
        </w:trPr>
        <w:tc>
          <w:tcPr>
            <w:tcW w:w="62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per ADS (1 ordinary share equal to 5 ADSs)</w:t>
            </w:r>
          </w:p>
        </w:tc>
        <w:tc>
          <w:tcPr>
            <w:tcW w:w="2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attributable to Vipshop's shareholders—Basic</w:t>
            </w:r>
          </w:p>
        </w:tc>
        <w:tc>
          <w:tcPr>
            <w:tcW w:w="2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4.50</w:t>
            </w:r>
          </w:p>
        </w:tc>
        <w:tc>
          <w:tcPr>
            <w:tcW w:w="1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4.80</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0.70</w:t>
            </w: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attributable to Vipshop's shareholders—Diluted</w:t>
            </w:r>
          </w:p>
        </w:tc>
        <w:tc>
          <w:tcPr>
            <w:tcW w:w="2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4.43</w:t>
            </w: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4.68</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0.68</w:t>
            </w:r>
          </w:p>
        </w:tc>
      </w:tr>
    </w:tbl>
    <w:p>
      <w:pPr>
        <w:spacing w:after="0" w:line="3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bullet"/>
      <w:start w:val="1"/>
    </w:lvl>
  </w:abstractNum>
  <w:abstractNum w:abstractNumId="2">
    <w:nsid w:val="4DB127F8"/>
    <w:multiLevelType w:val="hybridMultilevel"/>
    <w:lvl w:ilvl="0">
      <w:lvlJc w:val="left"/>
      <w:lvlText w:val="2"/>
      <w:numFmt w:val="bullet"/>
      <w:start w:val="1"/>
    </w:lvl>
  </w:abstractNum>
  <w:abstractNum w:abstractNumId="3">
    <w:nsid w:val="216231B"/>
    <w:multiLevelType w:val="hybridMultilevel"/>
    <w:lvl w:ilvl="0">
      <w:lvlJc w:val="left"/>
      <w:lvlText w:val="3"/>
      <w:numFmt w:val="bullet"/>
      <w:start w:val="1"/>
    </w:lvl>
  </w:abstractNum>
  <w:abstractNum w:abstractNumId="4">
    <w:nsid w:val="1F16E9E8"/>
    <w:multiLevelType w:val="hybridMultilevel"/>
    <w:lvl w:ilvl="0">
      <w:lvlJc w:val="left"/>
      <w:lvlText w:val="4"/>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lowerRoman"/>
      <w:start w:val="2"/>
    </w:lvl>
  </w:abstractNum>
  <w:abstractNum w:abstractNumId="7">
    <w:nsid w:val="140E0F76"/>
    <w:multiLevelType w:val="hybridMultilevel"/>
    <w:lvl w:ilvl="0">
      <w:lvlJc w:val="left"/>
      <w:lvlText w:val="(%1)"/>
      <w:numFmt w:val="lowerRoman"/>
      <w:start w:val="4"/>
    </w:lvl>
  </w:abstractNum>
  <w:abstractNum w:abstractNumId="8">
    <w:nsid w:val="3352255A"/>
    <w:multiLevelType w:val="hybridMultilevel"/>
    <w:lvl w:ilvl="0">
      <w:lvlJc w:val="left"/>
      <w:lvlText w:val="5"/>
      <w:numFmt w:val="bullet"/>
      <w:start w:val="1"/>
    </w:lvl>
  </w:abstractNum>
  <w:abstractNum w:abstractNumId="9">
    <w:nsid w:val="109CF92E"/>
    <w:multiLevelType w:val="hybridMultilevel"/>
    <w:lvl w:ilvl="0">
      <w:lvlJc w:val="left"/>
      <w:lvlText w:val="6"/>
      <w:numFmt w:val="bullet"/>
      <w:start w:val="1"/>
    </w:lvl>
  </w:abstractNum>
  <w:abstractNum w:abstractNumId="10">
    <w:nsid w:val="DED7263"/>
    <w:multiLevelType w:val="hybridMultilevel"/>
    <w:lvl w:ilvl="0">
      <w:lvlJc w:val="left"/>
      <w:lvlText w:val="8"/>
      <w:numFmt w:val="bullet"/>
      <w:start w:val="1"/>
    </w:lvl>
  </w:abstractNum>
  <w:abstractNum w:abstractNumId="11">
    <w:nsid w:val="7FDCC233"/>
    <w:multiLevelType w:val="hybridMultilevel"/>
    <w:lvl w:ilvl="0">
      <w:lvlJc w:val="left"/>
      <w:lvlText w:val="9"/>
      <w:numFmt w:val="bullet"/>
      <w:start w:val="1"/>
    </w:lvl>
  </w:abstractNum>
  <w:abstractNum w:abstractNumId="12">
    <w:nsid w:val="1BEFD79F"/>
    <w:multiLevelType w:val="hybridMultilevel"/>
    <w:lvl w:ilvl="0">
      <w:lvlJc w:val="left"/>
      <w:lvlText w:val="%1"/>
      <w:numFmt w:val="decimal"/>
      <w:start w:val="10"/>
    </w:lvl>
  </w:abstractNum>
  <w:abstractNum w:abstractNumId="13">
    <w:nsid w:val="41A7C4C9"/>
    <w:multiLevelType w:val="hybridMultilevel"/>
    <w:lvl w:ilvl="0">
      <w:lvlJc w:val="left"/>
      <w:lvlText w:val="(%1)"/>
      <w:numFmt w:val="lowerRoman"/>
      <w:start w:val="3"/>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4"/>
    </w:lvl>
  </w:abstractNum>
  <w:abstractNum w:abstractNumId="16">
    <w:nsid w:val="25E45D32"/>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2026-05-21T06:46:25Z</dcterms:created>
  <dcterms:modified xsi:type="dcterms:W3CDTF">2026-05-21T06:46:25Z</dcterms:modified>
</cp:coreProperties>
</file>