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May 22, 2023</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VIPSHOP HOLDINGS LIMITED</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p>
      <w:pPr>
        <w:spacing w:after="0" w:line="381"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31" w:lineRule="exact"/>
        <w:rPr>
          <w:sz w:val="24"/>
          <w:szCs w:val="24"/>
          <w:color w:val="auto"/>
        </w:rPr>
      </w:pPr>
    </w:p>
    <w:p>
      <w:pPr>
        <w:sectPr>
          <w:pgSz w:w="11900" w:h="16838" w:orient="portrait"/>
          <w:cols w:equalWidth="0" w:num="2">
            <w:col w:w="7080" w:space="720"/>
            <w:col w:w="3220"/>
          </w:cols>
          <w:pgMar w:left="440" w:top="229" w:right="43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95" w:lineRule="exact"/>
        <w:rPr>
          <w:sz w:val="24"/>
          <w:szCs w:val="24"/>
          <w:color w:val="auto"/>
        </w:rPr>
      </w:pPr>
    </w:p>
    <w:p>
      <w:pPr>
        <w:sectPr>
          <w:pgSz w:w="11900" w:h="16838" w:orient="portrait"/>
          <w:cols w:equalWidth="0" w:num="2">
            <w:col w:w="7080" w:space="720"/>
            <w:col w:w="3220"/>
          </w:cols>
          <w:pgMar w:left="440" w:top="229"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Vipshop Headquarters, 128 Dingxin Road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Haizhu District, Guangzhou 510220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Vipshop Holdings Limited 2014 Share Incentive Plan</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w:t>
      </w:r>
    </w:p>
    <w:p>
      <w:pPr>
        <w:sectPr>
          <w:pgSz w:w="11900" w:h="16838" w:orient="portrait"/>
          <w:cols w:equalWidth="0" w:num="1">
            <w:col w:w="11020"/>
          </w:cols>
          <w:pgMar w:left="440" w:top="229" w:right="439" w:bottom="144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(the “Exchange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0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4"/>
          <w:szCs w:val="24"/>
          <w:color w:val="auto"/>
        </w:rPr>
      </w:pPr>
    </w:p>
    <w:p>
      <w:pPr>
        <w:ind w:right="160" w:firstLine="4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 </w:t>
      </w:r>
      <w:r>
        <w:rPr>
          <w:rFonts w:ascii="MS PGothic" w:cs="MS PGothic" w:eastAsia="MS PGothic" w:hAnsi="MS PGothic"/>
          <w:sz w:val="18"/>
          <w:szCs w:val="18"/>
          <w:color w:val="auto"/>
        </w:rPr>
        <w: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626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Copies to:</w:t>
            </w:r>
          </w:p>
        </w:tc>
      </w:tr>
      <w:tr>
        <w:trPr>
          <w:trHeight w:val="319"/>
        </w:trPr>
        <w:tc>
          <w:tcPr>
            <w:tcW w:w="4760" w:type="dxa"/>
            <w:vAlign w:val="bottom"/>
          </w:tcPr>
          <w:p>
            <w:pPr>
              <w:jc w:val="center"/>
              <w:ind w:left="710"/>
              <w:spacing w:after="0"/>
              <w:rPr>
                <w:sz w:val="20"/>
                <w:szCs w:val="20"/>
                <w:color w:val="auto"/>
              </w:rPr>
            </w:pPr>
            <w:r>
              <w:rPr>
                <w:rFonts w:ascii="Arial" w:cs="Arial" w:eastAsia="Arial" w:hAnsi="Arial"/>
                <w:sz w:val="18"/>
                <w:szCs w:val="18"/>
                <w:b w:val="1"/>
                <w:bCs w:val="1"/>
                <w:color w:val="auto"/>
                <w:w w:val="92"/>
              </w:rPr>
              <w:t>David Cui, Chief Financial Officer</w:t>
            </w:r>
          </w:p>
        </w:tc>
        <w:tc>
          <w:tcPr>
            <w:tcW w:w="626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Yuting Wu, Esq.</w:t>
            </w:r>
          </w:p>
        </w:tc>
      </w:tr>
      <w:tr>
        <w:trPr>
          <w:trHeight w:val="216"/>
        </w:trPr>
        <w:tc>
          <w:tcPr>
            <w:tcW w:w="4760" w:type="dxa"/>
            <w:vAlign w:val="bottom"/>
          </w:tcPr>
          <w:p>
            <w:pPr>
              <w:jc w:val="center"/>
              <w:ind w:left="690"/>
              <w:spacing w:after="0"/>
              <w:rPr>
                <w:sz w:val="20"/>
                <w:szCs w:val="20"/>
                <w:color w:val="auto"/>
              </w:rPr>
            </w:pPr>
            <w:r>
              <w:rPr>
                <w:rFonts w:ascii="Arial" w:cs="Arial" w:eastAsia="Arial" w:hAnsi="Arial"/>
                <w:sz w:val="18"/>
                <w:szCs w:val="18"/>
                <w:b w:val="1"/>
                <w:bCs w:val="1"/>
                <w:color w:val="auto"/>
                <w:w w:val="90"/>
              </w:rPr>
              <w:t>Vipshop Holdings Limited</w:t>
            </w:r>
          </w:p>
        </w:tc>
        <w:tc>
          <w:tcPr>
            <w:tcW w:w="6260" w:type="dxa"/>
            <w:vAlign w:val="bottom"/>
          </w:tcPr>
          <w:p>
            <w:pPr>
              <w:jc w:val="center"/>
              <w:ind w:left="81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476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Vipshop Headquarters, 128 Dingxin Road</w:t>
            </w:r>
          </w:p>
        </w:tc>
        <w:tc>
          <w:tcPr>
            <w:tcW w:w="6260" w:type="dxa"/>
            <w:vAlign w:val="bottom"/>
          </w:tcPr>
          <w:p>
            <w:pPr>
              <w:jc w:val="center"/>
              <w:ind w:left="810"/>
              <w:spacing w:after="0"/>
              <w:rPr>
                <w:sz w:val="20"/>
                <w:szCs w:val="20"/>
                <w:color w:val="auto"/>
              </w:rPr>
            </w:pPr>
            <w:r>
              <w:rPr>
                <w:rFonts w:ascii="Arial" w:cs="Arial" w:eastAsia="Arial" w:hAnsi="Arial"/>
                <w:sz w:val="18"/>
                <w:szCs w:val="18"/>
                <w:b w:val="1"/>
                <w:bCs w:val="1"/>
                <w:color w:val="auto"/>
                <w:w w:val="93"/>
              </w:rPr>
              <w:t>JingAn Kerry Center, Tower II, 46/F</w:t>
            </w:r>
          </w:p>
        </w:tc>
      </w:tr>
      <w:tr>
        <w:trPr>
          <w:trHeight w:val="216"/>
        </w:trPr>
        <w:tc>
          <w:tcPr>
            <w:tcW w:w="476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Haizhu District, Guangzhou 510220</w:t>
            </w:r>
          </w:p>
        </w:tc>
        <w:tc>
          <w:tcPr>
            <w:tcW w:w="6260" w:type="dxa"/>
            <w:vAlign w:val="bottom"/>
          </w:tcPr>
          <w:p>
            <w:pPr>
              <w:jc w:val="center"/>
              <w:ind w:left="830"/>
              <w:spacing w:after="0"/>
              <w:rPr>
                <w:sz w:val="20"/>
                <w:szCs w:val="20"/>
                <w:color w:val="auto"/>
              </w:rPr>
            </w:pPr>
            <w:r>
              <w:rPr>
                <w:rFonts w:ascii="Arial" w:cs="Arial" w:eastAsia="Arial" w:hAnsi="Arial"/>
                <w:sz w:val="18"/>
                <w:szCs w:val="18"/>
                <w:b w:val="1"/>
                <w:bCs w:val="1"/>
                <w:color w:val="auto"/>
                <w:w w:val="90"/>
              </w:rPr>
              <w:t>1539 Nanjing West Road</w:t>
            </w:r>
          </w:p>
        </w:tc>
      </w:tr>
      <w:tr>
        <w:trPr>
          <w:trHeight w:val="216"/>
        </w:trPr>
        <w:tc>
          <w:tcPr>
            <w:tcW w:w="4760" w:type="dxa"/>
            <w:vAlign w:val="bottom"/>
          </w:tcPr>
          <w:p>
            <w:pPr>
              <w:jc w:val="center"/>
              <w:ind w:left="710"/>
              <w:spacing w:after="0"/>
              <w:rPr>
                <w:sz w:val="20"/>
                <w:szCs w:val="20"/>
                <w:color w:val="auto"/>
              </w:rPr>
            </w:pPr>
            <w:r>
              <w:rPr>
                <w:rFonts w:ascii="Arial" w:cs="Arial" w:eastAsia="Arial" w:hAnsi="Arial"/>
                <w:sz w:val="18"/>
                <w:szCs w:val="18"/>
                <w:b w:val="1"/>
                <w:bCs w:val="1"/>
                <w:color w:val="auto"/>
                <w:w w:val="89"/>
              </w:rPr>
              <w:t>People’s Republic of China</w:t>
            </w:r>
          </w:p>
        </w:tc>
        <w:tc>
          <w:tcPr>
            <w:tcW w:w="6260" w:type="dxa"/>
            <w:vAlign w:val="bottom"/>
          </w:tcPr>
          <w:p>
            <w:pPr>
              <w:jc w:val="center"/>
              <w:ind w:left="810"/>
              <w:spacing w:after="0"/>
              <w:rPr>
                <w:sz w:val="20"/>
                <w:szCs w:val="20"/>
                <w:color w:val="auto"/>
              </w:rPr>
            </w:pPr>
            <w:r>
              <w:rPr>
                <w:rFonts w:ascii="Arial" w:cs="Arial" w:eastAsia="Arial" w:hAnsi="Arial"/>
                <w:sz w:val="18"/>
                <w:szCs w:val="18"/>
                <w:b w:val="1"/>
                <w:bCs w:val="1"/>
                <w:color w:val="auto"/>
                <w:w w:val="90"/>
              </w:rPr>
              <w:t>Shanghai 200040</w:t>
            </w:r>
          </w:p>
        </w:tc>
      </w:tr>
      <w:tr>
        <w:trPr>
          <w:trHeight w:val="216"/>
        </w:trPr>
        <w:tc>
          <w:tcPr>
            <w:tcW w:w="4760" w:type="dxa"/>
            <w:vAlign w:val="bottom"/>
          </w:tcPr>
          <w:p>
            <w:pPr>
              <w:jc w:val="center"/>
              <w:ind w:left="710"/>
              <w:spacing w:after="0"/>
              <w:rPr>
                <w:sz w:val="20"/>
                <w:szCs w:val="20"/>
                <w:color w:val="auto"/>
              </w:rPr>
            </w:pPr>
            <w:r>
              <w:rPr>
                <w:rFonts w:ascii="Arial" w:cs="Arial" w:eastAsia="Arial" w:hAnsi="Arial"/>
                <w:sz w:val="18"/>
                <w:szCs w:val="18"/>
                <w:b w:val="1"/>
                <w:bCs w:val="1"/>
                <w:color w:val="auto"/>
                <w:w w:val="90"/>
              </w:rPr>
              <w:t>+86 (20) 2233-0025</w:t>
            </w:r>
          </w:p>
        </w:tc>
        <w:tc>
          <w:tcPr>
            <w:tcW w:w="626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People’s Republic of China</w:t>
            </w:r>
          </w:p>
        </w:tc>
      </w:tr>
      <w:tr>
        <w:trPr>
          <w:trHeight w:val="234"/>
        </w:trPr>
        <w:tc>
          <w:tcPr>
            <w:tcW w:w="4760" w:type="dxa"/>
            <w:vAlign w:val="bottom"/>
          </w:tcPr>
          <w:p>
            <w:pPr>
              <w:spacing w:after="0"/>
              <w:rPr>
                <w:sz w:val="20"/>
                <w:szCs w:val="20"/>
                <w:color w:val="auto"/>
              </w:rPr>
            </w:pPr>
          </w:p>
        </w:tc>
        <w:tc>
          <w:tcPr>
            <w:tcW w:w="6260" w:type="dxa"/>
            <w:vAlign w:val="bottom"/>
          </w:tcPr>
          <w:p>
            <w:pPr>
              <w:jc w:val="center"/>
              <w:ind w:left="810"/>
              <w:spacing w:after="0"/>
              <w:rPr>
                <w:sz w:val="20"/>
                <w:szCs w:val="20"/>
                <w:color w:val="auto"/>
              </w:rPr>
            </w:pPr>
            <w:r>
              <w:rPr>
                <w:rFonts w:ascii="Arial" w:cs="Arial" w:eastAsia="Arial" w:hAnsi="Arial"/>
                <w:sz w:val="18"/>
                <w:szCs w:val="18"/>
                <w:b w:val="1"/>
                <w:bCs w:val="1"/>
                <w:color w:val="auto"/>
                <w:w w:val="90"/>
              </w:rPr>
              <w:t>+86 (21) 6193-8200</w:t>
            </w:r>
          </w:p>
        </w:tc>
      </w:tr>
      <w:tr>
        <w:trPr>
          <w:trHeight w:val="162"/>
        </w:trPr>
        <w:tc>
          <w:tcPr>
            <w:tcW w:w="4760" w:type="dxa"/>
            <w:vAlign w:val="bottom"/>
            <w:tcBorders>
              <w:bottom w:val="single" w:sz="8" w:color="auto"/>
            </w:tcBorders>
          </w:tcPr>
          <w:p>
            <w:pPr>
              <w:spacing w:after="0"/>
              <w:rPr>
                <w:sz w:val="14"/>
                <w:szCs w:val="14"/>
                <w:color w:val="auto"/>
              </w:rPr>
            </w:pPr>
          </w:p>
        </w:tc>
        <w:tc>
          <w:tcPr>
            <w:tcW w:w="6260" w:type="dxa"/>
            <w:vAlign w:val="bottom"/>
            <w:tcBorders>
              <w:bottom w:val="single" w:sz="8" w:color="auto"/>
            </w:tcBorders>
          </w:tcPr>
          <w:p>
            <w:pPr>
              <w:spacing w:after="0"/>
              <w:rPr>
                <w:sz w:val="14"/>
                <w:szCs w:val="14"/>
                <w:color w:val="auto"/>
              </w:rPr>
            </w:pPr>
          </w:p>
        </w:tc>
      </w:tr>
      <w:tr>
        <w:trPr>
          <w:trHeight w:val="48"/>
        </w:trPr>
        <w:tc>
          <w:tcPr>
            <w:tcW w:w="476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229" w:right="4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This registration statement on Form S-8 is being filed by Vipshop Holdings Limited (the “Registrant”) to register additional Class A ordinary shares of the Registrant issuable pursuant to the 2014 Share Incentive Plan of the Registrant (the “2014 Plan”) and consists of only those items required by General Instruction E to Form S-8. Pursuant to certain provisions of the 2014 Plan (referred to as the “evergreen provisions”), the number of Class A ordinary shares that are available for award grant purposes under the 2014 Plan is automatically increased each year in accordance with a formula set forth in the 2014 Plan. The additional securities registered hereby consist of 5,830,632 Class A ordinary shares that were automatically added to the then maximum aggregate number of shares issuable pursuant to the 2014 Plan, effective January 1, 2021, January 1, 2022, and January 1, 2023, pursuant to the 2014 Plan’s evergreen provisions, on top of the Class A ordinary shares registered by the registration statements on Form S-8 (File No. 333-199515, File No. 333-222218, and File No. 333-248504) filed with the Securities and Exchange Commission (the “Commission”) on October 22, 2014, December 21, 2017, and August 31, 2020, respectively (the “Prior Registration Statements”).</w:t>
      </w:r>
    </w:p>
    <w:p>
      <w:pPr>
        <w:spacing w:after="0" w:line="16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In accordance with General Instruction E to Form S-8, the contents of the Prior Registration Statements are incorporated herein by reference, except as otherwise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203200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following documents previously filed by the Registrant with the Securities and Exchange Commission (the “Commission”) are incorporated by reference herein:</w:t>
      </w:r>
    </w:p>
    <w:p>
      <w:pPr>
        <w:spacing w:after="0" w:line="76" w:lineRule="exact"/>
        <w:rPr>
          <w:sz w:val="20"/>
          <w:szCs w:val="20"/>
          <w:color w:val="auto"/>
        </w:rPr>
      </w:pPr>
    </w:p>
    <w:p>
      <w:pPr>
        <w:ind w:left="980" w:right="140" w:hanging="54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6">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001-35454) for the year ended December 31, 2022, filed with the Commission on April 19, 2023.</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80" w:right="140" w:hanging="544"/>
        <w:spacing w:after="0" w:line="263"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securities incorporated by reference in the Registrant’s registration statement on </w:t>
      </w:r>
      <w:hyperlink r:id="rId1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001-35454) filed with the Commission on March 9, 2012 pursuant to Section 12 of the Exchange Act, together with all amendments and reports filed for the purpose of updating that description.</w:t>
      </w:r>
    </w:p>
    <w:p>
      <w:pPr>
        <w:spacing w:after="0" w:line="184" w:lineRule="exact"/>
        <w:rPr>
          <w:rFonts w:ascii="Arial" w:cs="Arial" w:eastAsia="Arial" w:hAnsi="Arial"/>
          <w:sz w:val="18"/>
          <w:szCs w:val="18"/>
          <w:color w:val="auto"/>
        </w:rPr>
      </w:pPr>
    </w:p>
    <w:p>
      <w:pPr>
        <w:ind w:right="60" w:firstLine="440"/>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or 15(d) of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189" w:lineRule="exact"/>
        <w:rPr>
          <w:rFonts w:ascii="Arial" w:cs="Arial" w:eastAsia="Arial" w:hAnsi="Arial"/>
          <w:sz w:val="18"/>
          <w:szCs w:val="18"/>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See the Exhibit Index included herein.</w:t>
      </w:r>
    </w:p>
    <w:p>
      <w:pPr>
        <w:sectPr>
          <w:pgSz w:w="11900" w:h="16838" w:orient="portrait"/>
          <w:cols w:equalWidth="0" w:num="1">
            <w:col w:w="10980"/>
          </w:cols>
          <w:pgMar w:left="440" w:top="486"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80" w:type="dxa"/>
            <w:vAlign w:val="bottom"/>
            <w:gridSpan w:val="18"/>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64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gridSpan w:val="13"/>
          </w:tcPr>
          <w:p>
            <w:pPr>
              <w:spacing w:after="0"/>
              <w:rPr>
                <w:sz w:val="24"/>
                <w:szCs w:val="24"/>
                <w:color w:val="auto"/>
              </w:rPr>
            </w:pPr>
          </w:p>
        </w:tc>
      </w:tr>
      <w:tr>
        <w:trPr>
          <w:trHeight w:val="277"/>
        </w:trPr>
        <w:tc>
          <w:tcPr>
            <w:tcW w:w="700" w:type="dxa"/>
            <w:vAlign w:val="bottom"/>
          </w:tcPr>
          <w:p>
            <w:pPr>
              <w:jc w:val="right"/>
              <w:ind w:right="212"/>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60" w:type="dxa"/>
            <w:vAlign w:val="bottom"/>
            <w:tcBorders>
              <w:bottom w:val="single" w:sz="8" w:color="0000EE"/>
            </w:tcBorders>
            <w:gridSpan w:val="12"/>
          </w:tcPr>
          <w:p>
            <w:pPr>
              <w:spacing w:after="0"/>
              <w:rPr>
                <w:rFonts w:ascii="Arial" w:cs="Arial" w:eastAsia="Arial" w:hAnsi="Arial"/>
                <w:sz w:val="18"/>
                <w:szCs w:val="18"/>
                <w:color w:val="0000EE"/>
                <w:w w:val="89"/>
              </w:rPr>
            </w:pPr>
            <w:hyperlink r:id="rId18">
              <w:r>
                <w:rPr>
                  <w:rFonts w:ascii="Arial" w:cs="Arial" w:eastAsia="Arial" w:hAnsi="Arial"/>
                  <w:sz w:val="18"/>
                  <w:szCs w:val="18"/>
                  <w:color w:val="0000EE"/>
                  <w:w w:val="89"/>
                </w:rPr>
                <w:t>Second Amended and Restated Memorandum and Articles of Association of the Registrant adopted by the shareholders of the</w:t>
              </w:r>
            </w:hyperlink>
          </w:p>
        </w:tc>
        <w:tc>
          <w:tcPr>
            <w:tcW w:w="560" w:type="dxa"/>
            <w:vAlign w:val="bottom"/>
            <w:gridSpan w:val="10"/>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Registrant on September 15, 2014 (incorporated by reference to Exhibit 1.2 to our annual report on Form 20-F (File No. 001-35454)</w:t>
              </w:r>
            </w:hyperlink>
          </w:p>
        </w:tc>
        <w:tc>
          <w:tcPr>
            <w:tcW w:w="4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22"/>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filed with the Securities and Exchange Commission on April 16, 2021)</w:t>
              </w:r>
            </w:hyperlink>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00" w:type="dxa"/>
            <w:vAlign w:val="bottom"/>
          </w:tcPr>
          <w:p>
            <w:pPr>
              <w:jc w:val="right"/>
              <w:ind w:right="212"/>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22"/>
          </w:tcPr>
          <w:p>
            <w:pPr>
              <w:spacing w:after="0"/>
              <w:rPr>
                <w:rFonts w:ascii="Arial" w:cs="Arial" w:eastAsia="Arial" w:hAnsi="Arial"/>
                <w:sz w:val="18"/>
                <w:szCs w:val="18"/>
                <w:color w:val="0000EE"/>
                <w:w w:val="95"/>
              </w:rPr>
            </w:pPr>
            <w:hyperlink r:id="rId19">
              <w:r>
                <w:rPr>
                  <w:rFonts w:ascii="Arial" w:cs="Arial" w:eastAsia="Arial" w:hAnsi="Arial"/>
                  <w:sz w:val="18"/>
                  <w:szCs w:val="18"/>
                  <w:color w:val="0000EE"/>
                  <w:w w:val="95"/>
                </w:rPr>
                <w:t>Specimen Certificate of Class A Ordinary Shares of the Registrant (incorporated by reference to Exhibit 4.2 to the Registrant’s</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registration statement on Form S-8 (File No. 333-199515) filed with the Commission on October 22, 2014)</w:t>
              </w:r>
            </w:hyperlink>
          </w:p>
        </w:tc>
        <w:tc>
          <w:tcPr>
            <w:tcW w:w="1360" w:type="dxa"/>
            <w:vAlign w:val="bottom"/>
            <w:tcBorders>
              <w:top w:val="single" w:sz="8" w:color="0000EE"/>
            </w:tcBorders>
            <w:gridSpan w:val="3"/>
          </w:tcPr>
          <w:p>
            <w:pPr>
              <w:spacing w:after="0"/>
              <w:rPr>
                <w:sz w:val="17"/>
                <w:szCs w:val="17"/>
                <w:color w:val="auto"/>
              </w:rPr>
            </w:pPr>
          </w:p>
        </w:tc>
        <w:tc>
          <w:tcPr>
            <w:tcW w:w="480" w:type="dxa"/>
            <w:vAlign w:val="bottom"/>
            <w:gridSpan w:val="8"/>
          </w:tcPr>
          <w:p>
            <w:pPr>
              <w:spacing w:after="0"/>
              <w:rPr>
                <w:sz w:val="17"/>
                <w:szCs w:val="17"/>
                <w:color w:val="auto"/>
              </w:rPr>
            </w:pPr>
          </w:p>
        </w:tc>
      </w:tr>
      <w:tr>
        <w:trPr>
          <w:trHeight w:val="304"/>
        </w:trPr>
        <w:tc>
          <w:tcPr>
            <w:tcW w:w="700" w:type="dxa"/>
            <w:vAlign w:val="bottom"/>
          </w:tcPr>
          <w:p>
            <w:pPr>
              <w:jc w:val="right"/>
              <w:ind w:right="212"/>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00" w:type="dxa"/>
            <w:vAlign w:val="bottom"/>
            <w:tcBorders>
              <w:bottom w:val="single" w:sz="8" w:color="0000EE"/>
            </w:tcBorders>
            <w:gridSpan w:val="19"/>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Deposit Agreement dated as of March 22, 2012, among the Registrant, Deutsche Bank Trust Company Americas as depositary, and</w:t>
              </w:r>
            </w:hyperlink>
          </w:p>
        </w:tc>
        <w:tc>
          <w:tcPr>
            <w:tcW w:w="120" w:type="dxa"/>
            <w:vAlign w:val="bottom"/>
            <w:gridSpan w:val="3"/>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22"/>
          </w:tcPr>
          <w:p>
            <w:pPr>
              <w:spacing w:after="0" w:line="196" w:lineRule="exact"/>
              <w:rPr>
                <w:rFonts w:ascii="Arial" w:cs="Arial" w:eastAsia="Arial" w:hAnsi="Arial"/>
                <w:sz w:val="18"/>
                <w:szCs w:val="18"/>
                <w:color w:val="0000EE"/>
                <w:w w:val="94"/>
              </w:rPr>
            </w:pPr>
            <w:hyperlink r:id="rId20">
              <w:r>
                <w:rPr>
                  <w:rFonts w:ascii="Arial" w:cs="Arial" w:eastAsia="Arial" w:hAnsi="Arial"/>
                  <w:sz w:val="18"/>
                  <w:szCs w:val="18"/>
                  <w:color w:val="0000EE"/>
                  <w:w w:val="94"/>
                </w:rPr>
                <w:t>the holders and beneficial owners of American depositary shares evidenced by American depositary receipts issued thereunder</w:t>
              </w:r>
            </w:hyperlink>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(incorporated by reference to Exhibit 4.3 to the Registrant’s Registration Statement on Form S-8 (File No. 333-181559) filed with the</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22"/>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Commission on May 21, 2012)</w:t>
              </w:r>
            </w:hyperlink>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00" w:type="dxa"/>
            <w:vAlign w:val="bottom"/>
          </w:tcPr>
          <w:p>
            <w:pPr>
              <w:jc w:val="right"/>
              <w:ind w:right="212"/>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0" w:type="dxa"/>
            <w:vAlign w:val="bottom"/>
            <w:tcBorders>
              <w:bottom w:val="single" w:sz="8" w:color="0000EE"/>
            </w:tcBorders>
            <w:gridSpan w:val="17"/>
          </w:tcPr>
          <w:p>
            <w:pPr>
              <w:spacing w:after="0"/>
              <w:rPr>
                <w:rFonts w:ascii="Arial" w:cs="Arial" w:eastAsia="Arial" w:hAnsi="Arial"/>
                <w:sz w:val="18"/>
                <w:szCs w:val="18"/>
                <w:color w:val="0000EE"/>
                <w:w w:val="89"/>
              </w:rPr>
            </w:pPr>
            <w:hyperlink r:id="rId21">
              <w:r>
                <w:rPr>
                  <w:rFonts w:ascii="Arial" w:cs="Arial" w:eastAsia="Arial" w:hAnsi="Arial"/>
                  <w:sz w:val="18"/>
                  <w:szCs w:val="18"/>
                  <w:color w:val="0000EE"/>
                  <w:w w:val="89"/>
                </w:rPr>
                <w:t>Form of Amendment to Deposit Agreement among the Registrant, Deutsche Bank Trust Company Americas as depositary, and the</w:t>
              </w:r>
            </w:hyperlink>
          </w:p>
        </w:tc>
        <w:tc>
          <w:tcPr>
            <w:tcW w:w="220" w:type="dxa"/>
            <w:vAlign w:val="bottom"/>
            <w:gridSpan w:val="5"/>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22"/>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holders and beneficial owners of American depositary shares evidenced by American depositary receipts issued thereunder including</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the form of American Depositary Receipt (incorporated by reference to Exhibit 99.(A)(2) to the Registrant’s Registration Statement</w:t>
              </w:r>
            </w:hyperlink>
          </w:p>
        </w:tc>
        <w:tc>
          <w:tcPr>
            <w:tcW w:w="8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22"/>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on Form F-6EF (File No. 333-199491) filed by Deutsche Bank Trust Company Americas with the Commission on October 21, 2014)</w:t>
              </w:r>
            </w:hyperlink>
          </w:p>
        </w:tc>
      </w:tr>
      <w:tr>
        <w:trPr>
          <w:trHeight w:val="304"/>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0"/>
              </w:rPr>
              <w:t>Opinion of Travers Thorp Alberga, Cayman Islands counsel to the Registrant, regarding the legality of the Class A ordinary shares</w:t>
            </w:r>
          </w:p>
        </w:tc>
        <w:tc>
          <w:tcPr>
            <w:tcW w:w="200" w:type="dxa"/>
            <w:vAlign w:val="bottom"/>
            <w:tcBorders>
              <w:top w:val="single" w:sz="8" w:color="0000EE"/>
            </w:tcBorders>
            <w:gridSpan w:val="5"/>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being registered</w:t>
            </w:r>
          </w:p>
        </w:tc>
        <w:tc>
          <w:tcPr>
            <w:tcW w:w="8460" w:type="dxa"/>
            <w:vAlign w:val="bottom"/>
            <w:gridSpan w:val="21"/>
          </w:tcPr>
          <w:p>
            <w:pPr>
              <w:spacing w:after="0"/>
              <w:rPr>
                <w:sz w:val="17"/>
                <w:szCs w:val="17"/>
                <w:color w:val="auto"/>
              </w:rPr>
            </w:pPr>
          </w:p>
        </w:tc>
      </w:tr>
      <w:tr>
        <w:trPr>
          <w:trHeight w:val="304"/>
        </w:trPr>
        <w:tc>
          <w:tcPr>
            <w:tcW w:w="700" w:type="dxa"/>
            <w:vAlign w:val="bottom"/>
          </w:tcPr>
          <w:p>
            <w:pPr>
              <w:jc w:val="right"/>
              <w:ind w:right="212"/>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20" w:type="dxa"/>
            <w:vAlign w:val="bottom"/>
            <w:tcBorders>
              <w:bottom w:val="single" w:sz="8" w:color="0000EE"/>
            </w:tcBorders>
            <w:gridSpan w:val="15"/>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Vipshop Holdings Limited 2014 Share Incentive Plan (incorporated by reference to Exhibit 10.1 to the Registrant’s Registration</w:t>
              </w:r>
            </w:hyperlink>
          </w:p>
        </w:tc>
        <w:tc>
          <w:tcPr>
            <w:tcW w:w="400" w:type="dxa"/>
            <w:vAlign w:val="bottom"/>
            <w:gridSpan w:val="7"/>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22"/>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Statement on Form S-8, as amended, initially filed with the Commission on October 22, 2014)</w:t>
              </w:r>
            </w:hyperlink>
          </w:p>
        </w:tc>
      </w:tr>
      <w:tr>
        <w:trPr>
          <w:trHeight w:val="304"/>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9"/>
              </w:rPr>
              <w:t>Consent of Deloitte Touche Tohmatsu</w:t>
            </w:r>
          </w:p>
        </w:tc>
        <w:tc>
          <w:tcPr>
            <w:tcW w:w="4060" w:type="dxa"/>
            <w:vAlign w:val="bottom"/>
            <w:tcBorders>
              <w:top w:val="single" w:sz="8" w:color="0000EE"/>
            </w:tcBorders>
            <w:gridSpan w:val="6"/>
          </w:tcPr>
          <w:p>
            <w:pPr>
              <w:spacing w:after="0"/>
              <w:rPr>
                <w:sz w:val="24"/>
                <w:szCs w:val="24"/>
                <w:color w:val="auto"/>
              </w:rPr>
            </w:pPr>
          </w:p>
        </w:tc>
        <w:tc>
          <w:tcPr>
            <w:tcW w:w="2820" w:type="dxa"/>
            <w:vAlign w:val="bottom"/>
            <w:gridSpan w:val="12"/>
          </w:tcPr>
          <w:p>
            <w:pPr>
              <w:spacing w:after="0"/>
              <w:rPr>
                <w:sz w:val="24"/>
                <w:szCs w:val="24"/>
                <w:color w:val="auto"/>
              </w:rPr>
            </w:pPr>
          </w:p>
        </w:tc>
      </w:tr>
      <w:tr>
        <w:trPr>
          <w:trHeight w:val="304"/>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22"/>
          </w:tcPr>
          <w:p>
            <w:pPr>
              <w:spacing w:after="0"/>
              <w:rPr>
                <w:sz w:val="20"/>
                <w:szCs w:val="20"/>
                <w:color w:val="auto"/>
              </w:rPr>
            </w:pPr>
            <w:r>
              <w:rPr>
                <w:rFonts w:ascii="Arial" w:cs="Arial" w:eastAsia="Arial" w:hAnsi="Arial"/>
                <w:sz w:val="18"/>
                <w:szCs w:val="18"/>
                <w:color w:val="0000EE"/>
              </w:rPr>
              <w:t>Consent of Travers Thorp Alberga (included in Exhibit 5.1)</w:t>
            </w:r>
          </w:p>
        </w:tc>
      </w:tr>
      <w:tr>
        <w:trPr>
          <w:trHeight w:val="304"/>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98"/>
              </w:rPr>
              <w:t>Power of Attorney (included on signature page hereto)</w:t>
            </w:r>
          </w:p>
        </w:tc>
        <w:tc>
          <w:tcPr>
            <w:tcW w:w="5340" w:type="dxa"/>
            <w:vAlign w:val="bottom"/>
            <w:gridSpan w:val="16"/>
          </w:tcPr>
          <w:p>
            <w:pPr>
              <w:spacing w:after="0"/>
              <w:rPr>
                <w:sz w:val="24"/>
                <w:szCs w:val="24"/>
                <w:color w:val="auto"/>
              </w:rPr>
            </w:pPr>
          </w:p>
        </w:tc>
      </w:tr>
      <w:tr>
        <w:trPr>
          <w:trHeight w:val="304"/>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Filing Fee Table</w:t>
            </w:r>
          </w:p>
        </w:tc>
        <w:tc>
          <w:tcPr>
            <w:tcW w:w="5700" w:type="dxa"/>
            <w:vAlign w:val="bottom"/>
            <w:gridSpan w:val="17"/>
          </w:tcPr>
          <w:p>
            <w:pPr>
              <w:spacing w:after="0"/>
              <w:rPr>
                <w:sz w:val="24"/>
                <w:szCs w:val="24"/>
                <w:color w:val="auto"/>
              </w:rPr>
            </w:pPr>
          </w:p>
        </w:tc>
      </w:tr>
      <w:tr>
        <w:trPr>
          <w:trHeight w:val="169"/>
        </w:trPr>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7"/>
        </w:trPr>
        <w:tc>
          <w:tcPr>
            <w:tcW w:w="1340" w:type="dxa"/>
            <w:vAlign w:val="bottom"/>
            <w:gridSpan w:val="3"/>
          </w:tcPr>
          <w:p>
            <w:pPr>
              <w:spacing w:after="0"/>
              <w:rPr>
                <w:sz w:val="20"/>
                <w:szCs w:val="20"/>
                <w:color w:val="auto"/>
              </w:rPr>
            </w:pPr>
            <w:r>
              <w:rPr>
                <w:rFonts w:ascii="Arial" w:cs="Arial" w:eastAsia="Arial" w:hAnsi="Arial"/>
                <w:sz w:val="18"/>
                <w:szCs w:val="18"/>
                <w:color w:val="auto"/>
                <w:w w:val="98"/>
              </w:rPr>
              <w:t>*  Filed herewith.</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960"/>
          </w:cols>
          <w:pgMar w:left="440" w:top="48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Guangzhou, People’s Republic of China, on May 22, 2023.</w:t>
      </w:r>
    </w:p>
    <w:p>
      <w:pPr>
        <w:spacing w:after="0" w:line="207"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VIPSHOP HOLDINGS LIMITED</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Eric Ya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Eric Ya Shen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Chairman and Chief Executive Officer</w:t>
      </w:r>
    </w:p>
    <w:p>
      <w:pPr>
        <w:sectPr>
          <w:pgSz w:w="11900" w:h="16838" w:orient="portrait"/>
          <w:cols w:equalWidth="0" w:num="1">
            <w:col w:w="10660"/>
          </w:cols>
          <w:pgMar w:left="440" w:top="486" w:right="7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severally and not jointly, each of Eric Ya Shen and Arthur Xiaobo Hong, with full power to act alone, as his or her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each said attorney-in-fact full power and authority to do and perform each and every act and thing requisite and necessary to be done as fully to all intents and purposes as he or she might or could do in person, hereby ratifying and confirming all that each said attorney-in-fact may lawfully do or cause to be done by virtue hereof.</w:t>
      </w:r>
    </w:p>
    <w:p>
      <w:pPr>
        <w:spacing w:after="0" w:line="17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May 22,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Signature</w:t>
            </w:r>
          </w:p>
        </w:tc>
        <w:tc>
          <w:tcPr>
            <w:tcW w:w="230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18"/>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Ya Shen</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Eric Ya Shen</w:t>
            </w:r>
          </w:p>
        </w:tc>
        <w:tc>
          <w:tcPr>
            <w:tcW w:w="2300" w:type="dxa"/>
            <w:vAlign w:val="bottom"/>
          </w:tcPr>
          <w:p>
            <w:pPr>
              <w:spacing w:after="0"/>
              <w:rPr>
                <w:sz w:val="19"/>
                <w:szCs w:val="19"/>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3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Xiaobo Hong</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2"/>
              </w:rPr>
              <w:t>Vice Chairman and Chief Operating Officer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Arthur Xiaobo Hong</w:t>
            </w:r>
          </w:p>
        </w:tc>
        <w:tc>
          <w:tcPr>
            <w:tcW w:w="230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Chi Ping Lau</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Martin Chi Ping Lau</w:t>
            </w:r>
          </w:p>
        </w:tc>
        <w:tc>
          <w:tcPr>
            <w:tcW w:w="230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4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Jacky Yu Xu</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Jacky Yu Xu</w:t>
            </w:r>
          </w:p>
        </w:tc>
        <w:tc>
          <w:tcPr>
            <w:tcW w:w="230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Donghao Yang</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Donghao Yang</w:t>
            </w:r>
          </w:p>
        </w:tc>
        <w:tc>
          <w:tcPr>
            <w:tcW w:w="230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Chun Liu</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Chun Liu</w:t>
            </w:r>
          </w:p>
        </w:tc>
        <w:tc>
          <w:tcPr>
            <w:tcW w:w="230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4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Lin</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Frank Lin</w:t>
            </w:r>
          </w:p>
        </w:tc>
        <w:tc>
          <w:tcPr>
            <w:tcW w:w="230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Xing Liu</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Xing Liu</w:t>
            </w:r>
          </w:p>
        </w:tc>
        <w:tc>
          <w:tcPr>
            <w:tcW w:w="230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Chien</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Kathleen Chien</w:t>
            </w:r>
          </w:p>
        </w:tc>
        <w:tc>
          <w:tcPr>
            <w:tcW w:w="230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4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Nanyan Zheng</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Nanyan Zheng</w:t>
            </w:r>
          </w:p>
        </w:tc>
        <w:tc>
          <w:tcPr>
            <w:tcW w:w="230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Cui</w:t>
            </w:r>
          </w:p>
        </w:tc>
        <w:tc>
          <w:tcPr>
            <w:tcW w:w="23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David Cui</w:t>
            </w:r>
          </w:p>
        </w:tc>
        <w:tc>
          <w:tcPr>
            <w:tcW w:w="2300" w:type="dxa"/>
            <w:vAlign w:val="bottom"/>
          </w:tcPr>
          <w:p>
            <w:pPr>
              <w:spacing w:after="0"/>
              <w:rPr>
                <w:sz w:val="19"/>
                <w:szCs w:val="19"/>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020"/>
          </w:cols>
          <w:pgMar w:left="440" w:top="486"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 OF AUTHORIZED REPRESENTATIVE IN THE UNITED STATES</w:t>
      </w:r>
    </w:p>
    <w:p>
      <w:pPr>
        <w:spacing w:after="0" w:line="229"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Pursuant to the Securities Act of 1933, as amended, the undersigned, the duly authorized representative in the United States of Vipshop Holdings Limited, has signed this registration statement or amendment thereto in New York, New York, the United States on May 22, 2023.</w:t>
      </w:r>
    </w:p>
    <w:p>
      <w:pPr>
        <w:spacing w:after="0" w:line="16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Authorized U.S. Representative</w:t>
      </w:r>
    </w:p>
    <w:p>
      <w:pPr>
        <w:spacing w:after="0" w:line="25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COGENCY GLOBAL INC.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A. De Vries</w:t>
            </w:r>
          </w:p>
        </w:tc>
      </w:tr>
      <w:tr>
        <w:trPr>
          <w:trHeight w:val="218"/>
        </w:trPr>
        <w:tc>
          <w:tcPr>
            <w:tcW w:w="6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Colleen A. De Vries</w:t>
            </w:r>
          </w:p>
        </w:tc>
      </w:tr>
      <w:tr>
        <w:trPr>
          <w:trHeight w:val="220"/>
        </w:trPr>
        <w:tc>
          <w:tcPr>
            <w:tcW w:w="62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w w:val="93"/>
              </w:rPr>
              <w:t>Senior Vice-President on behalf of Cogency Global</w:t>
            </w:r>
          </w:p>
        </w:tc>
      </w:tr>
      <w:tr>
        <w:trPr>
          <w:trHeight w:val="230"/>
        </w:trPr>
        <w:tc>
          <w:tcPr>
            <w:tcW w:w="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w:t>
            </w:r>
          </w:p>
        </w:tc>
      </w:tr>
    </w:tbl>
    <w:p>
      <w:pPr>
        <w:sectPr>
          <w:pgSz w:w="11900" w:h="16838" w:orient="portrait"/>
          <w:cols w:equalWidth="0" w:num="1">
            <w:col w:w="11020"/>
          </w:cols>
          <w:pgMar w:left="440" w:top="486"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5483860</wp:posOffset>
            </wp:positionH>
            <wp:positionV relativeFrom="paragraph">
              <wp:posOffset>171450</wp:posOffset>
            </wp:positionV>
            <wp:extent cx="1508760" cy="900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5087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Office: </w:t>
      </w:r>
      <w:r>
        <w:rPr>
          <w:rFonts w:ascii="Arial" w:cs="Arial" w:eastAsia="Arial" w:hAnsi="Arial"/>
          <w:sz w:val="18"/>
          <w:szCs w:val="18"/>
          <w:color w:val="auto"/>
        </w:rPr>
        <w:t>+852 2801 6066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Mobile: </w:t>
      </w:r>
      <w:r>
        <w:rPr>
          <w:rFonts w:ascii="Arial" w:cs="Arial" w:eastAsia="Arial" w:hAnsi="Arial"/>
          <w:sz w:val="18"/>
          <w:szCs w:val="18"/>
          <w:color w:val="auto"/>
        </w:rPr>
        <w:t>+852 9718 8740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rthorp@tta.lawyer</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Vipshop Holdings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128 Dingxin Road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Haizhu District, Guangzhou 510220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People’s Republic of China</w:t>
      </w:r>
    </w:p>
    <w:p>
      <w:pPr>
        <w:spacing w:after="0" w:line="21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22 May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Vipshop Holdings Limited</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examined the Registration Statement on Form S-8 to be filed by Vipshop Holdings Limited, a Cayman Islands exempted company incorporated with limited liability (the “</w:t>
      </w:r>
      <w:r>
        <w:rPr>
          <w:rFonts w:ascii="Arial" w:cs="Arial" w:eastAsia="Arial" w:hAnsi="Arial"/>
          <w:sz w:val="17"/>
          <w:szCs w:val="17"/>
          <w:b w:val="1"/>
          <w:bCs w:val="1"/>
          <w:color w:val="auto"/>
        </w:rPr>
        <w:t>Registrant</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relating to the registration under the Securities Act of 1933, as amended, of an additional amount of 5,830,632 Class A ordinary shares that were automatically added to the then maximum aggregate number of shares issuable pursuant to the 2014 Share Incentive Plan adopted on 1 July 2014 (the “</w:t>
      </w:r>
      <w:r>
        <w:rPr>
          <w:rFonts w:ascii="Arial" w:cs="Arial" w:eastAsia="Arial" w:hAnsi="Arial"/>
          <w:sz w:val="17"/>
          <w:szCs w:val="17"/>
          <w:b w:val="1"/>
          <w:bCs w:val="1"/>
          <w:color w:val="auto"/>
        </w:rPr>
        <w:t>Plan</w:t>
      </w:r>
      <w:r>
        <w:rPr>
          <w:rFonts w:ascii="Arial" w:cs="Arial" w:eastAsia="Arial" w:hAnsi="Arial"/>
          <w:sz w:val="17"/>
          <w:szCs w:val="17"/>
          <w:color w:val="auto"/>
        </w:rPr>
        <w:t>”), effective 1 January 2021, 1 January 2022, and 1 January 2023, pursuant to the Plan’s evergreen provisions.</w:t>
      </w:r>
    </w:p>
    <w:p>
      <w:pPr>
        <w:spacing w:after="0" w:line="17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Cayman Islands counsel to the Registrant, we have examined the corporate authorisations of the Registrant in connection with the Plan and the issue of the Shares by the Registrant and have assumed that the Shares will be issued in accordance with the Plan and the board resolutions authorizing the issue dated 1 July 2014 and the minutes of a meeting of the shareholders dated 15 September 2014 pursuant to which the shareholders of the Company resolved that all shares issued under the Plan shall be class A ordinary shares of the Company.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is our opinion that the Shares to be issued by the Registrant have been duly and validly authorised, and when issued, sold and paid for in the manner described in the Plan and in accordance with the relevant resolutions adopted by the Board of Directors of the Registrant (or any committee to whom the Board of Directors have delegated their powers with respect to administration of the Plan) and when appropriate entries have been made in the Register of Members of the Registrant, will be legally issued, fully paid and nonassessable.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in the Registration Statement and any amendments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TRAVERS THORP ALBERGA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160020</wp:posOffset>
            </wp:positionV>
            <wp:extent cx="1937385"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937385" cy="65151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April 19, 2023, relating to the financial statements and the financial statement schedule of Vipshop Holdings Limited and the effectiveness of Vipshop Holdings Limited’s internal control over financial reporting appearing in the annual report on Form 20-F of Vipshop Holdings Limited for the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Deloitte Touche Tohmatsu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107</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Calculation of Filing Fee Table</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Form S-8</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Vipshop Holdings Limited</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8"/>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Maximum</w:t>
            </w:r>
          </w:p>
        </w:tc>
        <w:tc>
          <w:tcPr>
            <w:tcW w:w="106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5"/>
              </w:rPr>
              <w:t>Maximum</w:t>
            </w: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9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w:t>
            </w:r>
          </w:p>
        </w:tc>
        <w:tc>
          <w:tcPr>
            <w:tcW w:w="10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79"/>
              </w:rPr>
              <w:t>Class</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Amount</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75"/>
        </w:trPr>
        <w:tc>
          <w:tcPr>
            <w:tcW w:w="88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3"/>
                <w:szCs w:val="13"/>
                <w:color w:val="auto"/>
                <w:w w:val="88"/>
              </w:rPr>
              <w:t>Security Type</w:t>
            </w:r>
          </w:p>
        </w:tc>
        <w:tc>
          <w:tcPr>
            <w:tcW w:w="13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6"/>
              </w:rPr>
              <w:t>Title</w:t>
            </w:r>
            <w:r>
              <w:rPr>
                <w:rFonts w:ascii="Arial" w:cs="Arial" w:eastAsia="Arial" w:hAnsi="Arial"/>
                <w:sz w:val="18"/>
                <w:szCs w:val="18"/>
                <w:color w:val="auto"/>
                <w:w w:val="86"/>
                <w:vertAlign w:val="superscript"/>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9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5"/>
              </w:rPr>
              <w:t>Registered</w:t>
            </w:r>
            <w:r>
              <w:rPr>
                <w:rFonts w:ascii="Arial" w:cs="Arial" w:eastAsia="Arial" w:hAnsi="Arial"/>
                <w:sz w:val="18"/>
                <w:szCs w:val="18"/>
                <w:color w:val="auto"/>
                <w:w w:val="85"/>
                <w:vertAlign w:val="superscript"/>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0" w:type="dxa"/>
            <w:vAlign w:val="bottom"/>
          </w:tcPr>
          <w:p>
            <w:pPr>
              <w:spacing w:after="0"/>
              <w:rPr>
                <w:sz w:val="1"/>
                <w:szCs w:val="1"/>
                <w:color w:val="auto"/>
              </w:rPr>
            </w:pPr>
          </w:p>
        </w:tc>
      </w:tr>
      <w:tr>
        <w:trPr>
          <w:trHeight w:val="209"/>
        </w:trPr>
        <w:tc>
          <w:tcPr>
            <w:tcW w:w="880" w:type="dxa"/>
            <w:vAlign w:val="bottom"/>
            <w:tcBorders>
              <w:left w:val="single" w:sz="8" w:color="auto"/>
              <w:right w:val="single" w:sz="8" w:color="auto"/>
            </w:tcBorders>
          </w:tcPr>
          <w:p>
            <w:pPr>
              <w:jc w:val="center"/>
              <w:ind w:left="39"/>
              <w:spacing w:after="0"/>
              <w:rPr>
                <w:sz w:val="20"/>
                <w:szCs w:val="20"/>
                <w:color w:val="auto"/>
              </w:rPr>
            </w:pPr>
            <w:r>
              <w:rPr>
                <w:rFonts w:ascii="Arial" w:cs="Arial" w:eastAsia="Arial" w:hAnsi="Arial"/>
                <w:sz w:val="18"/>
                <w:szCs w:val="18"/>
                <w:color w:val="auto"/>
                <w:w w:val="95"/>
              </w:rPr>
              <w:t>Equity</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Class A ordinary</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par value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Rule 457(c)</w:t>
            </w: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US$0.0001 per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and Rule</w:t>
            </w: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Borders>
              <w:left w:val="single" w:sz="8" w:color="auto"/>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98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2,695,751</w:t>
            </w:r>
            <w:r>
              <w:rPr>
                <w:rFonts w:ascii="Arial" w:cs="Arial" w:eastAsia="Arial" w:hAnsi="Arial"/>
                <w:sz w:val="26"/>
                <w:szCs w:val="26"/>
                <w:color w:val="auto"/>
                <w:w w:val="86"/>
                <w:vertAlign w:val="superscript"/>
              </w:rPr>
              <w:t>(3)</w:t>
            </w:r>
          </w:p>
        </w:tc>
        <w:tc>
          <w:tcPr>
            <w:tcW w:w="74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$74.60</w:t>
            </w:r>
            <w:r>
              <w:rPr>
                <w:rFonts w:ascii="Arial" w:cs="Arial" w:eastAsia="Arial" w:hAnsi="Arial"/>
                <w:sz w:val="26"/>
                <w:szCs w:val="26"/>
                <w:color w:val="auto"/>
                <w:w w:val="86"/>
                <w:vertAlign w:val="superscript"/>
              </w:rPr>
              <w:t>(3)</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$201,103,024.60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$22,161.55</w:t>
            </w:r>
          </w:p>
        </w:tc>
        <w:tc>
          <w:tcPr>
            <w:tcW w:w="0" w:type="dxa"/>
            <w:vAlign w:val="bottom"/>
          </w:tcPr>
          <w:p>
            <w:pPr>
              <w:spacing w:after="0"/>
              <w:rPr>
                <w:sz w:val="1"/>
                <w:szCs w:val="1"/>
                <w:color w:val="auto"/>
              </w:rPr>
            </w:pPr>
          </w:p>
        </w:tc>
      </w:tr>
      <w:tr>
        <w:trPr>
          <w:trHeight w:val="209"/>
        </w:trPr>
        <w:tc>
          <w:tcPr>
            <w:tcW w:w="880" w:type="dxa"/>
            <w:vAlign w:val="bottom"/>
            <w:tcBorders>
              <w:left w:val="single" w:sz="8" w:color="auto"/>
              <w:right w:val="single" w:sz="8" w:color="auto"/>
            </w:tcBorders>
          </w:tcPr>
          <w:p>
            <w:pPr>
              <w:jc w:val="center"/>
              <w:ind w:left="39"/>
              <w:spacing w:after="0"/>
              <w:rPr>
                <w:sz w:val="20"/>
                <w:szCs w:val="20"/>
                <w:color w:val="auto"/>
              </w:rPr>
            </w:pPr>
            <w:r>
              <w:rPr>
                <w:rFonts w:ascii="Arial" w:cs="Arial" w:eastAsia="Arial" w:hAnsi="Arial"/>
                <w:sz w:val="18"/>
                <w:szCs w:val="18"/>
                <w:color w:val="auto"/>
                <w:w w:val="95"/>
              </w:rPr>
              <w:t>Equity</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Class A ordinary</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par value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Rule 457(c)</w:t>
            </w: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US$0.0001 per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and Rule</w:t>
            </w: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98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6"/>
              </w:rPr>
              <w:t>3,134,881</w:t>
            </w:r>
            <w:r>
              <w:rPr>
                <w:rFonts w:ascii="Arial" w:cs="Arial" w:eastAsia="Arial" w:hAnsi="Arial"/>
                <w:sz w:val="26"/>
                <w:szCs w:val="26"/>
                <w:color w:val="auto"/>
                <w:w w:val="86"/>
                <w:vertAlign w:val="superscript"/>
              </w:rPr>
              <w:t>(4)</w:t>
            </w:r>
          </w:p>
        </w:tc>
        <w:tc>
          <w:tcPr>
            <w:tcW w:w="74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6"/>
              </w:rPr>
              <w:t>$74.60</w:t>
            </w:r>
            <w:r>
              <w:rPr>
                <w:rFonts w:ascii="Arial" w:cs="Arial" w:eastAsia="Arial" w:hAnsi="Arial"/>
                <w:sz w:val="26"/>
                <w:szCs w:val="26"/>
                <w:color w:val="auto"/>
                <w:w w:val="86"/>
                <w:vertAlign w:val="superscript"/>
              </w:rPr>
              <w:t>(5)</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$233,862,122.60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$25,771.61</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2"/>
              </w:rPr>
              <w:t>Total Offering</w:t>
            </w: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Amounts</w:t>
            </w: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$434,965,147.20</w:t>
            </w:r>
          </w:p>
        </w:tc>
        <w:tc>
          <w:tcPr>
            <w:tcW w:w="10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$47,933.16</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2360" w:type="dxa"/>
            <w:vAlign w:val="bottom"/>
            <w:gridSpan w:val="2"/>
          </w:tcPr>
          <w:p>
            <w:pPr>
              <w:jc w:val="center"/>
              <w:ind w:left="156"/>
              <w:spacing w:after="0"/>
              <w:rPr>
                <w:sz w:val="20"/>
                <w:szCs w:val="20"/>
                <w:color w:val="auto"/>
              </w:rPr>
            </w:pPr>
            <w:r>
              <w:rPr>
                <w:rFonts w:ascii="Arial" w:cs="Arial" w:eastAsia="Arial" w:hAnsi="Arial"/>
                <w:sz w:val="18"/>
                <w:szCs w:val="18"/>
                <w:color w:val="auto"/>
                <w:w w:val="89"/>
              </w:rPr>
              <w:t>Total Fee Offsets</w:t>
            </w:r>
          </w:p>
        </w:tc>
        <w:tc>
          <w:tcPr>
            <w:tcW w:w="98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
        </w:trPr>
        <w:tc>
          <w:tcPr>
            <w:tcW w:w="88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 w:type="dxa"/>
            <w:vAlign w:val="bottom"/>
            <w:tcBorders>
              <w:left w:val="single" w:sz="8" w:color="auto"/>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center"/>
              <w:ind w:left="156"/>
              <w:spacing w:after="0"/>
              <w:rPr>
                <w:sz w:val="20"/>
                <w:szCs w:val="20"/>
                <w:color w:val="auto"/>
              </w:rPr>
            </w:pPr>
            <w:r>
              <w:rPr>
                <w:rFonts w:ascii="Arial" w:cs="Arial" w:eastAsia="Arial" w:hAnsi="Arial"/>
                <w:sz w:val="18"/>
                <w:szCs w:val="18"/>
                <w:color w:val="auto"/>
                <w:w w:val="90"/>
              </w:rPr>
              <w:t>Net Fee Due</w:t>
            </w: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$47,933.16</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444" w:hanging="444"/>
        <w:spacing w:after="0" w:line="238" w:lineRule="auto"/>
        <w:tabs>
          <w:tab w:leader="none" w:pos="444"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shares may be represented by the Registrant’s American depositary shares (“ADSs”), each representing 0.2 Class A ordinary shares of the Registrant. The Registrant’s ADSs issuable upon deposit of the Class A ordinary shares registered hereby have been registered under a separate registration statements on Form F-6 (File No. 333-180029 and File No. 333-199491).</w:t>
      </w:r>
    </w:p>
    <w:p>
      <w:pPr>
        <w:spacing w:after="0" w:line="88" w:lineRule="exact"/>
        <w:rPr>
          <w:rFonts w:ascii="Arial" w:cs="Arial" w:eastAsia="Arial" w:hAnsi="Arial"/>
          <w:sz w:val="14"/>
          <w:szCs w:val="14"/>
          <w:color w:val="auto"/>
        </w:rPr>
      </w:pPr>
    </w:p>
    <w:p>
      <w:pPr>
        <w:jc w:val="both"/>
        <w:ind w:left="444" w:hanging="444"/>
        <w:spacing w:after="0" w:line="231" w:lineRule="auto"/>
        <w:tabs>
          <w:tab w:leader="none" w:pos="444"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additional Class A ordinary shares registered hereby, issuable pursuant to the awards granted under the Vipshop Holdings Limited 2014 Share Incentive Plan (the “2014 Plan”). In accordance with Rule 416(a) under the Securities Act of 1933, as amended (the “Securities Act”), this registration statement shall be deemed to cover any additional shares that may be offered and issued to prevent dilution resulting from stock splits, stock dividends or similar transactions as provided in the 2014 Plan. Any Class A ordinary shares covered by an award granted under the 2014 Plan (or portion of an award) that terminates, expires or lapses for any reason will be deemed not to have been issued for purposes of determining the maximum aggregate number of ordinary shares that may be issued under the 2014 Plan.</w:t>
      </w:r>
    </w:p>
    <w:p>
      <w:pPr>
        <w:spacing w:after="0" w:line="89" w:lineRule="exact"/>
        <w:rPr>
          <w:rFonts w:ascii="Arial" w:cs="Arial" w:eastAsia="Arial" w:hAnsi="Arial"/>
          <w:sz w:val="14"/>
          <w:szCs w:val="14"/>
          <w:color w:val="auto"/>
        </w:rPr>
      </w:pPr>
    </w:p>
    <w:p>
      <w:pPr>
        <w:jc w:val="both"/>
        <w:ind w:left="444" w:hanging="444"/>
        <w:spacing w:after="0" w:line="233" w:lineRule="auto"/>
        <w:tabs>
          <w:tab w:leader="none" w:pos="444"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underlying restricted shares granted under the 2014 Plan in connection with the additional Class A ordinary shares of the Company registered hereby and the corresponding proposed maximum offering price per share is estimated solely for the purpose of calculating the registration fee in accordance with Rule 457(c) and Rule 457(h) of the Securities Act based on US$14.92 per ADS, the average of the high and low prices of the Registrant’s ADSs as quoted on the New York Stock Exchange on May 19, 2023, adjusted for ADS to Class A ordinary shares ratio.</w:t>
      </w:r>
    </w:p>
    <w:p>
      <w:pPr>
        <w:spacing w:after="0" w:line="90" w:lineRule="exact"/>
        <w:rPr>
          <w:rFonts w:ascii="Arial" w:cs="Arial" w:eastAsia="Arial" w:hAnsi="Arial"/>
          <w:sz w:val="14"/>
          <w:szCs w:val="14"/>
          <w:color w:val="auto"/>
        </w:rPr>
      </w:pPr>
    </w:p>
    <w:p>
      <w:pPr>
        <w:jc w:val="both"/>
        <w:ind w:left="444" w:hanging="444"/>
        <w:spacing w:after="0" w:line="255" w:lineRule="auto"/>
        <w:tabs>
          <w:tab w:leader="none" w:pos="4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Represents Class A ordinary shares reserved for future award grants under the 2014 Plan. Pursuant to Rule 416(a) under the Securities Act, this registration statement also covers an indeterminate number of additional shares which may be offered and issued to prevent dilution from share splits, share dividends or similar transactions as provided in the 2014 Plan. Any Class A ordinary shares covered by an award granted under the 2014 Plan (or portion of an award) that terminates, expires or lapses for any reason will be deemed not to have been issued for purposes of determining the maximum aggregate number of ordinary shares that may be issued under the 2014 Plan.</w:t>
      </w:r>
    </w:p>
    <w:p>
      <w:pPr>
        <w:spacing w:after="0" w:line="80" w:lineRule="exact"/>
        <w:rPr>
          <w:rFonts w:ascii="Arial" w:cs="Arial" w:eastAsia="Arial" w:hAnsi="Arial"/>
          <w:sz w:val="13"/>
          <w:szCs w:val="13"/>
          <w:color w:val="auto"/>
        </w:rPr>
      </w:pPr>
    </w:p>
    <w:p>
      <w:pPr>
        <w:jc w:val="both"/>
        <w:ind w:left="444" w:hanging="444"/>
        <w:spacing w:after="0" w:line="238" w:lineRule="auto"/>
        <w:tabs>
          <w:tab w:leader="none" w:pos="444"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proposed maximum offering price per share is estimated solely for the purposes of calculating the registration fee under Rule 457(c) and Rule 457(h) under the Securities Act based on US$14.92 per ADS, the average of the high and low prices for the Registrant’s ADSs as quoted on the New York Stock Exchange on May 19, 2023, adjusted for ADS to Class A ordinary shares ratio.</w:t>
      </w:r>
    </w:p>
    <w:sectPr>
      <w:pgSz w:w="11900" w:h="16838" w:orient="portrait"/>
      <w:cols w:equalWidth="0" w:num="1">
        <w:col w:w="11024"/>
      </w:cols>
      <w:pgMar w:left="436"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png"/><Relationship Id="rId16" Type="http://schemas.openxmlformats.org/officeDocument/2006/relationships/hyperlink" Target="http://www.sec.gov/ix?doc=/Archives/edgar/data/1529192/000119312523106425/d434757d20f.htm" TargetMode="External"/><Relationship Id="rId17" Type="http://schemas.openxmlformats.org/officeDocument/2006/relationships/hyperlink" Target="http://www.sec.gov/Archives/edgar/data/1529192/000119312512107264/d315923d8a12b.htm" TargetMode="External"/><Relationship Id="rId18" Type="http://schemas.openxmlformats.org/officeDocument/2006/relationships/hyperlink" Target="http://www.sec.gov/Archives/edgar/data/1529192/000119312521118506/d69437dex12.htm" TargetMode="External"/><Relationship Id="rId19" Type="http://schemas.openxmlformats.org/officeDocument/2006/relationships/hyperlink" Target="http://www.sec.gov/Archives/edgar/data/1529192/000110465914072950/a14-22481_1ex4d2.htm" TargetMode="External"/><Relationship Id="rId20" Type="http://schemas.openxmlformats.org/officeDocument/2006/relationships/hyperlink" Target="http://www.sec.gov/Archives/edgar/data/1529192/000119312512240835/d356043dex43.htm" TargetMode="External"/><Relationship Id="rId21" Type="http://schemas.openxmlformats.org/officeDocument/2006/relationships/hyperlink" Target="http://www.sec.gov/Archives/edgar/data/1471515/000119380514001990/e612780_ex99-a2.htm" TargetMode="External"/><Relationship Id="rId22" Type="http://schemas.openxmlformats.org/officeDocument/2006/relationships/hyperlink" Target="http://www.sec.gov/Archives/edgar/data/1529192/000110465914072950/a14-22481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2023-05-22T08:28:40Z</dcterms:created>
  <dcterms:modified xsi:type="dcterms:W3CDTF">2023-05-22T08:28:40Z</dcterms:modified>
</cp:coreProperties>
</file>