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102870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5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53975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9"/>
          <w:szCs w:val="9"/>
          <w:b w:val="1"/>
          <w:bCs w:val="1"/>
          <w:color w:val="auto"/>
        </w:rPr>
        <w:t>(Mark One)</w:t>
      </w:r>
    </w:p>
    <w:p>
      <w:pPr>
        <w:spacing w:after="0" w:line="13" w:lineRule="exact"/>
        <w:rPr>
          <w:sz w:val="24"/>
          <w:szCs w:val="24"/>
          <w:color w:val="auto"/>
        </w:rPr>
      </w:pPr>
    </w:p>
    <w:p>
      <w:pPr>
        <w:jc w:val="right"/>
        <w:ind w:left="5050" w:right="5040" w:hanging="5046"/>
        <w:spacing w:after="0" w:line="301" w:lineRule="auto"/>
        <w:tabs>
          <w:tab w:leader="none" w:pos="305" w:val="left"/>
        </w:tabs>
        <w:numPr>
          <w:ilvl w:val="1"/>
          <w:numId w:val="1"/>
        </w:numPr>
        <w:rPr>
          <w:rFonts w:ascii="MS PGothic" w:cs="MS PGothic" w:eastAsia="MS PGothic" w:hAnsi="MS PGothic"/>
          <w:sz w:val="8"/>
          <w:szCs w:val="8"/>
          <w:color w:val="auto"/>
          <w:highlight w:val="black"/>
        </w:rPr>
      </w:pPr>
      <w:r>
        <w:rPr>
          <w:rFonts w:ascii="Times New Roman" w:cs="Times New Roman" w:eastAsia="Times New Roman" w:hAnsi="Times New Roman"/>
          <w:sz w:val="8"/>
          <w:szCs w:val="8"/>
          <w:b w:val="1"/>
          <w:bCs w:val="1"/>
          <w:color w:val="auto"/>
        </w:rPr>
        <w:t>REGISTRATION STATEMENT PURSUANT TO SECTION 12(b) OR (g) OF THE SECURITIES EXCHANGE ACT OF 1934 OR</w:t>
      </w:r>
    </w:p>
    <w:p>
      <w:pPr>
        <w:spacing w:after="0" w:line="118" w:lineRule="exact"/>
        <w:rPr>
          <w:rFonts w:ascii="MS PGothic" w:cs="MS PGothic" w:eastAsia="MS PGothic" w:hAnsi="MS PGothic"/>
          <w:sz w:val="8"/>
          <w:szCs w:val="8"/>
          <w:color w:val="auto"/>
          <w:highlight w:val="black"/>
        </w:rPr>
      </w:pPr>
    </w:p>
    <w:p>
      <w:pPr>
        <w:ind w:left="290" w:hanging="290"/>
        <w:spacing w:after="0"/>
        <w:tabs>
          <w:tab w:leader="none" w:pos="290" w:val="left"/>
        </w:tabs>
        <w:numPr>
          <w:ilvl w:val="0"/>
          <w:numId w:val="1"/>
        </w:numPr>
        <w:rPr>
          <w:rFonts w:ascii="MS PGothic" w:cs="MS PGothic" w:eastAsia="MS PGothic" w:hAnsi="MS PGothic"/>
          <w:sz w:val="9"/>
          <w:szCs w:val="9"/>
          <w:color w:val="auto"/>
          <w:highlight w:val="black"/>
        </w:rPr>
      </w:pPr>
      <w:r>
        <w:rPr>
          <w:rFonts w:ascii="Times New Roman" w:cs="Times New Roman" w:eastAsia="Times New Roman" w:hAnsi="Times New Roman"/>
          <w:sz w:val="9"/>
          <w:szCs w:val="9"/>
          <w:b w:val="1"/>
          <w:bCs w:val="1"/>
          <w:color w:val="auto"/>
        </w:rPr>
        <w:t>ANNUAL REPORT PURSUANT TO SECTION 13 OR 15(d) OF THE SECURITIES EXCHANGE ACT OF 1934</w:t>
      </w:r>
    </w:p>
    <w:p>
      <w:pPr>
        <w:spacing w:after="0" w:line="29" w:lineRule="exact"/>
        <w:rPr>
          <w:sz w:val="24"/>
          <w:szCs w:val="24"/>
          <w:color w:val="auto"/>
        </w:rPr>
      </w:pPr>
    </w:p>
    <w:p>
      <w:pPr>
        <w:ind w:left="4430"/>
        <w:spacing w:after="0"/>
        <w:rPr>
          <w:sz w:val="20"/>
          <w:szCs w:val="20"/>
          <w:color w:val="auto"/>
        </w:rPr>
      </w:pPr>
      <w:r>
        <w:rPr>
          <w:rFonts w:ascii="Times New Roman" w:cs="Times New Roman" w:eastAsia="Times New Roman" w:hAnsi="Times New Roman"/>
          <w:sz w:val="9"/>
          <w:szCs w:val="9"/>
          <w:b w:val="1"/>
          <w:bCs w:val="1"/>
          <w:color w:val="auto"/>
        </w:rPr>
        <w:t>For the fiscal year ended December 31, 2025</w:t>
      </w:r>
    </w:p>
    <w:p>
      <w:pPr>
        <w:spacing w:after="0" w:line="48" w:lineRule="exact"/>
        <w:rPr>
          <w:sz w:val="24"/>
          <w:szCs w:val="24"/>
          <w:color w:val="auto"/>
        </w:rPr>
      </w:pPr>
    </w:p>
    <w:p>
      <w:pPr>
        <w:ind w:left="5050"/>
        <w:spacing w:after="0"/>
        <w:rPr>
          <w:sz w:val="20"/>
          <w:szCs w:val="20"/>
          <w:color w:val="auto"/>
        </w:rPr>
      </w:pPr>
      <w:r>
        <w:rPr>
          <w:rFonts w:ascii="Times New Roman" w:cs="Times New Roman" w:eastAsia="Times New Roman" w:hAnsi="Times New Roman"/>
          <w:sz w:val="9"/>
          <w:szCs w:val="9"/>
          <w:b w:val="1"/>
          <w:bCs w:val="1"/>
          <w:color w:val="auto"/>
        </w:rPr>
        <w:t>OR</w:t>
      </w:r>
    </w:p>
    <w:p>
      <w:pPr>
        <w:spacing w:after="0" w:line="18"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9"/>
          <w:szCs w:val="9"/>
          <w:color w:val="auto"/>
          <w:highlight w:val="black"/>
        </w:rPr>
      </w:pPr>
      <w:r>
        <w:rPr>
          <w:rFonts w:ascii="Times New Roman" w:cs="Times New Roman" w:eastAsia="Times New Roman" w:hAnsi="Times New Roman"/>
          <w:sz w:val="9"/>
          <w:szCs w:val="9"/>
          <w:b w:val="1"/>
          <w:bCs w:val="1"/>
          <w:color w:val="auto"/>
        </w:rPr>
        <w:t>TRANSITION REPORT PURSUANT TO SECTION 13 OR 15(d) OF THE SECURITIES EXCHANGE ACT OF 1934</w:t>
      </w:r>
    </w:p>
    <w:p>
      <w:pPr>
        <w:spacing w:after="0" w:line="29" w:lineRule="exact"/>
        <w:rPr>
          <w:sz w:val="24"/>
          <w:szCs w:val="24"/>
          <w:color w:val="auto"/>
        </w:rPr>
      </w:pPr>
    </w:p>
    <w:p>
      <w:pPr>
        <w:ind w:left="4470"/>
        <w:spacing w:after="0"/>
        <w:tabs>
          <w:tab w:leader="none" w:pos="5990" w:val="left"/>
        </w:tabs>
        <w:rPr>
          <w:sz w:val="20"/>
          <w:szCs w:val="20"/>
          <w:color w:val="auto"/>
        </w:rPr>
      </w:pPr>
      <w:r>
        <w:rPr>
          <w:rFonts w:ascii="Times New Roman" w:cs="Times New Roman" w:eastAsia="Times New Roman" w:hAnsi="Times New Roman"/>
          <w:sz w:val="9"/>
          <w:szCs w:val="9"/>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4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9"/>
          <w:szCs w:val="9"/>
          <w:b w:val="1"/>
          <w:bCs w:val="1"/>
          <w:color w:val="auto"/>
        </w:rPr>
        <w:t>OR</w:t>
      </w:r>
    </w:p>
    <w:p>
      <w:pPr>
        <w:spacing w:after="0" w:line="32" w:lineRule="exact"/>
        <w:rPr>
          <w:sz w:val="24"/>
          <w:szCs w:val="24"/>
          <w:color w:val="auto"/>
        </w:rPr>
      </w:pPr>
    </w:p>
    <w:p>
      <w:pPr>
        <w:ind w:left="290" w:hanging="290"/>
        <w:spacing w:after="0"/>
        <w:tabs>
          <w:tab w:leader="none" w:pos="290" w:val="left"/>
        </w:tabs>
        <w:numPr>
          <w:ilvl w:val="0"/>
          <w:numId w:val="3"/>
        </w:numPr>
        <w:rPr>
          <w:rFonts w:ascii="MS PGothic" w:cs="MS PGothic" w:eastAsia="MS PGothic" w:hAnsi="MS PGothic"/>
          <w:sz w:val="9"/>
          <w:szCs w:val="9"/>
          <w:color w:val="auto"/>
          <w:highlight w:val="black"/>
        </w:rPr>
      </w:pPr>
      <w:r>
        <w:rPr>
          <w:rFonts w:ascii="Times New Roman" w:cs="Times New Roman" w:eastAsia="Times New Roman" w:hAnsi="Times New Roman"/>
          <w:sz w:val="9"/>
          <w:szCs w:val="9"/>
          <w:b w:val="1"/>
          <w:bCs w:val="1"/>
          <w:color w:val="auto"/>
        </w:rPr>
        <w:t>SHELL COMPANY REPORT PURSUANT TO SECTION 13 OR 15(d) OF THE SECURITIES EXCHANGE ACT OF 1934</w:t>
      </w:r>
    </w:p>
    <w:p>
      <w:pPr>
        <w:spacing w:after="0" w:line="15" w:lineRule="exact"/>
        <w:rPr>
          <w:sz w:val="24"/>
          <w:szCs w:val="24"/>
          <w:color w:val="auto"/>
        </w:rPr>
      </w:pPr>
    </w:p>
    <w:p>
      <w:pPr>
        <w:ind w:left="4330"/>
        <w:spacing w:after="0"/>
        <w:rPr>
          <w:sz w:val="20"/>
          <w:szCs w:val="20"/>
          <w:color w:val="auto"/>
        </w:rPr>
      </w:pPr>
      <w:r>
        <w:rPr>
          <w:rFonts w:ascii="Times New Roman" w:cs="Times New Roman" w:eastAsia="Times New Roman" w:hAnsi="Times New Roman"/>
          <w:sz w:val="9"/>
          <w:szCs w:val="9"/>
          <w:b w:val="1"/>
          <w:bCs w:val="1"/>
          <w:color w:val="auto"/>
        </w:rPr>
        <w:t>Date of event requiring this shell company report</w:t>
      </w:r>
    </w:p>
    <w:p>
      <w:pPr>
        <w:spacing w:after="0" w:line="61" w:lineRule="exact"/>
        <w:rPr>
          <w:sz w:val="24"/>
          <w:szCs w:val="24"/>
          <w:color w:val="auto"/>
        </w:rPr>
      </w:pPr>
    </w:p>
    <w:p>
      <w:pPr>
        <w:ind w:left="4410"/>
        <w:spacing w:after="0"/>
        <w:rPr>
          <w:sz w:val="20"/>
          <w:szCs w:val="20"/>
          <w:color w:val="auto"/>
        </w:rPr>
      </w:pPr>
      <w:r>
        <w:rPr>
          <w:rFonts w:ascii="Times New Roman" w:cs="Times New Roman" w:eastAsia="Times New Roman" w:hAnsi="Times New Roman"/>
          <w:sz w:val="9"/>
          <w:szCs w:val="9"/>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35560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5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Vipshop Holdings Limited</w:t>
      </w:r>
    </w:p>
    <w:p>
      <w:pPr>
        <w:spacing w:after="0" w:line="2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9"/>
          <w:szCs w:val="9"/>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27940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9"/>
          <w:szCs w:val="9"/>
          <w:b w:val="1"/>
          <w:bCs w:val="1"/>
          <w:color w:val="auto"/>
        </w:rPr>
        <w:t>N/A</w:t>
      </w:r>
    </w:p>
    <w:p>
      <w:pPr>
        <w:spacing w:after="0" w:line="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7"/>
          <w:szCs w:val="7"/>
          <w:color w:val="auto"/>
        </w:rPr>
        <w:t>(Translation of Registrant’s Name into English)</w:t>
      </w:r>
    </w:p>
    <w:p>
      <w:pPr>
        <w:spacing w:after="0" w:line="5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9"/>
          <w:szCs w:val="9"/>
          <w:b w:val="1"/>
          <w:bCs w:val="1"/>
          <w:color w:val="auto"/>
        </w:rPr>
        <w:t>Cayman Islands</w:t>
      </w:r>
    </w:p>
    <w:p>
      <w:pPr>
        <w:spacing w:after="0" w:line="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7"/>
          <w:szCs w:val="7"/>
          <w:color w:val="auto"/>
        </w:rPr>
        <w:t>(Jurisdiction of Incorporation or Organization)</w:t>
      </w:r>
    </w:p>
    <w:p>
      <w:pPr>
        <w:spacing w:after="0" w:line="5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9"/>
          <w:szCs w:val="9"/>
          <w:b w:val="1"/>
          <w:bCs w:val="1"/>
          <w:color w:val="auto"/>
        </w:rPr>
        <w:t>128 Dingxin Road</w:t>
      </w:r>
    </w:p>
    <w:p>
      <w:pPr>
        <w:jc w:val="center"/>
        <w:ind w:right="-9"/>
        <w:spacing w:after="0" w:line="226" w:lineRule="auto"/>
        <w:rPr>
          <w:sz w:val="20"/>
          <w:szCs w:val="20"/>
          <w:color w:val="auto"/>
        </w:rPr>
      </w:pPr>
      <w:r>
        <w:rPr>
          <w:rFonts w:ascii="Times New Roman" w:cs="Times New Roman" w:eastAsia="Times New Roman" w:hAnsi="Times New Roman"/>
          <w:sz w:val="9"/>
          <w:szCs w:val="9"/>
          <w:b w:val="1"/>
          <w:bCs w:val="1"/>
          <w:color w:val="auto"/>
        </w:rPr>
        <w:t>Haizhu District, Guangzhou 510220</w:t>
      </w:r>
    </w:p>
    <w:p>
      <w:pPr>
        <w:jc w:val="center"/>
        <w:ind w:right="-9"/>
        <w:spacing w:after="0" w:line="219" w:lineRule="auto"/>
        <w:rPr>
          <w:sz w:val="20"/>
          <w:szCs w:val="20"/>
          <w:color w:val="auto"/>
        </w:rPr>
      </w:pPr>
      <w:r>
        <w:rPr>
          <w:rFonts w:ascii="Times New Roman" w:cs="Times New Roman" w:eastAsia="Times New Roman" w:hAnsi="Times New Roman"/>
          <w:sz w:val="9"/>
          <w:szCs w:val="9"/>
          <w:b w:val="1"/>
          <w:bCs w:val="1"/>
          <w:color w:val="auto"/>
        </w:rPr>
        <w:t>People’s Republic of China</w:t>
      </w:r>
    </w:p>
    <w:p>
      <w:pPr>
        <w:jc w:val="center"/>
        <w:ind w:right="-9"/>
        <w:spacing w:after="0"/>
        <w:rPr>
          <w:sz w:val="20"/>
          <w:szCs w:val="20"/>
          <w:color w:val="auto"/>
        </w:rPr>
      </w:pPr>
      <w:r>
        <w:rPr>
          <w:rFonts w:ascii="Times New Roman" w:cs="Times New Roman" w:eastAsia="Times New Roman" w:hAnsi="Times New Roman"/>
          <w:sz w:val="9"/>
          <w:szCs w:val="9"/>
          <w:color w:val="auto"/>
        </w:rPr>
        <w:t>(Address of Principal Executive Offices)</w:t>
      </w:r>
    </w:p>
    <w:p>
      <w:pPr>
        <w:spacing w:after="0" w:line="6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9"/>
          <w:szCs w:val="9"/>
          <w:b w:val="1"/>
          <w:bCs w:val="1"/>
          <w:color w:val="auto"/>
        </w:rPr>
        <w:t>Mark Wang, Chief Financial Officer</w:t>
      </w:r>
    </w:p>
    <w:p>
      <w:pPr>
        <w:jc w:val="center"/>
        <w:ind w:right="-9"/>
        <w:spacing w:after="0" w:line="226" w:lineRule="auto"/>
        <w:rPr>
          <w:sz w:val="20"/>
          <w:szCs w:val="20"/>
          <w:color w:val="auto"/>
        </w:rPr>
      </w:pPr>
      <w:r>
        <w:rPr>
          <w:rFonts w:ascii="Times New Roman" w:cs="Times New Roman" w:eastAsia="Times New Roman" w:hAnsi="Times New Roman"/>
          <w:sz w:val="9"/>
          <w:szCs w:val="9"/>
          <w:b w:val="1"/>
          <w:bCs w:val="1"/>
          <w:color w:val="auto"/>
        </w:rPr>
        <w:t>Vipshop Holdings Limited 128 Dingxin Road</w:t>
      </w:r>
    </w:p>
    <w:p>
      <w:pPr>
        <w:jc w:val="center"/>
        <w:ind w:right="-9"/>
        <w:spacing w:after="0" w:line="219" w:lineRule="auto"/>
        <w:rPr>
          <w:sz w:val="20"/>
          <w:szCs w:val="20"/>
          <w:color w:val="auto"/>
        </w:rPr>
      </w:pPr>
      <w:r>
        <w:rPr>
          <w:rFonts w:ascii="Times New Roman" w:cs="Times New Roman" w:eastAsia="Times New Roman" w:hAnsi="Times New Roman"/>
          <w:sz w:val="9"/>
          <w:szCs w:val="9"/>
          <w:b w:val="1"/>
          <w:bCs w:val="1"/>
          <w:color w:val="auto"/>
        </w:rPr>
        <w:t>Haizhu District, Guangzhou 510220</w:t>
      </w:r>
    </w:p>
    <w:p>
      <w:pPr>
        <w:jc w:val="center"/>
        <w:ind w:right="-9"/>
        <w:spacing w:after="0" w:line="219" w:lineRule="auto"/>
        <w:rPr>
          <w:sz w:val="20"/>
          <w:szCs w:val="20"/>
          <w:color w:val="auto"/>
        </w:rPr>
      </w:pPr>
      <w:r>
        <w:rPr>
          <w:rFonts w:ascii="Times New Roman" w:cs="Times New Roman" w:eastAsia="Times New Roman" w:hAnsi="Times New Roman"/>
          <w:sz w:val="9"/>
          <w:szCs w:val="9"/>
          <w:b w:val="1"/>
          <w:bCs w:val="1"/>
          <w:color w:val="auto"/>
        </w:rPr>
        <w:t>People’s Republic of China</w:t>
      </w:r>
    </w:p>
    <w:p>
      <w:pPr>
        <w:jc w:val="center"/>
        <w:ind w:right="-9"/>
        <w:spacing w:after="0" w:line="219" w:lineRule="auto"/>
        <w:rPr>
          <w:sz w:val="20"/>
          <w:szCs w:val="20"/>
          <w:color w:val="auto"/>
        </w:rPr>
      </w:pPr>
      <w:r>
        <w:rPr>
          <w:rFonts w:ascii="Times New Roman" w:cs="Times New Roman" w:eastAsia="Times New Roman" w:hAnsi="Times New Roman"/>
          <w:sz w:val="9"/>
          <w:szCs w:val="9"/>
          <w:b w:val="1"/>
          <w:bCs w:val="1"/>
          <w:color w:val="auto"/>
        </w:rPr>
        <w:t>Telephone: +86 (20) 2233-0025</w:t>
      </w:r>
    </w:p>
    <w:p>
      <w:pPr>
        <w:jc w:val="center"/>
        <w:ind w:right="-9"/>
        <w:spacing w:after="0" w:line="225" w:lineRule="auto"/>
        <w:rPr>
          <w:sz w:val="20"/>
          <w:szCs w:val="20"/>
          <w:color w:val="auto"/>
        </w:rPr>
      </w:pPr>
      <w:r>
        <w:rPr>
          <w:rFonts w:ascii="Times New Roman" w:cs="Times New Roman" w:eastAsia="Times New Roman" w:hAnsi="Times New Roman"/>
          <w:sz w:val="9"/>
          <w:szCs w:val="9"/>
          <w:b w:val="1"/>
          <w:bCs w:val="1"/>
          <w:color w:val="auto"/>
        </w:rPr>
        <w:t>Facsimile: +86 (20) 2233-0111</w:t>
      </w:r>
    </w:p>
    <w:p>
      <w:pPr>
        <w:jc w:val="center"/>
        <w:ind w:right="-9"/>
        <w:spacing w:after="0"/>
        <w:rPr>
          <w:sz w:val="20"/>
          <w:szCs w:val="20"/>
          <w:color w:val="auto"/>
        </w:rPr>
      </w:pPr>
      <w:r>
        <w:rPr>
          <w:rFonts w:ascii="Times New Roman" w:cs="Times New Roman" w:eastAsia="Times New Roman" w:hAnsi="Times New Roman"/>
          <w:sz w:val="7"/>
          <w:szCs w:val="7"/>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32385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0"/>
          <w:szCs w:val="10"/>
          <w:color w:val="auto"/>
        </w:rPr>
        <w:t>Securities registered or to be registered pursuant to Section 12(b) of the Act:</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106"/>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Title of Each Class</w:t>
            </w:r>
          </w:p>
        </w:tc>
        <w:tc>
          <w:tcPr>
            <w:tcW w:w="200" w:type="dxa"/>
            <w:vAlign w:val="bottom"/>
          </w:tcPr>
          <w:p>
            <w:pPr>
              <w:ind w:left="40"/>
              <w:spacing w:after="0"/>
              <w:rPr>
                <w:sz w:val="20"/>
                <w:szCs w:val="20"/>
                <w:color w:val="auto"/>
              </w:rPr>
            </w:pPr>
            <w:r>
              <w:rPr>
                <w:rFonts w:ascii="Times New Roman" w:cs="Times New Roman" w:eastAsia="Times New Roman" w:hAnsi="Times New Roman"/>
                <w:sz w:val="9"/>
                <w:szCs w:val="9"/>
                <w:b w:val="1"/>
                <w:bCs w:val="1"/>
                <w:color w:val="auto"/>
              </w:rPr>
              <w:t>​​​</w:t>
            </w: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8"/>
              </w:rPr>
              <w:t>Trading Symbol</w:t>
            </w:r>
          </w:p>
        </w:tc>
        <w:tc>
          <w:tcPr>
            <w:tcW w:w="200" w:type="dxa"/>
            <w:vAlign w:val="bottom"/>
          </w:tcPr>
          <w:p>
            <w:pPr>
              <w:ind w:left="100"/>
              <w:spacing w:after="0"/>
              <w:rPr>
                <w:sz w:val="20"/>
                <w:szCs w:val="20"/>
                <w:color w:val="auto"/>
              </w:rPr>
            </w:pPr>
            <w:r>
              <w:rPr>
                <w:rFonts w:ascii="Times New Roman" w:cs="Times New Roman" w:eastAsia="Times New Roman" w:hAnsi="Times New Roman"/>
                <w:sz w:val="9"/>
                <w:szCs w:val="9"/>
                <w:b w:val="1"/>
                <w:bCs w:val="1"/>
                <w:color w:val="auto"/>
              </w:rPr>
              <w:t>​​​</w:t>
            </w: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Name of Each Exchange on Which Registered</w:t>
            </w:r>
          </w:p>
        </w:tc>
      </w:tr>
      <w:tr>
        <w:trPr>
          <w:trHeight w:val="77"/>
        </w:trPr>
        <w:tc>
          <w:tcPr>
            <w:tcW w:w="326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American depositary shares, each representing 0.2 Class A ordinary shares, par</w:t>
            </w:r>
          </w:p>
        </w:tc>
        <w:tc>
          <w:tcPr>
            <w:tcW w:w="200" w:type="dxa"/>
            <w:vAlign w:val="bottom"/>
          </w:tcPr>
          <w:p>
            <w:pPr>
              <w:spacing w:after="0"/>
              <w:rPr>
                <w:sz w:val="6"/>
                <w:szCs w:val="6"/>
                <w:color w:val="auto"/>
              </w:rPr>
            </w:pPr>
          </w:p>
        </w:tc>
        <w:tc>
          <w:tcPr>
            <w:tcW w:w="328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VIPS</w:t>
            </w:r>
          </w:p>
        </w:tc>
        <w:tc>
          <w:tcPr>
            <w:tcW w:w="200" w:type="dxa"/>
            <w:vAlign w:val="bottom"/>
          </w:tcPr>
          <w:p>
            <w:pPr>
              <w:spacing w:after="0"/>
              <w:rPr>
                <w:sz w:val="6"/>
                <w:szCs w:val="6"/>
                <w:color w:val="auto"/>
              </w:rPr>
            </w:pPr>
          </w:p>
        </w:tc>
        <w:tc>
          <w:tcPr>
            <w:tcW w:w="328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New York Stock Exchange</w:t>
            </w:r>
          </w:p>
        </w:tc>
      </w:tr>
      <w:tr>
        <w:trPr>
          <w:trHeight w:val="118"/>
        </w:trPr>
        <w:tc>
          <w:tcPr>
            <w:tcW w:w="32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value US$0.0001 per share</w:t>
            </w:r>
          </w:p>
        </w:tc>
        <w:tc>
          <w:tcPr>
            <w:tcW w:w="2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80" w:type="dxa"/>
            <w:vAlign w:val="bottom"/>
          </w:tcPr>
          <w:p>
            <w:pPr>
              <w:spacing w:after="0"/>
              <w:rPr>
                <w:sz w:val="10"/>
                <w:szCs w:val="10"/>
                <w:color w:val="auto"/>
              </w:rPr>
            </w:pPr>
          </w:p>
        </w:tc>
      </w:tr>
      <w:tr>
        <w:trPr>
          <w:trHeight w:val="189"/>
        </w:trPr>
        <w:tc>
          <w:tcPr>
            <w:tcW w:w="32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Class A ordinary shares, par value US$0.0001 per share*</w:t>
            </w:r>
          </w:p>
        </w:tc>
        <w:tc>
          <w:tcPr>
            <w:tcW w:w="2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0" w:lineRule="exact"/>
        <w:rPr>
          <w:sz w:val="24"/>
          <w:szCs w:val="24"/>
          <w:color w:val="auto"/>
        </w:rPr>
      </w:pPr>
    </w:p>
    <w:p>
      <w:pPr>
        <w:ind w:left="10" w:right="5580" w:hanging="10"/>
        <w:spacing w:after="0" w:line="389" w:lineRule="auto"/>
        <w:tabs>
          <w:tab w:leader="none" w:pos="334"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Not for trading, but only in connection with the listing of American depositary shares on the New York Stock Exchange. Securities registered or to be registered pursuant to Section 12(g) of the Act:</w:t>
      </w:r>
    </w:p>
    <w:p>
      <w:pPr>
        <w:jc w:val="center"/>
        <w:ind w:right="-9"/>
        <w:spacing w:after="0"/>
        <w:rPr>
          <w:sz w:val="20"/>
          <w:szCs w:val="20"/>
          <w:color w:val="auto"/>
        </w:rPr>
      </w:pPr>
      <w:r>
        <w:rPr>
          <w:rFonts w:ascii="Times New Roman" w:cs="Times New Roman" w:eastAsia="Times New Roman" w:hAnsi="Times New Roman"/>
          <w:sz w:val="9"/>
          <w:szCs w:val="9"/>
          <w:b w:val="1"/>
          <w:bCs w:val="1"/>
          <w:color w:val="auto"/>
        </w:rPr>
        <w:t>None</w:t>
      </w:r>
    </w:p>
    <w:p>
      <w:pPr>
        <w:spacing w:after="0" w:line="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9"/>
          <w:szCs w:val="9"/>
          <w:color w:val="auto"/>
        </w:rPr>
        <w:t>(Title of Class)</w:t>
      </w:r>
    </w:p>
    <w:p>
      <w:pPr>
        <w:spacing w:after="0" w:line="4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9"/>
          <w:szCs w:val="9"/>
          <w:color w:val="auto"/>
        </w:rPr>
        <w:t>Securities for which there is a reporting obligation pursuant to Section 15(d) of the Act:</w:t>
      </w:r>
    </w:p>
    <w:p>
      <w:pPr>
        <w:spacing w:after="0" w:line="7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9"/>
          <w:szCs w:val="9"/>
          <w:b w:val="1"/>
          <w:bCs w:val="1"/>
          <w:color w:val="auto"/>
        </w:rPr>
        <w:t>None</w:t>
      </w:r>
    </w:p>
    <w:p>
      <w:pPr>
        <w:spacing w:after="0" w:line="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9"/>
          <w:szCs w:val="9"/>
          <w:color w:val="auto"/>
        </w:rPr>
        <w:t>(Title of Class)</w:t>
      </w:r>
    </w:p>
    <w:p>
      <w:pPr>
        <w:spacing w:after="0" w:line="3" w:lineRule="exact"/>
        <w:rPr>
          <w:sz w:val="24"/>
          <w:szCs w:val="24"/>
          <w:color w:val="auto"/>
        </w:rPr>
      </w:pPr>
    </w:p>
    <w:p>
      <w:pPr>
        <w:ind w:left="10" w:right="60"/>
        <w:spacing w:after="0" w:line="234" w:lineRule="auto"/>
        <w:rPr>
          <w:sz w:val="20"/>
          <w:szCs w:val="20"/>
          <w:color w:val="auto"/>
        </w:rPr>
      </w:pPr>
      <w:r>
        <w:rPr>
          <w:rFonts w:ascii="Times New Roman" w:cs="Times New Roman" w:eastAsia="Times New Roman" w:hAnsi="Times New Roman"/>
          <w:sz w:val="9"/>
          <w:szCs w:val="9"/>
          <w:color w:val="auto"/>
        </w:rPr>
        <w:t>Indicate the number of outstanding shares of each of the issuer’s classes of capital or common stock as of the close of the period covered by the annual report: 80,208,937 Class A ordinary shares, par value US$0.0001 per share, and 15,560,358 Class B ordinary shares, par value US$ 0.0001 per share, as of December 31, 2025.</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9"/>
          <w:szCs w:val="9"/>
          <w:color w:val="auto"/>
        </w:rPr>
        <w:t>Indicate by check mark if the registrant is a well-known seasoned issuer, as defined in Rule 405 of the Securities Act.</w:t>
      </w:r>
    </w:p>
    <w:p>
      <w:pPr>
        <w:ind w:left="9770"/>
        <w:spacing w:after="0" w:line="92" w:lineRule="exact"/>
        <w:rPr>
          <w:sz w:val="20"/>
          <w:szCs w:val="20"/>
          <w:color w:val="auto"/>
        </w:rPr>
      </w:pPr>
      <w:r>
        <w:rPr>
          <w:rFonts w:ascii="MS PGothic" w:cs="MS PGothic" w:eastAsia="MS PGothic" w:hAnsi="MS PGothic"/>
          <w:sz w:val="8"/>
          <w:szCs w:val="8"/>
          <w:color w:val="auto"/>
        </w:rPr>
        <w:t>☒</w:t>
      </w:r>
      <w:r>
        <w:rPr>
          <w:rFonts w:ascii="Times New Roman" w:cs="Times New Roman" w:eastAsia="Times New Roman" w:hAnsi="Times New Roman"/>
          <w:sz w:val="8"/>
          <w:szCs w:val="8"/>
          <w:color w:val="auto"/>
        </w:rPr>
        <w:t xml:space="preserve"> Yes </w:t>
      </w:r>
      <w:r>
        <w:rPr>
          <w:rFonts w:ascii="MS PGothic" w:cs="MS PGothic" w:eastAsia="MS PGothic" w:hAnsi="MS PGothic"/>
          <w:sz w:val="8"/>
          <w:szCs w:val="8"/>
          <w:color w:val="auto"/>
        </w:rPr>
        <w:t>☐</w:t>
      </w:r>
      <w:r>
        <w:rPr>
          <w:rFonts w:ascii="Times New Roman" w:cs="Times New Roman" w:eastAsia="Times New Roman" w:hAnsi="Times New Roman"/>
          <w:sz w:val="8"/>
          <w:szCs w:val="8"/>
          <w:color w:val="auto"/>
        </w:rPr>
        <w:t xml:space="preserve"> No</w:t>
      </w:r>
    </w:p>
    <w:p>
      <w:pPr>
        <w:spacing w:after="0" w:line="7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9"/>
          <w:szCs w:val="9"/>
          <w:color w:val="auto"/>
        </w:rPr>
        <w:t>If this report is an annual or transition report, indicate by check mark if the registrant is not required to file reports pursuant to Section 13 or 15(d) of the Securities Exchange Act of 1934.</w:t>
      </w:r>
    </w:p>
    <w:p>
      <w:pPr>
        <w:spacing w:after="0" w:line="53" w:lineRule="exact"/>
        <w:rPr>
          <w:sz w:val="24"/>
          <w:szCs w:val="24"/>
          <w:color w:val="auto"/>
        </w:rPr>
      </w:pPr>
    </w:p>
    <w:p>
      <w:pPr>
        <w:jc w:val="right"/>
        <w:spacing w:after="0" w:line="104" w:lineRule="exact"/>
        <w:rPr>
          <w:sz w:val="20"/>
          <w:szCs w:val="20"/>
          <w:color w:val="auto"/>
        </w:rPr>
      </w:pP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w:t>
      </w:r>
    </w:p>
    <w:p>
      <w:pPr>
        <w:spacing w:after="0" w:line="13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9"/>
          <w:szCs w:val="9"/>
          <w:color w:val="auto"/>
        </w:rPr>
        <w:t>Note—Checking the box above will not relieve any registrant required to file reports pursuant to Section 13 or 15(d) of the Securities Exchange Act of 1934 from their obligations under those Sections.</w:t>
      </w:r>
    </w:p>
    <w:p>
      <w:pPr>
        <w:spacing w:after="0" w:line="59" w:lineRule="exact"/>
        <w:rPr>
          <w:sz w:val="24"/>
          <w:szCs w:val="24"/>
          <w:color w:val="auto"/>
        </w:rPr>
      </w:pPr>
    </w:p>
    <w:p>
      <w:pPr>
        <w:ind w:left="10" w:right="120"/>
        <w:spacing w:after="0" w:line="248" w:lineRule="auto"/>
        <w:rPr>
          <w:sz w:val="20"/>
          <w:szCs w:val="20"/>
          <w:color w:val="auto"/>
        </w:rPr>
      </w:pPr>
      <w:r>
        <w:rPr>
          <w:rFonts w:ascii="Times New Roman" w:cs="Times New Roman" w:eastAsia="Times New Roman" w:hAnsi="Times New Roman"/>
          <w:sz w:val="9"/>
          <w:szCs w:val="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7" w:lineRule="exact"/>
        <w:rPr>
          <w:sz w:val="24"/>
          <w:szCs w:val="24"/>
          <w:color w:val="auto"/>
        </w:rPr>
      </w:pPr>
    </w:p>
    <w:p>
      <w:pPr>
        <w:ind w:left="9730"/>
        <w:spacing w:after="0" w:line="104" w:lineRule="exact"/>
        <w:rPr>
          <w:sz w:val="20"/>
          <w:szCs w:val="20"/>
          <w:color w:val="auto"/>
        </w:rPr>
      </w:pP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w:t>
      </w:r>
    </w:p>
    <w:p>
      <w:pPr>
        <w:spacing w:after="0" w:line="118" w:lineRule="exact"/>
        <w:rPr>
          <w:sz w:val="24"/>
          <w:szCs w:val="24"/>
          <w:color w:val="auto"/>
        </w:rPr>
      </w:pPr>
    </w:p>
    <w:p>
      <w:pPr>
        <w:ind w:left="10"/>
        <w:spacing w:after="0" w:line="248" w:lineRule="auto"/>
        <w:rPr>
          <w:sz w:val="20"/>
          <w:szCs w:val="20"/>
          <w:color w:val="auto"/>
        </w:rPr>
      </w:pPr>
      <w:r>
        <w:rPr>
          <w:rFonts w:ascii="Times New Roman" w:cs="Times New Roman" w:eastAsia="Times New Roman" w:hAnsi="Times New Roman"/>
          <w:sz w:val="9"/>
          <w:szCs w:val="9"/>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7" w:lineRule="exact"/>
        <w:rPr>
          <w:sz w:val="24"/>
          <w:szCs w:val="24"/>
          <w:color w:val="auto"/>
        </w:rPr>
      </w:pPr>
    </w:p>
    <w:p>
      <w:pPr>
        <w:ind w:left="9710"/>
        <w:spacing w:after="0" w:line="104" w:lineRule="exact"/>
        <w:rPr>
          <w:sz w:val="20"/>
          <w:szCs w:val="20"/>
          <w:color w:val="auto"/>
        </w:rPr>
      </w:pP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w:t>
      </w:r>
    </w:p>
    <w:p>
      <w:pPr>
        <w:spacing w:after="0" w:line="13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9"/>
          <w:szCs w:val="9"/>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123"/>
        </w:trPr>
        <w:tc>
          <w:tcPr>
            <w:tcW w:w="1960" w:type="dxa"/>
            <w:vAlign w:val="bottom"/>
          </w:tcPr>
          <w:p>
            <w:pPr>
              <w:spacing w:after="0"/>
              <w:rPr>
                <w:sz w:val="20"/>
                <w:szCs w:val="20"/>
                <w:color w:val="auto"/>
              </w:rPr>
            </w:pPr>
            <w:r>
              <w:rPr>
                <w:rFonts w:ascii="Times New Roman" w:cs="Times New Roman" w:eastAsia="Times New Roman" w:hAnsi="Times New Roman"/>
                <w:sz w:val="9"/>
                <w:szCs w:val="9"/>
                <w:color w:val="auto"/>
              </w:rPr>
              <w:t>Large Accelerated Filer</w:t>
            </w:r>
          </w:p>
        </w:tc>
        <w:tc>
          <w:tcPr>
            <w:tcW w:w="2980" w:type="dxa"/>
            <w:vAlign w:val="bottom"/>
          </w:tcPr>
          <w:p>
            <w:pPr>
              <w:ind w:left="1100"/>
              <w:spacing w:after="0" w:line="91" w:lineRule="exact"/>
              <w:rPr>
                <w:sz w:val="20"/>
                <w:szCs w:val="20"/>
                <w:color w:val="auto"/>
              </w:rPr>
            </w:pPr>
            <w:r>
              <w:rPr>
                <w:rFonts w:ascii="MS PGothic" w:cs="MS PGothic" w:eastAsia="MS PGothic" w:hAnsi="MS PGothic"/>
                <w:sz w:val="9"/>
                <w:szCs w:val="9"/>
                <w:color w:val="auto"/>
              </w:rPr>
              <w:t>☒</w:t>
            </w:r>
          </w:p>
        </w:tc>
        <w:tc>
          <w:tcPr>
            <w:tcW w:w="4000" w:type="dxa"/>
            <w:vAlign w:val="bottom"/>
          </w:tcPr>
          <w:p>
            <w:pPr>
              <w:ind w:left="1780"/>
              <w:spacing w:after="0"/>
              <w:rPr>
                <w:sz w:val="20"/>
                <w:szCs w:val="20"/>
                <w:color w:val="auto"/>
              </w:rPr>
            </w:pPr>
            <w:r>
              <w:rPr>
                <w:rFonts w:ascii="Times New Roman" w:cs="Times New Roman" w:eastAsia="Times New Roman" w:hAnsi="Times New Roman"/>
                <w:sz w:val="9"/>
                <w:szCs w:val="9"/>
                <w:color w:val="auto"/>
              </w:rPr>
              <w:t>Accelerated Filer</w:t>
            </w:r>
          </w:p>
        </w:tc>
        <w:tc>
          <w:tcPr>
            <w:tcW w:w="1260" w:type="dxa"/>
            <w:vAlign w:val="bottom"/>
          </w:tcPr>
          <w:p>
            <w:pPr>
              <w:ind w:left="1180"/>
              <w:spacing w:after="0" w:line="81" w:lineRule="exact"/>
              <w:rPr>
                <w:sz w:val="20"/>
                <w:szCs w:val="20"/>
                <w:color w:val="auto"/>
              </w:rPr>
            </w:pPr>
            <w:r>
              <w:rPr>
                <w:rFonts w:ascii="MS PGothic" w:cs="MS PGothic" w:eastAsia="MS PGothic" w:hAnsi="MS PGothic"/>
                <w:sz w:val="8"/>
                <w:szCs w:val="8"/>
                <w:color w:val="auto"/>
                <w:w w:val="74"/>
              </w:rPr>
              <w:t>☐</w:t>
            </w:r>
          </w:p>
        </w:tc>
      </w:tr>
      <w:tr>
        <w:trPr>
          <w:trHeight w:val="149"/>
        </w:trPr>
        <w:tc>
          <w:tcPr>
            <w:tcW w:w="1960" w:type="dxa"/>
            <w:vAlign w:val="bottom"/>
          </w:tcPr>
          <w:p>
            <w:pPr>
              <w:spacing w:after="0"/>
              <w:rPr>
                <w:sz w:val="20"/>
                <w:szCs w:val="20"/>
                <w:color w:val="auto"/>
              </w:rPr>
            </w:pPr>
            <w:r>
              <w:rPr>
                <w:rFonts w:ascii="Times New Roman" w:cs="Times New Roman" w:eastAsia="Times New Roman" w:hAnsi="Times New Roman"/>
                <w:sz w:val="9"/>
                <w:szCs w:val="9"/>
                <w:color w:val="auto"/>
              </w:rPr>
              <w:t>Non-Accelerated Filer</w:t>
            </w:r>
          </w:p>
        </w:tc>
        <w:tc>
          <w:tcPr>
            <w:tcW w:w="2980" w:type="dxa"/>
            <w:vAlign w:val="bottom"/>
          </w:tcPr>
          <w:p>
            <w:pPr>
              <w:ind w:left="1100"/>
              <w:spacing w:after="0" w:line="91" w:lineRule="exact"/>
              <w:rPr>
                <w:sz w:val="20"/>
                <w:szCs w:val="20"/>
                <w:color w:val="auto"/>
              </w:rPr>
            </w:pPr>
            <w:r>
              <w:rPr>
                <w:rFonts w:ascii="MS PGothic" w:cs="MS PGothic" w:eastAsia="MS PGothic" w:hAnsi="MS PGothic"/>
                <w:sz w:val="9"/>
                <w:szCs w:val="9"/>
                <w:color w:val="auto"/>
              </w:rPr>
              <w:t>☐</w:t>
            </w:r>
          </w:p>
        </w:tc>
        <w:tc>
          <w:tcPr>
            <w:tcW w:w="4000" w:type="dxa"/>
            <w:vAlign w:val="bottom"/>
          </w:tcPr>
          <w:p>
            <w:pPr>
              <w:ind w:left="1780"/>
              <w:spacing w:after="0"/>
              <w:rPr>
                <w:sz w:val="20"/>
                <w:szCs w:val="20"/>
                <w:color w:val="auto"/>
              </w:rPr>
            </w:pPr>
            <w:r>
              <w:rPr>
                <w:rFonts w:ascii="Times New Roman" w:cs="Times New Roman" w:eastAsia="Times New Roman" w:hAnsi="Times New Roman"/>
                <w:sz w:val="9"/>
                <w:szCs w:val="9"/>
                <w:color w:val="auto"/>
              </w:rPr>
              <w:t>Emerging Growth Company</w:t>
            </w:r>
          </w:p>
        </w:tc>
        <w:tc>
          <w:tcPr>
            <w:tcW w:w="1260" w:type="dxa"/>
            <w:vAlign w:val="bottom"/>
          </w:tcPr>
          <w:p>
            <w:pPr>
              <w:ind w:left="118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44" w:lineRule="exact"/>
        <w:rPr>
          <w:sz w:val="24"/>
          <w:szCs w:val="24"/>
          <w:color w:val="auto"/>
        </w:rPr>
      </w:pPr>
    </w:p>
    <w:p>
      <w:pPr>
        <w:jc w:val="both"/>
        <w:ind w:left="10" w:right="20"/>
        <w:spacing w:after="0" w:line="226" w:lineRule="auto"/>
        <w:rPr>
          <w:sz w:val="20"/>
          <w:szCs w:val="20"/>
          <w:color w:val="auto"/>
        </w:rPr>
      </w:pPr>
      <w:r>
        <w:rPr>
          <w:rFonts w:ascii="Times New Roman" w:cs="Times New Roman" w:eastAsia="Times New Roman" w:hAnsi="Times New Roman"/>
          <w:sz w:val="9"/>
          <w:szCs w:val="9"/>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0150"/>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53340</wp:posOffset>
            </wp:positionV>
            <wp:extent cx="162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14" w:lineRule="exact"/>
        <w:rPr>
          <w:sz w:val="24"/>
          <w:szCs w:val="24"/>
          <w:color w:val="auto"/>
        </w:rPr>
      </w:pPr>
    </w:p>
    <w:p>
      <w:pPr>
        <w:ind w:left="330" w:hanging="330"/>
        <w:spacing w:after="0"/>
        <w:tabs>
          <w:tab w:leader="none" w:pos="330" w:val="left"/>
        </w:tabs>
        <w:numPr>
          <w:ilvl w:val="0"/>
          <w:numId w:val="5"/>
        </w:numPr>
        <w:rPr>
          <w:rFonts w:ascii="Times New Roman" w:cs="Times New Roman" w:eastAsia="Times New Roman" w:hAnsi="Times New Roman"/>
          <w:sz w:val="7"/>
          <w:szCs w:val="7"/>
          <w:color w:val="auto"/>
        </w:rPr>
      </w:pPr>
      <w:r>
        <w:rPr>
          <w:rFonts w:ascii="Times New Roman" w:cs="Times New Roman" w:eastAsia="Times New Roman" w:hAnsi="Times New Roman"/>
          <w:sz w:val="7"/>
          <w:szCs w:val="7"/>
          <w:color w:val="auto"/>
        </w:rPr>
        <w:t>The term “new or revised financial accounting standard” refers to any update issued by the Financial Accounting Standards Board to its Accounting Standards Codification after April 5, 2012.</w:t>
      </w:r>
    </w:p>
    <w:p>
      <w:pPr>
        <w:spacing w:after="0" w:line="64" w:lineRule="exact"/>
        <w:rPr>
          <w:sz w:val="24"/>
          <w:szCs w:val="24"/>
          <w:color w:val="auto"/>
        </w:rPr>
      </w:pPr>
    </w:p>
    <w:p>
      <w:pPr>
        <w:ind w:left="10" w:right="400"/>
        <w:spacing w:after="0" w:line="226" w:lineRule="auto"/>
        <w:rPr>
          <w:sz w:val="20"/>
          <w:szCs w:val="20"/>
          <w:color w:val="auto"/>
        </w:rPr>
      </w:pPr>
      <w:r>
        <w:rPr>
          <w:rFonts w:ascii="Times New Roman" w:cs="Times New Roman" w:eastAsia="Times New Roman" w:hAnsi="Times New Roman"/>
          <w:sz w:val="9"/>
          <w:szCs w:val="9"/>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10150"/>
        <w:spacing w:after="0" w:line="81" w:lineRule="exact"/>
        <w:rPr>
          <w:sz w:val="20"/>
          <w:szCs w:val="20"/>
          <w:color w:val="auto"/>
        </w:rPr>
      </w:pPr>
      <w:r>
        <w:rPr>
          <w:rFonts w:ascii="MS PGothic" w:cs="MS PGothic" w:eastAsia="MS PGothic" w:hAnsi="MS PGothic"/>
          <w:sz w:val="8"/>
          <w:szCs w:val="8"/>
          <w:color w:val="auto"/>
        </w:rPr>
        <w:t>☒</w:t>
      </w:r>
    </w:p>
    <w:p>
      <w:pPr>
        <w:spacing w:after="0" w:line="100" w:lineRule="exact"/>
        <w:rPr>
          <w:sz w:val="24"/>
          <w:szCs w:val="24"/>
          <w:color w:val="auto"/>
        </w:rPr>
      </w:pPr>
    </w:p>
    <w:p>
      <w:pPr>
        <w:ind w:left="10"/>
        <w:spacing w:after="0"/>
        <w:rPr>
          <w:sz w:val="20"/>
          <w:szCs w:val="20"/>
          <w:color w:val="auto"/>
        </w:rPr>
      </w:pPr>
      <w:r>
        <w:rPr>
          <w:rFonts w:ascii="Times New Roman" w:cs="Times New Roman" w:eastAsia="Times New Roman" w:hAnsi="Times New Roman"/>
          <w:sz w:val="9"/>
          <w:szCs w:val="9"/>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left="10150"/>
        <w:spacing w:after="0" w:line="81" w:lineRule="exact"/>
        <w:rPr>
          <w:sz w:val="20"/>
          <w:szCs w:val="20"/>
          <w:color w:val="auto"/>
        </w:rPr>
      </w:pPr>
      <w:r>
        <w:rPr>
          <w:rFonts w:ascii="MS PGothic" w:cs="MS PGothic" w:eastAsia="MS PGothic" w:hAnsi="MS PGothic"/>
          <w:sz w:val="8"/>
          <w:szCs w:val="8"/>
          <w:color w:val="auto"/>
        </w:rPr>
        <w:t>☐</w:t>
      </w:r>
    </w:p>
    <w:p>
      <w:pPr>
        <w:spacing w:after="0" w:line="8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9"/>
          <w:szCs w:val="9"/>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ind w:left="10150"/>
        <w:spacing w:after="0" w:line="81" w:lineRule="exact"/>
        <w:rPr>
          <w:sz w:val="20"/>
          <w:szCs w:val="20"/>
          <w:color w:val="auto"/>
        </w:rPr>
      </w:pPr>
      <w:r>
        <w:rPr>
          <w:rFonts w:ascii="MS PGothic" w:cs="MS PGothic" w:eastAsia="MS PGothic" w:hAnsi="MS PGothic"/>
          <w:sz w:val="8"/>
          <w:szCs w:val="8"/>
          <w:color w:val="auto"/>
        </w:rPr>
        <w:t>☐</w:t>
      </w:r>
    </w:p>
    <w:p>
      <w:pPr>
        <w:sectPr>
          <w:pgSz w:w="11900" w:h="16838" w:orient="portrait"/>
          <w:cols w:equalWidth="0" w:num="1">
            <w:col w:w="10230"/>
          </w:cols>
          <w:pgMar w:left="830" w:top="661" w:right="839" w:bottom="1440" w:gutter="0" w:footer="0" w:header="0"/>
        </w:sectPr>
      </w:pP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116"/>
        </w:trPr>
        <w:tc>
          <w:tcPr>
            <w:tcW w:w="640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Indicate by check mark which basis of accounting the registrant has used to prepare the financial statements included in this filing:</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700" w:type="dxa"/>
            <w:vAlign w:val="bottom"/>
          </w:tcPr>
          <w:p>
            <w:pPr>
              <w:spacing w:after="0"/>
              <w:rPr>
                <w:sz w:val="20"/>
                <w:szCs w:val="20"/>
                <w:color w:val="auto"/>
              </w:rPr>
            </w:pPr>
            <w:r>
              <w:rPr>
                <w:rFonts w:ascii="Times New Roman" w:cs="Times New Roman" w:eastAsia="Times New Roman" w:hAnsi="Times New Roman"/>
                <w:sz w:val="9"/>
                <w:szCs w:val="9"/>
                <w:color w:val="auto"/>
              </w:rPr>
              <w:t>U.S. GAAP</w:t>
            </w:r>
          </w:p>
        </w:tc>
        <w:tc>
          <w:tcPr>
            <w:tcW w:w="1500" w:type="dxa"/>
            <w:vAlign w:val="bottom"/>
          </w:tcPr>
          <w:p>
            <w:pPr>
              <w:ind w:left="300"/>
              <w:spacing w:after="0" w:line="91" w:lineRule="exact"/>
              <w:rPr>
                <w:sz w:val="20"/>
                <w:szCs w:val="20"/>
                <w:color w:val="auto"/>
              </w:rPr>
            </w:pPr>
            <w:r>
              <w:rPr>
                <w:rFonts w:ascii="MS PGothic" w:cs="MS PGothic" w:eastAsia="MS PGothic" w:hAnsi="MS PGothic"/>
                <w:sz w:val="9"/>
                <w:szCs w:val="9"/>
                <w:color w:val="auto"/>
              </w:rPr>
              <w:t>☒</w:t>
            </w:r>
          </w:p>
        </w:tc>
        <w:tc>
          <w:tcPr>
            <w:tcW w:w="4200" w:type="dxa"/>
            <w:vAlign w:val="bottom"/>
          </w:tcPr>
          <w:p>
            <w:pPr>
              <w:ind w:left="1100"/>
              <w:spacing w:after="0"/>
              <w:rPr>
                <w:sz w:val="20"/>
                <w:szCs w:val="20"/>
                <w:color w:val="auto"/>
              </w:rPr>
            </w:pPr>
            <w:r>
              <w:rPr>
                <w:rFonts w:ascii="Times New Roman" w:cs="Times New Roman" w:eastAsia="Times New Roman" w:hAnsi="Times New Roman"/>
                <w:sz w:val="9"/>
                <w:szCs w:val="9"/>
                <w:color w:val="auto"/>
              </w:rPr>
              <w:t>International Financial Reporting Standards as issued</w:t>
            </w:r>
          </w:p>
        </w:tc>
        <w:tc>
          <w:tcPr>
            <w:tcW w:w="1240" w:type="dxa"/>
            <w:vAlign w:val="bottom"/>
            <w:vMerge w:val="restart"/>
          </w:tcPr>
          <w:p>
            <w:pPr>
              <w:ind w:left="1160"/>
              <w:spacing w:after="0" w:line="81" w:lineRule="exact"/>
              <w:rPr>
                <w:sz w:val="20"/>
                <w:szCs w:val="20"/>
                <w:color w:val="auto"/>
              </w:rPr>
            </w:pPr>
            <w:r>
              <w:rPr>
                <w:rFonts w:ascii="MS PGothic" w:cs="MS PGothic" w:eastAsia="MS PGothic" w:hAnsi="MS PGothic"/>
                <w:sz w:val="8"/>
                <w:szCs w:val="8"/>
                <w:color w:val="auto"/>
                <w:w w:val="74"/>
              </w:rPr>
              <w:t>☐</w:t>
            </w: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200" w:type="dxa"/>
            <w:vAlign w:val="bottom"/>
          </w:tcPr>
          <w:p>
            <w:pPr>
              <w:ind w:left="1100"/>
              <w:spacing w:after="0"/>
              <w:rPr>
                <w:sz w:val="20"/>
                <w:szCs w:val="20"/>
                <w:color w:val="auto"/>
              </w:rPr>
            </w:pPr>
            <w:r>
              <w:rPr>
                <w:rFonts w:ascii="Times New Roman" w:cs="Times New Roman" w:eastAsia="Times New Roman" w:hAnsi="Times New Roman"/>
                <w:sz w:val="9"/>
                <w:szCs w:val="9"/>
                <w:color w:val="auto"/>
              </w:rPr>
              <w:t>by the International Accounting Standards Board</w:t>
            </w: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9"/>
          <w:szCs w:val="9"/>
          <w:color w:val="auto"/>
        </w:rPr>
        <w:t>If “Other” has been checked in response to the previous question, indicate by check mark which financial statement item the registrant has elected to follow.</w:t>
      </w:r>
    </w:p>
    <w:p>
      <w:pPr>
        <w:spacing w:after="0" w:line="16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9"/>
          <w:szCs w:val="9"/>
          <w:color w:val="auto"/>
        </w:rPr>
        <w:t>If this is an annual report, indicate by check mark whether the registrant is a shell company (as defined in Rule 12b-2 of the Exchange Act).</w:t>
      </w:r>
    </w:p>
    <w:p>
      <w:pPr>
        <w:spacing w:after="0" w:line="27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9"/>
          <w:szCs w:val="9"/>
          <w:color w:val="auto"/>
        </w:rPr>
        <w:t>(APPLICABLE ONLY TO ISSUERS INVOLVED IN BANKRUPTCY PROCEEDINGS DURING THE PAST FIVE YEARS)</w:t>
      </w:r>
    </w:p>
    <w:p>
      <w:pPr>
        <w:spacing w:after="0" w:line="7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8"/>
          <w:szCs w:val="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504825</wp:posOffset>
            </wp:positionV>
            <wp:extent cx="6497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84455</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127635</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ind w:left="5"/>
        <w:spacing w:after="0" w:line="104" w:lineRule="exact"/>
        <w:tabs>
          <w:tab w:leader="none" w:pos="665" w:val="left"/>
        </w:tabs>
        <w:rPr>
          <w:sz w:val="20"/>
          <w:szCs w:val="20"/>
          <w:color w:val="auto"/>
        </w:rPr>
      </w:pPr>
      <w:r>
        <w:rPr>
          <w:rFonts w:ascii="Times New Roman" w:cs="Times New Roman" w:eastAsia="Times New Roman" w:hAnsi="Times New Roman"/>
          <w:sz w:val="9"/>
          <w:szCs w:val="9"/>
          <w:color w:val="auto"/>
        </w:rPr>
        <w:t>Other</w:t>
      </w:r>
      <w:r>
        <w:rPr>
          <w:sz w:val="20"/>
          <w:szCs w:val="20"/>
          <w:color w:val="auto"/>
        </w:rPr>
        <w:tab/>
      </w:r>
      <w:r>
        <w:rPr>
          <w:rFonts w:ascii="MS PGothic" w:cs="MS PGothic" w:eastAsia="MS PGothic" w:hAnsi="MS PGothic"/>
          <w:sz w:val="9"/>
          <w:szCs w:val="9"/>
          <w:color w:val="auto"/>
        </w:rPr>
        <w:t>☐</w:t>
      </w:r>
    </w:p>
    <w:p>
      <w:pPr>
        <w:spacing w:after="0" w:line="167" w:lineRule="exact"/>
        <w:rPr>
          <w:sz w:val="24"/>
          <w:szCs w:val="24"/>
          <w:color w:val="auto"/>
        </w:rPr>
      </w:pPr>
    </w:p>
    <w:p>
      <w:pPr>
        <w:ind w:left="105" w:hanging="105"/>
        <w:spacing w:after="0" w:line="92" w:lineRule="exact"/>
        <w:tabs>
          <w:tab w:leader="none" w:pos="105" w:val="left"/>
        </w:tabs>
        <w:numPr>
          <w:ilvl w:val="0"/>
          <w:numId w:val="6"/>
        </w:numPr>
        <w:rPr>
          <w:rFonts w:ascii="MS PGothic" w:cs="MS PGothic" w:eastAsia="MS PGothic" w:hAnsi="MS PGothic"/>
          <w:sz w:val="8"/>
          <w:szCs w:val="8"/>
          <w:color w:val="auto"/>
        </w:rPr>
      </w:pPr>
      <w:r>
        <w:rPr>
          <w:rFonts w:ascii="Times New Roman" w:cs="Times New Roman" w:eastAsia="Times New Roman" w:hAnsi="Times New Roman"/>
          <w:sz w:val="8"/>
          <w:szCs w:val="8"/>
          <w:color w:val="auto"/>
        </w:rPr>
        <w:t xml:space="preserve">Item 17 </w:t>
      </w:r>
      <w:r>
        <w:rPr>
          <w:rFonts w:ascii="MS PGothic" w:cs="MS PGothic" w:eastAsia="MS PGothic" w:hAnsi="MS PGothic"/>
          <w:sz w:val="8"/>
          <w:szCs w:val="8"/>
          <w:color w:val="auto"/>
        </w:rPr>
        <w:t>☐</w:t>
      </w:r>
      <w:r>
        <w:rPr>
          <w:rFonts w:ascii="Times New Roman" w:cs="Times New Roman" w:eastAsia="Times New Roman" w:hAnsi="Times New Roman"/>
          <w:sz w:val="8"/>
          <w:szCs w:val="8"/>
          <w:color w:val="auto"/>
        </w:rPr>
        <w:t xml:space="preserve"> Item 18</w:t>
      </w:r>
    </w:p>
    <w:p>
      <w:pPr>
        <w:spacing w:after="0" w:line="259" w:lineRule="exact"/>
        <w:rPr>
          <w:rFonts w:ascii="MS PGothic" w:cs="MS PGothic" w:eastAsia="MS PGothic" w:hAnsi="MS PGothic"/>
          <w:sz w:val="8"/>
          <w:szCs w:val="8"/>
          <w:color w:val="auto"/>
        </w:rPr>
      </w:pPr>
    </w:p>
    <w:p>
      <w:pPr>
        <w:ind w:left="385" w:hanging="91"/>
        <w:spacing w:after="0" w:line="104" w:lineRule="exact"/>
        <w:tabs>
          <w:tab w:leader="none" w:pos="385" w:val="left"/>
        </w:tabs>
        <w:numPr>
          <w:ilvl w:val="1"/>
          <w:numId w:val="6"/>
        </w:numPr>
        <w:rPr>
          <w:rFonts w:ascii="MS PGothic" w:cs="MS PGothic" w:eastAsia="MS PGothic" w:hAnsi="MS PGothic"/>
          <w:sz w:val="9"/>
          <w:szCs w:val="9"/>
          <w:color w:val="auto"/>
        </w:rPr>
      </w:pPr>
      <w:r>
        <w:rPr>
          <w:rFonts w:ascii="Times New Roman" w:cs="Times New Roman" w:eastAsia="Times New Roman" w:hAnsi="Times New Roman"/>
          <w:sz w:val="9"/>
          <w:szCs w:val="9"/>
          <w:color w:val="auto"/>
        </w:rPr>
        <w:t xml:space="preserve">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w:t>
      </w:r>
    </w:p>
    <w:p>
      <w:pPr>
        <w:spacing w:after="0" w:line="369" w:lineRule="exact"/>
        <w:rPr>
          <w:rFonts w:ascii="MS PGothic" w:cs="MS PGothic" w:eastAsia="MS PGothic" w:hAnsi="MS PGothic"/>
          <w:sz w:val="9"/>
          <w:szCs w:val="9"/>
          <w:color w:val="auto"/>
        </w:rPr>
      </w:pPr>
    </w:p>
    <w:p>
      <w:pPr>
        <w:ind w:left="425" w:hanging="112"/>
        <w:spacing w:after="0" w:line="92" w:lineRule="exact"/>
        <w:tabs>
          <w:tab w:leader="none" w:pos="425" w:val="left"/>
        </w:tabs>
        <w:numPr>
          <w:ilvl w:val="2"/>
          <w:numId w:val="6"/>
        </w:numPr>
        <w:rPr>
          <w:rFonts w:ascii="MS PGothic" w:cs="MS PGothic" w:eastAsia="MS PGothic" w:hAnsi="MS PGothic"/>
          <w:sz w:val="8"/>
          <w:szCs w:val="8"/>
          <w:color w:val="auto"/>
        </w:rPr>
      </w:pPr>
      <w:r>
        <w:rPr>
          <w:rFonts w:ascii="Times New Roman" w:cs="Times New Roman" w:eastAsia="Times New Roman" w:hAnsi="Times New Roman"/>
          <w:sz w:val="8"/>
          <w:szCs w:val="8"/>
          <w:color w:val="auto"/>
        </w:rPr>
        <w:t xml:space="preserve">Yes </w:t>
      </w:r>
      <w:r>
        <w:rPr>
          <w:rFonts w:ascii="MS PGothic" w:cs="MS PGothic" w:eastAsia="MS PGothic" w:hAnsi="MS PGothic"/>
          <w:sz w:val="8"/>
          <w:szCs w:val="8"/>
          <w:color w:val="auto"/>
        </w:rPr>
        <w:t>☐</w:t>
      </w:r>
      <w:r>
        <w:rPr>
          <w:rFonts w:ascii="Times New Roman" w:cs="Times New Roman" w:eastAsia="Times New Roman" w:hAnsi="Times New Roman"/>
          <w:sz w:val="8"/>
          <w:szCs w:val="8"/>
          <w:color w:val="auto"/>
        </w:rPr>
        <w:t xml:space="preserve"> No</w:t>
      </w:r>
    </w:p>
    <w:p>
      <w:pPr>
        <w:sectPr>
          <w:pgSz w:w="11900" w:h="16838" w:orient="portrait"/>
          <w:cols w:equalWidth="0" w:num="2">
            <w:col w:w="8870" w:space="575"/>
            <w:col w:w="785"/>
          </w:cols>
          <w:pgMar w:left="83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777"/>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00" w:type="dxa"/>
            <w:vAlign w:val="bottom"/>
            <w:gridSpan w:val="15"/>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4"/>
                <w:szCs w:val="24"/>
                <w:color w:val="auto"/>
              </w:rPr>
            </w:pPr>
          </w:p>
        </w:tc>
      </w:tr>
      <w:tr>
        <w:trPr>
          <w:trHeight w:val="391"/>
        </w:trPr>
        <w:tc>
          <w:tcPr>
            <w:tcW w:w="942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94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FORWARD-LOOKING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PART I</w:t>
            </w:r>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4B.</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2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10.</w:t>
            </w:r>
          </w:p>
        </w:tc>
        <w:tc>
          <w:tcPr>
            <w:tcW w:w="2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ADDITIONAL INFORMATION</w:t>
            </w:r>
          </w:p>
        </w:tc>
        <w:tc>
          <w:tcPr>
            <w:tcW w:w="568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12.</w:t>
            </w:r>
          </w:p>
        </w:tc>
        <w:tc>
          <w:tcPr>
            <w:tcW w:w="2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54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SECURITIES OTHER THAN EQUITY SECURITIES</w:t>
            </w:r>
          </w:p>
        </w:tc>
        <w:tc>
          <w:tcPr>
            <w:tcW w:w="262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196"/>
        </w:trPr>
        <w:tc>
          <w:tcPr>
            <w:tcW w:w="1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13.</w:t>
            </w:r>
          </w:p>
        </w:tc>
        <w:tc>
          <w:tcPr>
            <w:tcW w:w="2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DIVIDEND ARREARAGES AND DELINQUENCIES</w:t>
            </w:r>
          </w:p>
        </w:tc>
        <w:tc>
          <w:tcPr>
            <w:tcW w:w="308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196"/>
        </w:trPr>
        <w:tc>
          <w:tcPr>
            <w:tcW w:w="34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14.</w:t>
            </w:r>
          </w:p>
        </w:tc>
        <w:tc>
          <w:tcPr>
            <w:tcW w:w="2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MODIFICATIONS TO THE RIGHTS OF SECURITY HOLDERS AND USE OF PROCEEDS</w:t>
            </w:r>
          </w:p>
        </w:tc>
        <w:tc>
          <w:tcPr>
            <w:tcW w:w="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196"/>
        </w:trPr>
        <w:tc>
          <w:tcPr>
            <w:tcW w:w="34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15.</w:t>
            </w:r>
          </w:p>
        </w:tc>
        <w:tc>
          <w:tcPr>
            <w:tcW w:w="2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CONTROLS AND PROCEDURES</w:t>
            </w:r>
          </w:p>
        </w:tc>
        <w:tc>
          <w:tcPr>
            <w:tcW w:w="550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196"/>
        </w:trPr>
        <w:tc>
          <w:tcPr>
            <w:tcW w:w="34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16.</w:t>
            </w:r>
          </w:p>
        </w:tc>
        <w:tc>
          <w:tcPr>
            <w:tcW w:w="2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3"/>
              </w:rPr>
              <w:t>[RESERVED]</w:t>
            </w:r>
          </w:p>
        </w:tc>
        <w:tc>
          <w:tcPr>
            <w:tcW w:w="7060" w:type="dxa"/>
            <w:vAlign w:val="bottom"/>
            <w:gridSpan w:val="2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16A.</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196"/>
        </w:trPr>
        <w:tc>
          <w:tcPr>
            <w:tcW w:w="340" w:type="dxa"/>
            <w:vAlign w:val="bottom"/>
          </w:tcPr>
          <w:p>
            <w:pPr>
              <w:spacing w:after="0"/>
              <w:rPr>
                <w:sz w:val="17"/>
                <w:szCs w:val="17"/>
                <w:color w:val="auto"/>
              </w:rPr>
            </w:pPr>
          </w:p>
        </w:tc>
        <w:tc>
          <w:tcPr>
            <w:tcW w:w="8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16B.</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CODE OF ETHICS</w:t>
            </w:r>
          </w:p>
        </w:tc>
        <w:tc>
          <w:tcPr>
            <w:tcW w:w="1920" w:type="dxa"/>
            <w:vAlign w:val="bottom"/>
            <w:tcBorders>
              <w:top w:val="single" w:sz="8" w:color="0000EE"/>
            </w:tcBorders>
            <w:gridSpan w:val="10"/>
          </w:tcPr>
          <w:p>
            <w:pPr>
              <w:spacing w:after="0"/>
              <w:rPr>
                <w:sz w:val="17"/>
                <w:szCs w:val="17"/>
                <w:color w:val="auto"/>
              </w:rPr>
            </w:pPr>
          </w:p>
        </w:tc>
        <w:tc>
          <w:tcPr>
            <w:tcW w:w="470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196"/>
        </w:trPr>
        <w:tc>
          <w:tcPr>
            <w:tcW w:w="340" w:type="dxa"/>
            <w:vAlign w:val="bottom"/>
          </w:tcPr>
          <w:p>
            <w:pPr>
              <w:spacing w:after="0"/>
              <w:rPr>
                <w:sz w:val="17"/>
                <w:szCs w:val="17"/>
                <w:color w:val="auto"/>
              </w:rPr>
            </w:pPr>
          </w:p>
        </w:tc>
        <w:tc>
          <w:tcPr>
            <w:tcW w:w="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16C.</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16D.</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16E.</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196"/>
        </w:trPr>
        <w:tc>
          <w:tcPr>
            <w:tcW w:w="340" w:type="dxa"/>
            <w:vAlign w:val="bottom"/>
          </w:tcPr>
          <w:p>
            <w:pPr>
              <w:spacing w:after="0"/>
              <w:rPr>
                <w:sz w:val="17"/>
                <w:szCs w:val="17"/>
                <w:color w:val="auto"/>
              </w:rPr>
            </w:pPr>
          </w:p>
        </w:tc>
        <w:tc>
          <w:tcPr>
            <w:tcW w:w="7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16F.</w:t>
            </w:r>
          </w:p>
        </w:tc>
        <w:tc>
          <w:tcPr>
            <w:tcW w:w="40" w:type="dxa"/>
            <w:vAlign w:val="bottom"/>
            <w:tcBorders>
              <w:top w:val="single" w:sz="8" w:color="0000EE"/>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1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9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CORPORATE GOVERNANCE</w:t>
            </w:r>
          </w:p>
        </w:tc>
        <w:tc>
          <w:tcPr>
            <w:tcW w:w="576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16H.</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60" w:type="dxa"/>
            <w:vAlign w:val="bottom"/>
            <w:gridSpan w:val="1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16I.</w:t>
            </w:r>
          </w:p>
        </w:tc>
        <w:tc>
          <w:tcPr>
            <w:tcW w:w="120" w:type="dxa"/>
            <w:vAlign w:val="bottom"/>
            <w:gridSpan w:val="2"/>
          </w:tcPr>
          <w:p>
            <w:pPr>
              <w:spacing w:after="0"/>
              <w:rPr>
                <w:sz w:val="17"/>
                <w:szCs w:val="17"/>
                <w:color w:val="auto"/>
              </w:rPr>
            </w:pP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9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DISCLOSURE REGARDING FOREIGN JURISDICTIONS THAT PREVENT INSPECTIONS</w:t>
            </w:r>
          </w:p>
        </w:tc>
        <w:tc>
          <w:tcPr>
            <w:tcW w:w="11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r>
      <w:tr>
        <w:trPr>
          <w:trHeight w:val="196"/>
        </w:trPr>
        <w:tc>
          <w:tcPr>
            <w:tcW w:w="340" w:type="dxa"/>
            <w:vAlign w:val="bottom"/>
          </w:tcPr>
          <w:p>
            <w:pPr>
              <w:spacing w:after="0"/>
              <w:rPr>
                <w:sz w:val="17"/>
                <w:szCs w:val="17"/>
                <w:color w:val="auto"/>
              </w:rPr>
            </w:pPr>
          </w:p>
        </w:tc>
        <w:tc>
          <w:tcPr>
            <w:tcW w:w="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16J.</w:t>
            </w: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5"/>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700" w:type="dxa"/>
            <w:vAlign w:val="bottom"/>
            <w:gridSpan w:val="1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0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ITEM 16K.  CYBERSECURITY</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960" w:type="dxa"/>
            <w:vAlign w:val="bottom"/>
            <w:gridSpan w:val="2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17.</w:t>
            </w:r>
          </w:p>
        </w:tc>
        <w:tc>
          <w:tcPr>
            <w:tcW w:w="2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20"/>
        </w:trPr>
        <w:tc>
          <w:tcPr>
            <w:tcW w:w="340" w:type="dxa"/>
            <w:vAlign w:val="bottom"/>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5960" w:type="dxa"/>
            <w:vAlign w:val="bottom"/>
            <w:gridSpan w:val="2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18.</w:t>
            </w:r>
          </w:p>
        </w:tc>
        <w:tc>
          <w:tcPr>
            <w:tcW w:w="2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80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196"/>
        </w:trPr>
        <w:tc>
          <w:tcPr>
            <w:tcW w:w="340" w:type="dxa"/>
            <w:vAlign w:val="bottom"/>
          </w:tcPr>
          <w:p>
            <w:pPr>
              <w:spacing w:after="0"/>
              <w:rPr>
                <w:sz w:val="17"/>
                <w:szCs w:val="17"/>
                <w:color w:val="auto"/>
              </w:rPr>
            </w:pPr>
          </w:p>
        </w:tc>
        <w:tc>
          <w:tcPr>
            <w:tcW w:w="7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19.</w:t>
            </w:r>
          </w:p>
        </w:tc>
        <w:tc>
          <w:tcPr>
            <w:tcW w:w="2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2"/>
              </w:rPr>
              <w:t>EXHIBITS</w:t>
            </w:r>
          </w:p>
        </w:tc>
        <w:tc>
          <w:tcPr>
            <w:tcW w:w="1320" w:type="dxa"/>
            <w:vAlign w:val="bottom"/>
            <w:tcBorders>
              <w:top w:val="single" w:sz="8" w:color="0000EE"/>
            </w:tcBorders>
            <w:gridSpan w:val="5"/>
          </w:tcPr>
          <w:p>
            <w:pPr>
              <w:spacing w:after="0"/>
              <w:rPr>
                <w:sz w:val="17"/>
                <w:szCs w:val="17"/>
                <w:color w:val="auto"/>
              </w:rPr>
            </w:pPr>
          </w:p>
        </w:tc>
        <w:tc>
          <w:tcPr>
            <w:tcW w:w="5960" w:type="dxa"/>
            <w:vAlign w:val="bottom"/>
            <w:gridSpan w:val="2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196"/>
        </w:trPr>
        <w:tc>
          <w:tcPr>
            <w:tcW w:w="12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annual report, unless otherwise indicated or unless the context otherwise requires:</w:t>
      </w:r>
    </w:p>
    <w:p>
      <w:pPr>
        <w:spacing w:after="0" w:line="223" w:lineRule="exact"/>
        <w:rPr>
          <w:sz w:val="20"/>
          <w:szCs w:val="20"/>
          <w:color w:val="auto"/>
        </w:rPr>
      </w:pPr>
    </w:p>
    <w:p>
      <w:pPr>
        <w:ind w:left="680" w:right="460" w:hanging="321"/>
        <w:spacing w:after="0" w:line="28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“active customers” refers to registered members who have purchased from our Vipshop mobile app, </w:t>
      </w:r>
      <w:r>
        <w:rPr>
          <w:rFonts w:ascii="Times New Roman" w:cs="Times New Roman" w:eastAsia="Times New Roman" w:hAnsi="Times New Roman"/>
          <w:sz w:val="18"/>
          <w:szCs w:val="18"/>
          <w:i w:val="1"/>
          <w:iCs w:val="1"/>
          <w:color w:val="auto"/>
        </w:rPr>
        <w:t>vip.com</w:t>
      </w:r>
      <w:r>
        <w:rPr>
          <w:rFonts w:ascii="Times New Roman" w:cs="Times New Roman" w:eastAsia="Times New Roman" w:hAnsi="Times New Roman"/>
          <w:sz w:val="18"/>
          <w:szCs w:val="18"/>
          <w:color w:val="auto"/>
        </w:rPr>
        <w:t xml:space="preserve"> website and Vipshop WeChat Mini-Program, at least once during the given period;</w:t>
      </w:r>
    </w:p>
    <w:p>
      <w:pPr>
        <w:spacing w:after="0" w:line="160" w:lineRule="exact"/>
        <w:rPr>
          <w:rFonts w:ascii="Times New Roman" w:cs="Times New Roman" w:eastAsia="Times New Roman" w:hAnsi="Times New Roman"/>
          <w:sz w:val="18"/>
          <w:szCs w:val="18"/>
          <w:color w:val="auto"/>
        </w:rPr>
      </w:pPr>
    </w:p>
    <w:p>
      <w:pPr>
        <w:ind w:left="680" w:right="84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SVIP customers” refers to active customers during the given period who have subscribed for our Super VIP membership program;</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of which represents 0.2 Class A ordinary shares of our company, par value US$0.0001 per share;</w:t>
      </w:r>
    </w:p>
    <w:p>
      <w:pPr>
        <w:spacing w:after="0" w:line="161" w:lineRule="exact"/>
        <w:rPr>
          <w:rFonts w:ascii="Times New Roman" w:cs="Times New Roman" w:eastAsia="Times New Roman" w:hAnsi="Times New Roman"/>
          <w:sz w:val="18"/>
          <w:szCs w:val="18"/>
          <w:color w:val="auto"/>
        </w:rPr>
      </w:pPr>
    </w:p>
    <w:p>
      <w:pPr>
        <w:ind w:left="680" w:right="40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and, unless the context requires otherwise and solely for the purpose of this annual report such as describing legal or tax matters, authorities, entities, or persons, excludes Hong Kong S.A.R., Macao S.A.R., and Taiwan region of the People’s Republic of China;</w:t>
      </w:r>
    </w:p>
    <w:p>
      <w:pPr>
        <w:spacing w:after="0" w:line="173" w:lineRule="exact"/>
        <w:rPr>
          <w:rFonts w:ascii="Times New Roman" w:cs="Times New Roman" w:eastAsia="Times New Roman" w:hAnsi="Times New Roman"/>
          <w:sz w:val="18"/>
          <w:szCs w:val="18"/>
          <w:color w:val="auto"/>
        </w:rPr>
      </w:pPr>
    </w:p>
    <w:p>
      <w:pPr>
        <w:ind w:left="680" w:right="80" w:hanging="321"/>
        <w:spacing w:after="0" w:line="315" w:lineRule="auto"/>
        <w:tabs>
          <w:tab w:leader="none" w:pos="6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“cumulative customers” refers to all customers who had purchased products from our Vipshop mobile app, </w:t>
      </w:r>
      <w:r>
        <w:rPr>
          <w:rFonts w:ascii="Times New Roman" w:cs="Times New Roman" w:eastAsia="Times New Roman" w:hAnsi="Times New Roman"/>
          <w:sz w:val="17"/>
          <w:szCs w:val="17"/>
          <w:i w:val="1"/>
          <w:iCs w:val="1"/>
          <w:color w:val="auto"/>
        </w:rPr>
        <w:t>vip.com</w:t>
      </w:r>
      <w:r>
        <w:rPr>
          <w:rFonts w:ascii="Times New Roman" w:cs="Times New Roman" w:eastAsia="Times New Roman" w:hAnsi="Times New Roman"/>
          <w:sz w:val="17"/>
          <w:szCs w:val="17"/>
          <w:color w:val="auto"/>
        </w:rPr>
        <w:t xml:space="preserve"> website, and Vipshop WeChat Mini-Program at least once during the period from our inception on August 22, 2008 to a specified date;</w:t>
      </w:r>
    </w:p>
    <w:p>
      <w:pPr>
        <w:spacing w:after="0" w:line="136" w:lineRule="exact"/>
        <w:rPr>
          <w:rFonts w:ascii="Times New Roman" w:cs="Times New Roman" w:eastAsia="Times New Roman" w:hAnsi="Times New Roman"/>
          <w:sz w:val="17"/>
          <w:szCs w:val="17"/>
          <w:color w:val="auto"/>
        </w:rPr>
      </w:pPr>
    </w:p>
    <w:p>
      <w:pPr>
        <w:ind w:left="680" w:hanging="321"/>
        <w:spacing w:after="0" w:line="25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“GMV” refers to gross merchandise value, the total value of all products and services sold through our online channels, Shan Shan Outlets, and other offline stores during the given period, which were fulfilled by either our company or our third-party merchants, regardless of whether or not the goods were delivered or returned. GMV includes shipping charges paid by buyers to sellers. For prudent considerations, we do not consider products or services to be sold if the orders were placed and canceled pre-shipment and only included orders that left our or other third-party vendors’ warehouses;</w:t>
      </w:r>
    </w:p>
    <w:p>
      <w:pPr>
        <w:spacing w:after="0" w:line="183" w:lineRule="exact"/>
        <w:rPr>
          <w:rFonts w:ascii="Times New Roman" w:cs="Times New Roman" w:eastAsia="Times New Roman" w:hAnsi="Times New Roman"/>
          <w:sz w:val="18"/>
          <w:szCs w:val="18"/>
          <w:color w:val="auto"/>
        </w:rPr>
      </w:pPr>
    </w:p>
    <w:p>
      <w:pPr>
        <w:ind w:left="680" w:right="2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“off-price retailer” refers to businesses that consistently offer branded products at prices below traditional retail levels, characterized by (i) a focus on branded products rather than private-label or unbranded goods; and (ii) periodic or recurring discounts in direct sale online channels and a focus on discounted pricing in offline formats;</w:t>
      </w:r>
    </w:p>
    <w:p>
      <w:pPr>
        <w:spacing w:after="0" w:line="173" w:lineRule="exact"/>
        <w:rPr>
          <w:rFonts w:ascii="Times New Roman" w:cs="Times New Roman" w:eastAsia="Times New Roman" w:hAnsi="Times New Roman"/>
          <w:sz w:val="18"/>
          <w:szCs w:val="18"/>
          <w:color w:val="auto"/>
        </w:rPr>
      </w:pPr>
    </w:p>
    <w:p>
      <w:pPr>
        <w:ind w:left="680" w:right="40" w:hanging="321"/>
        <w:spacing w:after="0" w:line="28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“online channels” refers to our Vipshop App mobile application, the </w:t>
      </w:r>
      <w:r>
        <w:rPr>
          <w:rFonts w:ascii="Times New Roman" w:cs="Times New Roman" w:eastAsia="Times New Roman" w:hAnsi="Times New Roman"/>
          <w:sz w:val="18"/>
          <w:szCs w:val="18"/>
          <w:i w:val="1"/>
          <w:iCs w:val="1"/>
          <w:color w:val="auto"/>
        </w:rPr>
        <w:t>vip.com</w:t>
      </w:r>
      <w:r>
        <w:rPr>
          <w:rFonts w:ascii="Times New Roman" w:cs="Times New Roman" w:eastAsia="Times New Roman" w:hAnsi="Times New Roman"/>
          <w:sz w:val="18"/>
          <w:szCs w:val="18"/>
          <w:color w:val="auto"/>
        </w:rPr>
        <w:t xml:space="preserve"> website, the Vipshop WeChat Mini-Program, and our online stores that are operated at third-party platforms;</w:t>
      </w:r>
    </w:p>
    <w:p>
      <w:pPr>
        <w:spacing w:after="0" w:line="158" w:lineRule="exact"/>
        <w:rPr>
          <w:rFonts w:ascii="Times New Roman" w:cs="Times New Roman" w:eastAsia="Times New Roman" w:hAnsi="Times New Roman"/>
          <w:sz w:val="18"/>
          <w:szCs w:val="18"/>
          <w:color w:val="auto"/>
        </w:rPr>
      </w:pPr>
    </w:p>
    <w:p>
      <w:pPr>
        <w:ind w:left="680" w:right="80" w:hanging="321"/>
        <w:spacing w:after="0" w:line="284"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“registered member” refers to any consumer who has registered and created an account with our Vipshop mobile app, </w:t>
      </w:r>
      <w:r>
        <w:rPr>
          <w:rFonts w:ascii="Times New Roman" w:cs="Times New Roman" w:eastAsia="Times New Roman" w:hAnsi="Times New Roman"/>
          <w:sz w:val="18"/>
          <w:szCs w:val="18"/>
          <w:i w:val="1"/>
          <w:iCs w:val="1"/>
          <w:color w:val="auto"/>
        </w:rPr>
        <w:t>vip.com</w:t>
      </w:r>
      <w:r>
        <w:rPr>
          <w:rFonts w:ascii="Times New Roman" w:cs="Times New Roman" w:eastAsia="Times New Roman" w:hAnsi="Times New Roman"/>
          <w:sz w:val="18"/>
          <w:szCs w:val="18"/>
          <w:color w:val="auto"/>
        </w:rPr>
        <w:t xml:space="preserve"> website, and Vipshop WeChat Mini-Program;</w:t>
      </w:r>
    </w:p>
    <w:p>
      <w:pPr>
        <w:spacing w:after="0" w:line="160"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“Renminbi” or “RMB” refers to the legal currency of China;</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refers to our ordinary shares, which include both Class A ordinary shares and Class B ordinary shares, par value US$0.0001 per share;</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60" w:hanging="321"/>
        <w:spacing w:after="0" w:line="261"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orders” refers to the total number of orders placed during the given period, including the orders for products and services sold through our online channels, including our Vipshop App mobile application, </w:t>
      </w:r>
      <w:r>
        <w:rPr>
          <w:rFonts w:ascii="Times New Roman" w:cs="Times New Roman" w:eastAsia="Times New Roman" w:hAnsi="Times New Roman"/>
          <w:sz w:val="18"/>
          <w:szCs w:val="18"/>
          <w:i w:val="1"/>
          <w:iCs w:val="1"/>
          <w:color w:val="auto"/>
        </w:rPr>
        <w:t>vip.com</w:t>
      </w:r>
      <w:r>
        <w:rPr>
          <w:rFonts w:ascii="Times New Roman" w:cs="Times New Roman" w:eastAsia="Times New Roman" w:hAnsi="Times New Roman"/>
          <w:sz w:val="18"/>
          <w:szCs w:val="18"/>
          <w:color w:val="auto"/>
        </w:rPr>
        <w:t xml:space="preserve"> website, Vipshop WeChat Mini-Program, online stores that are operated at third-party platforms (excluding, for the avoidance of doubt, orders from the Company’s offline stores and outlets), net of orders returned;</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refers to the legal currency of the United States;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company” refers to Vipshop Holdings Limited and its subsidiaries, and, in the context of describing our operations and consolidated financial information, the consolidated variable interest entities, or the VIEs.</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Any discrepancies in any table between the amounts identified as total amounts and the sum of the amounts listed therein are due to rounding.</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reporting currency is Renminbi. This annual report contains translations from Renminbi to U.S. dollars solely for the convenience of the reader. Unless otherwise stated, all translations from Renminbi to U.S. dollars were made at a rate of RMB6.9931 to US$1.00, which was the exchange rate in effect as of December 31, 2025 as set forth in the H.10 statistical release of The Board of Governors of the Federal Reserve System. We make no representation that any Renminbi amounts referred to in this annual report could have been, or could be, converted to U.S. dollars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reflect our current expectations and views of future events. These forward-looking statements are made under the “safe harbor” provisions of the U.S. Private Securities Litigation Reform Act of 1995. Known and unknown risks, uncertainties and other factors, including those included in “Item 3. Key Information—D. Risk Factors,” may cause our actual results, performance, or achievements to be materially different from those expressed or implied by the forward-looking statements.</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“might,” “will,” “would,”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without limitation statements relating to:</w:t>
      </w:r>
    </w:p>
    <w:p>
      <w:pPr>
        <w:spacing w:after="0" w:line="183"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off-price retailer market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and brand partners and further enhance our brand recognition;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general economic and business conditions in China and globally;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relating to any of the foregoing.</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“Item 3. Key Information—D. Risk Factors,” “Item 4. Information on the Company—B. Business Overview,” “Item 5. Operating and Financial Review and Prospects,” and other sections in this annual report. You should read thoroughly this annual report and the documents that we refer to in this annual report with the understanding that our actual future results may be materially different from and worse than what we expect. We qualify all of our forward-looking statements by these cautionary statements.</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made in this annual report relate only to events or information as of the date on which the statements are made in this annual report.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Consolidated Variable Interest Entities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Vipshop Holdings Limited is not a Chinese operating company but a Cayman Islands holding company with no equity ownership in the consolidated variable interest entities and their subsidiaries. Our operations in China are conducted by (i) our PRC subsidiaries and</w:t>
      </w:r>
    </w:p>
    <w:p>
      <w:pPr>
        <w:ind w:right="80" w:firstLine="8"/>
        <w:spacing w:after="0" w:line="251"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variable interest entities with which one of our PRC subsidiaries maintains contractual arrangements. PRC laws and regulations restrict and impose conditions on foreign investment in internet content, value-added telecommunication-based online marketing and mobile application distribution businesses, and internet-based audio and video services. Accordingly, these businesses in China are operated by the consolidated variable interest entities and their subsidiaries, and such structure is used to provide investors with exposure to foreign investment in China-based companies where PRC laws and regulations prohibit or restrict direct foreign investment in certain operating companies, and rely on contractual arrangements among our PRC subsidiaries, the consolidated variable interest entities and their nominee shareholders to make management decisions of the consolidated variable interest entities and their subsidiaries. Revenues contributed by the consolidated variable interest entities accounted for 0.3%, 0.3% and 0.3% of our total net revenues in 2023, 2024 and 2025, respectively. However, contractual arrangements may not be as effective as direct ownership in providing us with control over the consolidated variable interest entities and their subsidiaries and we may incur substantial costs to enforce the terms of the arrangements. As such, the VIE structure involves unique risks to investors of our Cayman Islands holding company. For a more detailed discussion of those risks, see “Item 3. Key Information—D. Risk Factors—Risks Relating to Our Corporate Structure.” In addition, the legality and enforceability of the contractual agreements by and among our PRC subsidiaries, the VIEs, and their respective shareholders, as a whole, have not been tested in a court of law in China as of the date of this annual report.</w:t>
      </w:r>
    </w:p>
    <w:p>
      <w:pPr>
        <w:spacing w:after="0" w:line="1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used in this annual report, “we” or “our company” refers to Vipshop Holdings Limited, its subsidiaries, and, in the context of describing our operations and consolidated financial information, the consolidated variable interest entities in China, including but not limited to (i) Guangzhou Vipshop E-Commerce Co., Ltd., or Vipshop E-Commerce, which currently holds the primary licenses necessary to conduct the internet-related operations of our online channels in China, (ii) Guangzhou Vipshop Information Technology Co., Ltd., or Vipshop Information, and (iii) Pin Jun Tong Enterprise Management &amp; Consulting Co., Ltd., or Pin Jun Tong. The consolidated variable interest entities and their subsidiaries are PRC companies conducting operations in China, and their financial results have been consolidated into our consolidated financial statements under the U.S. GAAP for accounting purposes. Vipshop Holdings Limited is a holding company with no operations of its own. We do not have any equity ownership in the consolidated variable interest entities or their subsidiaries. Investors in the ADSs are not purchasing equity interest in the consolidated variable interest entities in China but instead are purchasing equity interest in a holding company incorporated in the Cayman Islands, and may never directly hold equity interests in the consolidated variable interest entities in China.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significant subsidiaries and the consolidated variable interest entity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231890" cy="3771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3189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340" w:right="20" w:hanging="332"/>
        <w:spacing w:after="0" w:line="28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primarily engaged in warehousing, logistics, product procurement, research and development, technology development and consulting businesses.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primarily engaged in product procurement business.</w:t>
      </w:r>
    </w:p>
    <w:p>
      <w:pPr>
        <w:spacing w:after="0" w:line="63"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Vipshop E-Commerce is a consolidated variable interest entity that primarily engages in e-commerce platform operation. Shareholders of Vipshop E-Commerce include Eric Ya Shen, our chairman of the board of directors and chief executive officer, and Chan Huang, our employee, holding 66.7% and 33.3% of the total equity interests in Vipshop E-Commerce, respectively.</w:t>
      </w:r>
    </w:p>
    <w:p>
      <w:pPr>
        <w:spacing w:after="0" w:line="13"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Vipshop Information is a consolidated variable interest entity that primarily engages in finance service-related business, which represents a nominal portion of our business. Shareholders of Vipshop Information include Eric Ya Shen and Chan Huang, holding 99.2% and 0.8% of the total equity interests in Vipshop Information, respectively.</w:t>
      </w:r>
    </w:p>
    <w:p>
      <w:pPr>
        <w:spacing w:after="0" w:line="13"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 Jun Tong is a consolidated variable interest entity with no substantive business. Shareholders of Pin Jun Tong include our co-founders and shareholders Eric Ya Shen and Arthur Xiaobo Hong, holding 65% and 35% of the total equity interests in Pin Jun Tong, respectively.</w:t>
      </w:r>
    </w:p>
    <w:p>
      <w:pPr>
        <w:spacing w:after="0" w:line="1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primarily engaged in retail businesses and warehousing services.</w:t>
      </w:r>
    </w:p>
    <w:p>
      <w:pPr>
        <w:spacing w:after="0" w:line="63"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primarily engaged in software development and information technology (including consulting, research, support) services.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A series of contractual agreements, including equity interest pledge agreements, exclusive option agreements, powers of attorney, exclusive business cooperation agreements, and loan agreements, have been entered into by and among our PRC subsidiaries, the consolidated variable interest entities, and their respective shareholders. Terms contained in each set of contractual arrangements with the consolidated variable interest entities and their respective shareholders are substantially similar. Under the equity interest pledge agreements, the shareholders of the applicable VIE have pledged all of their equity interests in the applicable VIE to the applicable wholly foreign-owned enterprise, or WFOE, to guarantee the applicable VIE’s and its shareholders’ performance of the obligations under the exclusive business cooperation agreement, exclusive option agreement, and loan agreement. Under the exclusive option agreements, the shareholders of the applicable VIE have granted the applicable WFOE an exclusive option to purchase, or designate one or more person(s) to purchase, all or part of their respective equity interests in the applicable VIE at a purchase price equal to the higher of: (i) the amount of registered capital actually contributed by the shareholders; or (ii) a minimum price permitted by applicable PRC laws. Under the powers of attorney, each shareholder of the VIE has irrevocably appointed the applicable WFOE as his/her attorney-in-fact to act on his/her behalf and exercise all of his/her rights as a shareholder of the applicable VIE, including the right to attend shareholder meetings, to exercise voting rights, to appoint directors and senior management of the applicable VIE, and to effect transfers of all or part of his/her equity interests in the applicable VIE pursuant to the equity interest pledge agreements and the exclusive option agreements. Under the exclusive business cooperation agreement, the applicable VIE agrees to engage the applicable WFOE as its exclusive provider of technical, consulting, and other services in relation to its business operations. In consideration of such services, the applicable VIE will pay to the applicable WFOE service fees that amount to all of the applicable VIE’s net income. Under the loan agreements, the applicable WFOE provided loans to the shareholders of the applicable VIE solely for the purpose of contribution or increase of registered capital or working capital of the applicable VIE. For more details of these contractual arrangements, see “Item 4. Information on the Company—C. Organizational Structure—Contractual Arrangements Relating to the Consolidated Variable Interest Entities.” As a result of these contractual arrangements, we have a “controlling financial interest” in the VIEs as defined in FASB ASC 810 so that we are considered the primary beneficiary of the consolidated variable interest entities for accounting purposes and have consolidated the financial results of these companies in our consolidated financial statements under the U.S. GAAP. Neither Vipshop Holdings Limited nor its investors in the ADSs has an equity ownership in, direct foreign investment in, or control through such ownership or investment of, the consolidated variable interest entities and their subsidiaries, and the contractual arrangements are not equivalent to an equity ownership in the business of the consolidated variable interest entities and their subsidiaries.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contractual arrangements may not be as effective as direct ownership in providing us with control over the consolidated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interest entities and their subsidiaries and we may incur substantial costs in enforcing the terms of the arrangements.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Key Information—D. Risk Factors—Risks Relating to Our Corporate Structure—We rely on contractual arrangements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variable interest entities and their respective shareholders for the operation of our business, which may not be as effective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ownership. If the consolidated variable interest entities and their respective shareholders fail to perform their obligations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contractual arrangements, we may have to resort to arbitration or litigation to enforce our rights, which may be time-consuming,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unpredictable, expensive, and damaging to our operations and reputation” and “Item 3. Key Information—D. Risk Factors—Risks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Our Corporate Structure—The shareholders of the significant consolidated variable interest entity have potential conflict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with us, which may adversely affect our business.”</w:t>
      </w:r>
    </w:p>
    <w:p>
      <w:pPr>
        <w:spacing w:after="0" w:line="20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There are also substantial uncertainties regarding the interpretation and application of current and future PRC laws, regulations, and rules regarding the status of the rights of our Cayman Islands holding company with respect to its contractual arrangements with the consolidated variable interest entities and their nominee shareholders, as well as the status of the rights of our founders and shareholders. It is uncertain whether any new PRC laws or regulations relating to variable interest entity structures will be adopted or, if adopted, what they would provide. If we or any of the consolidated variable interest entities is found to be in violation of any existing or future PRC laws or regulations, or fails to obtain or maintain any of the required licenses, permits, registrations, or approvals, the PRC regulatory authorities would have broad discretion in dealing with such violations or failures. See “Item 3. Key Information—D. Risk Factors— Risks Relating to Our Corporate Structure—The interpretation and application of PRC laws and regulations relating to online commerce and provision of internet content may pose effects on us. If the PRC government finds that the structure we have adopted for our business operations does not comply with PRC laws and regulations, we could be subject to severe penalties, including shut-down of our online retail channels” and “Item 3. Key Information—D. Risk Factors—Risks Relating to Our Corporate Structure—Our business may be significantly affected by the PRC Foreign Investment Law.”</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consolidated variable interest entities. If the PRC government determines the contractual arrangements that constitute part of the consolidated variable interest entity structure to be non-compliant with PRC laws or regulations, or if these laws or regulations or the interpretation thereof change in the future, we could be subject to severe penalties or be forced to relinquish our interests in those operations. The PRC regulatory authorities could disallow the consolidated variable interest entities structure, which would likely result in a material adverse change in our operations, and the value of the ADSs may decline significantly or become worthless. Due to the legal uncertainties and jurisdictional limits, our Cayman Islands holding company, our PRC subsidiaries, the consolidated variable interest entities and their subsidiaries, and investors of our company face challenges with respect to the enforceability of the contractual arrangements we have with the consolidated variable interest entities and, consequently, may significantly affect the financial performance of the consolidated variable interest entities and our company as a whole. For a detailed description of the risks associated with our corporate structure, see “Item 3. Key Information—D. Risk Factors—Risks Relating to Our Corporate Structure.”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China Operations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face various risks and uncertainties relating to doing business in China. A majority of our business operations are conducted in China, and we are subject to complex and evolving PRC laws and regulations. For example, we face risks associated with regulatory approvals on overseas offerings, anti-monopoly regulatory actions, and oversight on cybersecurity, data security, and data privacy, as well as the prospective uncertainties as to the ability of the Public Company Accounting Oversight Board, or the PCAOB, to inspect or investigate completely auditors located in mainland China and Hong Kong, such as our auditor headquartered in Hong Kong, which may impact the ability of our holding company, subsidiaries, and the consolidated variable interest entities to conduct certain businesses, accept foreign investments, or list and conduct offerings on a United States or other foreign exchange. These risks could result in a material adverse change in our operations and the value of our ADSs, significantly limit or completely hinder our ability to continue to offer securities to investors, or cause the value of such securities to significantly decline. For a detailed description of risks relating to doing business in China, see “Item 3. Key Information—D. Risk Factors—Risks Relating to Doing Business in the Jurisdiction Where We Primarily Operate.” As of the date of this annual report, regulatory actions relating to data security or anti-monopoly concerns in Hong Kong do not have a material impact on the ability of our holding company, subsidiaries, and the consolidated variable interest entities to conduct business, accept foreign investment, or continue to list on a United States stock exchange. However, new regulatory actions relating to data security or anti-monopoly concerns in Hong Kong may be taken in the future, and we cannot assure you as to whether such regulatory actions may have a material impact on the ability of our holding company, subsidiaries, and the consolidated variable interest entities to conduct business, accept foreign investment, or continue to list on a United States stock exchange.</w:t>
      </w:r>
    </w:p>
    <w:p>
      <w:pPr>
        <w:spacing w:after="0" w:line="19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PRC government has significant authority in regulating our operations and may influence our operations. It may exert more oversight and control over offerings conducted overseas by, and/or foreign investment in, China-based issuers, which could significantly limit or completely hinder our ability to offer or continue to offer securities to investors. Implementation of industry-wide regulations in this nature may cause the value of such securities to significantly decline. For more details, see “Item 3. Key Information—D. Risk Factors—Risks Relating to Doing Business in the Jurisdiction Where We Primarily Operate—The PRC government’s significant oversight and discretion over our business operations could result in a material adverse change in our operations and the value of our ADSs.”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the ADSs. For more details, see “Item 3. Key Information—D. Risk Factors—Risks Relating to Doing Business in the Jurisdiction Where We Primarily Operate—Uncertainties with respect to the PRC legal system could adversely affect us” and “Item 3. Key Information—D. Risk Factors—Risks Relating to Doing Business in the Jurisdiction Where We Primarily Operate—We may be adversely affected by the complexity, uncertainties, and changes in PRC regulation of internet—related businesses and companies, including e-commerce business.”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the annual report on Form 20-F for the fiscal year ended December 31, 2021. On December 15, 2022, the PCAOB issued a report that vacated its December 16, 2021 determination and removed mainland China and Hong Kong from the list of jurisdictions where it was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so after we file this annual report on Form 20-F for the fiscal year ended December 31, 2025.</w:t>
      </w:r>
    </w:p>
    <w:p>
      <w:pPr>
        <w:spacing w:after="0" w:line="19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Information—D. Risk Factors—Risks Relating to Doing Business in the Jurisdiction Where We Primarily Operate—The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Relating to Doing Business in the Jurisdiction Where We Primarily Operate—Our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9"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Our operations are primarily conducted by our subsidiaries and the consolidated variable interest entities in China. Our operations in China are governed by PRC laws and regulations. As of the date of this annual report, our PRC legal counsel, Han Kun Law Offices, is of the opinion that our PRC subsidiaries and the consolidated variable interest entities and their subsidiaries have obtained the requisite licenses and permits from the PRC government authorities that are necessary for their business operations in China, including Business Licenses, Value-added Telecommunication Licenses, Food Operating Permit, Internet Drug Information Service Qualification Certificate, Payment Business License, Network Cultural Business License, Radio and Television Program Production and Operation License, Record-filing of Type II Medical Devices Operation, Record-filing for a Third-party Platform Providing Online Trading Service of Medical Devices, Record-filing for a Third-party Platform Providing Online Trading Service of Medicines, Record-filing of Online Sales of Medical Device, Record-filing of a Third-party Platform Providing Online Food Trading, Record-filing of Issuers of Single-purpose Commercial Prepaid Cards, Record-filing of Importer or Exporter of Import or Export Goods, Record-filing of a Customs Declaration Entity, Record-filing of Art Trading Entity, Record-filing for Businesses Engaged in Sales of Prepackaged Foods Only, and Record-filing of Internet Information Service Algorithm, except for certain permissions and approvals in mainland China, including certain Value-added Telecommunication Licenses for internet finance business as well as certain Record-filing of E-commerce Livestream Platform and Permits for Spreading Audio-video Program via Information Network for our live streaming services, which collectively represents an immaterial portion of our overall business operations. For a detailed description of these licenses and permits, see “Item 4. Information on the Company—B. Business Overview—Regulation—Regulations Relating to Licenses and Permits.” As of the date of this annual report, we, our PRC subsidiaries, or the VIEs have not received any denial notification from the authorities in connection with the applications for the necessary permissions or approvals to conduct our business. Given the uncertainties of interpretation and implementation of the laws and regulations and the enforcement practice by the government authorities, we face challenges in obtaining and maintaining all requisite licenses and permits and may be required to obtain additional licenses, permits, registrations, filings, or approvals for our business operations in the future. For more detailed information, see “Item 3. Key Information—D. Risk Factors— Risks Relating to Doing Business in the Jurisdiction Where We Primarily Operate—We may be adversely affected by the complexity, uncertainties, and changes in PRC regulation of internet-related businesses and companies, including e-commerce business,” and “Item</w:t>
      </w:r>
    </w:p>
    <w:p>
      <w:pPr>
        <w:spacing w:after="0" w:line="202" w:lineRule="exact"/>
        <w:rPr>
          <w:sz w:val="20"/>
          <w:szCs w:val="20"/>
          <w:color w:val="auto"/>
        </w:rPr>
      </w:pPr>
    </w:p>
    <w:p>
      <w:pPr>
        <w:ind w:right="220" w:firstLine="8"/>
        <w:spacing w:after="0" w:line="255"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Factors—Risks Relating to Our Corporate Structure—If our PRC subsidiaries and the consolidated variable interest entities fail to obtain and maintain the requisite assets, licenses, and approvals required under PRC laws, our business, financial condition, and results of operations may be materially and adversely affected.”</w:t>
      </w:r>
    </w:p>
    <w:p>
      <w:pPr>
        <w:spacing w:after="0" w:line="18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There have been a number of PRC laws, regulations, and rules that regulate the issuances and offerings of securities conducted overseas by China-based issuers as well as the foreign investment therein, including but not limited to, (i) the Cybersecurity Review Measures jointly promulgated by the Cyberspace Administration of China, or the CAC, and other authorities on December 28, 2021 and effective on February 15, 2022, which requires companies that meet certain criteria to be subject to cybersecurity review, and (ii) the Trial Administration Measures of Overseas Securities Offering and Listing by Domestic Companies, or the Overseas Offering and Listing Measures, promulgated by the China Securities Regulatory Commission, or the CSRC, on February 17, 2023 and effective on March 31, 2023, which establishes a new filing-based regime to regulate overseas offerings and listings by PRC domestic companies. For details of the regulations that may impact our ability to pursue overseas offerings, issuances, and listing, see “Item 4. Information on the Company—B. Business Overview—Regulation—Regulations Relating to Information Security” and “Item 4. Information on the Company—B. Business Overview—Regulation—Regulations Relating to Overseas Listing and M&amp;A.”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Under the current PRC laws, regulations, and rules, in connection with our issuance of securities to foreign investors in the past, our PRC legal counsel, Han Kun Law Offices, is of the opinion that as of the date of this annual report, we, our PRC subsidiaries, and the consolidated variable interest entities, (i) are not required to obtain permissions from or complete filing procedures with the CSRC pursuant to the Overseas Offering and Listing Measures for our historical issuances or offerings of securities to foreign investors that were completed before the date of implementation of the Overseas Offering and Listing Measures, but are required to go through filing procedures with the CSRC for our future issuance or offering of securities if we meet certain conditions set forth in the Overseas Offering and Listing Measures to be considered as an indirect overseas offering and listing by a PRC domestic company, (ii) are not required to go through cybersecurity review by the CAC unless any of our company, our subsidiaries, or the VIEs is deemed to be a critical information infrastructure operator or a network platform operator whose network product or service purchasing or data processing activities affect or may affect national security under the Cybersecurity Review Measures by any government authorities, and</w:t>
      </w:r>
    </w:p>
    <w:p>
      <w:pPr>
        <w:spacing w:after="0" w:line="5" w:lineRule="exact"/>
        <w:rPr>
          <w:sz w:val="20"/>
          <w:szCs w:val="20"/>
          <w:color w:val="auto"/>
        </w:rPr>
      </w:pPr>
    </w:p>
    <w:p>
      <w:pPr>
        <w:ind w:right="20" w:firstLine="8"/>
        <w:spacing w:after="0" w:line="251"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been denied by any PRC government authority for any requisite permissions or filing procedures, to the extent applicable with respect to our issuance or offerings of securities to foreign investors in the past. However, given that the implementation of the Cybersecurity Review Measures, the Overseas Offering and Listing Measures, and other applicable regulations may be subject to interpretation and further development, we cannot assure you as to whether or how they will affect our listing status and financing activities in the future. If we fail to go through the cybersecurity review by the CAC, complete the filing procedures with the CSRC, or fulfill other necessary procedures, if required, in a timely manner, or at all, for any future offering or any other activities that are subject to those regulatory requirements, our ability to raise and access capital will be impacted and our operations could be materially and adversely affected accordingly. For more detailed information, see “Item 3. Key Information—D. Risk Factors—Risks Relating to Doing Business in the Jurisdiction Where We Primarily Operate—The approval of, filing with, and other administrative requirements of, the CSRC or other PRC government authorities may be required in connection with our future overseas offerings or future issuance of securities abroad under the PRC law, and, if required, we cannot predict whether or for how long we will be able to obtain such approval or complete such filing.”</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(i) any of our holding company, our PRC subsidiaries, or the consolidated variable interest entities fails to receive or maintain any requisite permissions or approvals or complete any requisite filing procedures, (ii) any of our holding company, our PRC subsidiaries, or the consolidated variable interest entities inadvertently concluded that certain permissions or approvals have been acquired or are not required, or that certain filing procedures have been completed or are not required to be completed, or (iii) applicable laws, regulations, or interpretations thereof change and any of our holding company, our PRC subsidiaries, or the consolidated variable interest entities becomes subject to the requirement of additional permissions, approvals, or filing procedures in the future, we cannot assure you that any of our holding company, our PRC subsidiaries, or the consolidated variable interest entities will be able to obtain such permissions or approvals or complete such filing procedures in a timely manner, or at all, and such permissions, approvals, or filings may be rescinded even if obtained or completed. Any such circumstance could subject us to penalties, including fines, suspension of business, and revocation of required licenses, which could materially and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Vipshop Holdings Limited is a holding company with no operations of its own. Our operations are primarily conducted by our subsidiaries and the consolidated variable interest entities in China. As a result, although other means are available for us to obtain financing at the holding company level, Vipshop Holdings Limited’s ability to pay dividends to the shareholders and investors of the ADSs and to service any debt it may incur may depend upon dividends paid by our PRC subsidiaries and license and service fees paid by the consolidated variable interest entities. If any of our subsidiaries incurs debt on its own behalf in the future, the instruments governing such debt may restrict its ability to pay dividends to Vipshop Holdings Limited. In addition, our PRC subsidiaries are permitted to pay dividends to Vipshop Holdings Limited only out of their retained earnings, if any, as determined in accordance with PRC accounting standards and regulations. Furthermore, our PRC subsidiaries and the consolidated variable interest entities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Prospects—B. Liquidity and Capital Resources—Holding Company Structure.”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company has established a centralized cash management policy to direct how funds are transferred between Vipshop Holdings Limited, our subsidiaries, and the VIEs to improve the efficiency and ensure the security of cash management. We have established controls and procedures for cash flows within our organization. Under our cash management policy, cash is centrally managed by the treasury department of our company, and each transfer of cash between Vipshop Holdings Limited and a subsidiary or the VIE is subject to internal approval. The treasury department monitors the transfer of funds based on the rolling cash flow forecast of our company. The treasury department also prepares fund management reports regularly, analyzes funds usage and verifies and reports events that lead to major fluctuations in funds to our management team. We only allow authorized departments and personnel to have access to our funds, and we also segregate duties among personnel involved in funds management. Furthermore, all funds are transferred in accordance with the applicable PRC laws and regulations.</w:t>
      </w:r>
    </w:p>
    <w:p>
      <w:pPr>
        <w:spacing w:after="0" w:line="18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PRC laws and regulations to provide funding to our wholly foreign-owned subsidiaries in China only through loans or capital contributions, and to the consolidated variable interest entities or their subsidiaries only through loans, subject to the approval of government authorities and limits on the amount of capital contributions and loans. In addition, our wholly foreign-owned subsidiaries in China may provide RMB funding to their respective subsidiaries only through capital contributions and entrusted loans, and to the consolidated variable interest entities only through entrusted loans. See “Item 5. Operating and Financial Review—B. Liquidity and Capital Resources” and “Item 3. Key Information—D. Risk Factors—Risks Relating to Doing Business in the Jurisdiction Where We Primarily Operate—PRC regulation of loans to and direct investments in PRC entities by offshore holding companies may delay or prevent us from using the proceeds of our debt and equity offerings to make loans or additional capital contributions to our PRC subsidiaries in China.”</w:t>
      </w:r>
    </w:p>
    <w:p>
      <w:pPr>
        <w:spacing w:after="0" w:line="188"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Under PRC laws and regulations, our PRC subsidiaries and the consolidated variable interest entities and their subsidiaries are subject to certain restrictions with respect to payment of dividends or otherwise transfers of any of their net assets to us. Remittance of dividends by a wholly foreign-owned enterprise out of China is also subject to examination by the banks designated by the State Administration of Foreign Exchange, or SAFE. These restrictions are benchmarked against the paid-in capital and the statutory reserve funds of our PRC subsidiaries and the net assets of the consolidated variable interest entities in which we have no legal ownership. As of December 31, 2023, 2024 and 2025, the total amount of such restriction to which our PRC subsidiaries and the consolidated variable interest entities and their subsidiaries are subject was RMB15.31 billion, RMB16.20 billion and RMB16.65 billion (US$2.38 billion). Furthermore, cash transfers from our PRC subsidiaries and the consolidated variable interest entities and their subsidiaries to entities outside of China are subject to PRC governmental control on currency conversion. As a result, the funds in our PRC subsidiaries, the consolidated variable interest entities or their subsidiaries in China may not be available to fund operations or for other use outside of China due to interventions in, or the imposition of restrictions and limitations on, the ability of our holding company, our subsidiaries, or the consolidated variable interest entities or their subsidiaries by the PRC government on such currency conversion. For risks relating to the fund flows of our operations in China, see “Item 3. Key Information—D. Risk Factors—Risks Relating to Doing Business in the Jurisdiction Where We Primarily Operate—We principally rely on dividends and other distributions on equity paid by our PRC subsidiaries and payments made by the VIEs to us in accordance with the contractual arrangements to fund our cash and financing requirements, and any limitation on the ability of our PRC subsidiaries and the VIEs to make payments to us could materially and adversely affect our ability to conduct our business” and “Item 3. Key Information—D. Risk Factors—Risks Relating to Doing Business in the Jurisdiction Where We Primarily Operate—The requirements and legal procedures of currency conversion may limit our ability to utilize our revenue effectively and affect the value of your investment.”</w:t>
      </w:r>
    </w:p>
    <w:p>
      <w:pPr>
        <w:spacing w:after="0" w:line="19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Vipshop Holdings Limited did not provide any capital contribution to its subsidiaries.</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Vipshop Holdings Limited did not extend any intercompany loans to its subsidiaries, and the subsidiaries did not provide any repayment of intercompany loans to Vipshop Holdings Limited.</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2024 and 2025, our subsidiaries did not extend any intercompany loans to Vipshop Holdings Limited. For the years ended December 31, 2023, 2024 and 2025, our subsidiaries did not extend any intercompany loans to the consolidated variable interest entities, and the consolidated variable interest entities did not provide any repayment of intercompany loans to our subsidiaries.</w:t>
      </w:r>
    </w:p>
    <w:p>
      <w:pPr>
        <w:spacing w:after="0" w:line="18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2024 and 2025, an aggregate amount of RMB1.26 billion, RMB1.88 billion and nil was provided by the consolidated variable interest entities to our subsidiaries in the form of intercompany loans, respectively, and an aggregate amount of RMB3.26 billion, RMB1.89 billion and nil was provided by our subsidiaries to the consolidated variable interest entities in the form of repayment of intercompany loans, respectively.</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our subsidiaries did not make any payment to the consolidated variable interest entities for transfer of property and equipment.</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2024 and 2025, no assets other than cash were transferred between our Cayman Islands holding company and a subsidiary, a VIE, or its subsidiary, and no subsidiary or VIE paid dividends or made other distributions to its holding company, except for the dividend of nil, RMB10 billion and RMB6.23 billion paid by Vipshop (China) Co., Ltd., our PRC subsidiary, to its holding company in Hong Kong, Vipshop International Holdings Limited, in 2023, 2024 and 2025. These dividends are subject to 5% withholding tax. For the years ended December 31, 2024 and 2025, Vipshop International Holdings Limited paid dividends of RMB1.68 billion and RMB1.77 billion (US$252.9 million) to the Cayman Islands holding company.</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the services provided, cash flows, or transfer of other assets between our company, our subsidiaries, and the consolidated variable interest entities during the three years ended December 31, 2023, 2024 and 2025, see “Item 3. Key Information—Financial Information Relating to the Consolidated Variable Interest Entities” and Note 2(b) to our consolidated financial statements included elsewhere in this annual report on Form 20-F.</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February 22, 2024, we adopted an annual cash dividend policy. Under the annual cash dividend policy, we may choose to declare and distribute a cash dividend each year in accordance with our memorandum and articles of association and the applicable laws and regulations. Our board of directors has discretion as to whether to distribute dividends, subject to applicable laws. Even if our board of directors decides to declare dividends, the timing, amount, and form of future dividends, if any, will depend on, among other things, our future results of operations and cash flow, our capital requirements and surplus, the amount of distributions, if any, that we receive from our subsidiaries, our financial condition, contractual restrictions, and other factors deemed relevant by our board of directors. See “Item 8. Financial Information—A. Consolidated Statements and Other Financial Information—Dividend Policy.” For PRC and United States federal income tax considerations of an investment in our ADSs, see “Item 10. Additional Information—E. Taxation.”</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February 28, 2024, we declared a cash dividend of US$2.15 per ordinary share, or US$0.43 per ADS, to holders of ordinary shares and holders of ADSs of record as of the close of business on March 15, 2024. The cash dividends were paid in April 2024 and the net cash dividends we paid amounted to US$233.3 million, excluding the cash dividends distributed to the bulk issuance of ADSs reserved for future issuances upon the exercise or vesting of awards granted under our stock incentive plans and our treasury ADSs.</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February 21, 2025, we declared a cash dividend of US$2.40 per ordinary share, or US$0.48 per ADS, to holders of ordinary shares and holders of ADSs of record as of the close of business on April 11, 2025. The cash dividends were paid in April 2025 and the net cash dividends we paid amounted to US$247.4 million, excluding the cash dividends distributed to the bulk issuance of ADSs reserved for future issuances upon the exercise or vesting of awards granted under our stock incentive plans and our treasury ADSs.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February 26, 2026, we declared a cash dividend of US$3.10 per ordinary share, or US$0.62 per ADS, to holders of ordinary shares and holders of ADSs of record as of the close of business on April 10, 2026. The cash dividends will be paid on April 24, 2026 and the net cash dividend is expected to be approximately US$300 million, excluding the cash dividends distributed to the bulk issuance of ADSs reserved for future issuances upon the exercise or vesting of awards granted under our stock incentive plans and our treasury ADSs.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Relating to the Consolidated Variable Interest Entities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schedules for the consolidated variable interest entities and other entities for the years and as of the dates indicated.</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Statements of Income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040" w:type="dxa"/>
            <w:vAlign w:val="bottom"/>
            <w:gridSpan w:val="2"/>
          </w:tcPr>
          <w:p>
            <w:pPr>
              <w:jc w:val="right"/>
              <w:ind w:right="722"/>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902"/>
              <w:spacing w:after="0" w:line="11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10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902"/>
              <w:spacing w:after="0" w:line="11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Parent</w:t>
            </w:r>
          </w:p>
        </w:tc>
        <w:tc>
          <w:tcPr>
            <w:tcW w:w="140" w:type="dxa"/>
            <w:vAlign w:val="bottom"/>
          </w:tcPr>
          <w:p>
            <w:pPr>
              <w:spacing w:after="0"/>
              <w:rPr>
                <w:sz w:val="12"/>
                <w:szCs w:val="12"/>
                <w:color w:val="auto"/>
              </w:rPr>
            </w:pP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Subsidiaries</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Variable Interest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Eliminations</w:t>
            </w:r>
            <w:r>
              <w:rPr>
                <w:rFonts w:ascii="Times New Roman" w:cs="Times New Roman" w:eastAsia="Times New Roman" w:hAnsi="Times New Roman"/>
                <w:sz w:val="21"/>
                <w:szCs w:val="21"/>
                <w:b w:val="1"/>
                <w:bCs w:val="1"/>
                <w:color w:val="auto"/>
                <w:w w:val="97"/>
                <w:vertAlign w:val="superscript"/>
              </w:rPr>
              <w:t>(2)</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7"/>
              </w:rPr>
              <w:t>(RMB in thousands)</w:t>
            </w: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105,818,865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1,634,635</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(1,533,954)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105,919,546</w:t>
            </w:r>
          </w:p>
        </w:tc>
        <w:tc>
          <w:tcPr>
            <w:tcW w:w="0" w:type="dxa"/>
            <w:vAlign w:val="bottom"/>
          </w:tcPr>
          <w:p>
            <w:pPr>
              <w:spacing w:after="0"/>
              <w:rPr>
                <w:sz w:val="1"/>
                <w:szCs w:val="1"/>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of gain from subsidiaries and consolidated variable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entities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7,204,058</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(7,204,058)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7,242,490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6,875,752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495,455</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(7,204,058)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7,409,639</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7,225,558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6,875,752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495,455</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(7,204,058)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7,392,707</w:t>
            </w:r>
          </w:p>
        </w:tc>
        <w:tc>
          <w:tcPr>
            <w:tcW w:w="0" w:type="dxa"/>
            <w:vAlign w:val="bottom"/>
          </w:tcPr>
          <w:p>
            <w:pPr>
              <w:spacing w:after="0"/>
              <w:rPr>
                <w:sz w:val="1"/>
                <w:szCs w:val="1"/>
                <w:color w:val="auto"/>
              </w:rPr>
            </w:pPr>
          </w:p>
        </w:tc>
      </w:tr>
      <w:tr>
        <w:trPr>
          <w:trHeight w:val="346"/>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040" w:type="dxa"/>
            <w:vAlign w:val="bottom"/>
            <w:gridSpan w:val="2"/>
          </w:tcPr>
          <w:p>
            <w:pPr>
              <w:jc w:val="right"/>
              <w:ind w:right="722"/>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902"/>
              <w:spacing w:after="0" w:line="11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10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902"/>
              <w:spacing w:after="0" w:line="11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Parent</w:t>
            </w:r>
          </w:p>
        </w:tc>
        <w:tc>
          <w:tcPr>
            <w:tcW w:w="140" w:type="dxa"/>
            <w:vAlign w:val="bottom"/>
          </w:tcPr>
          <w:p>
            <w:pPr>
              <w:spacing w:after="0"/>
              <w:rPr>
                <w:sz w:val="12"/>
                <w:szCs w:val="12"/>
                <w:color w:val="auto"/>
              </w:rPr>
            </w:pP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Subsidiaries</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Variable Interest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Eliminations</w:t>
            </w:r>
            <w:r>
              <w:rPr>
                <w:rFonts w:ascii="Times New Roman" w:cs="Times New Roman" w:eastAsia="Times New Roman" w:hAnsi="Times New Roman"/>
                <w:sz w:val="21"/>
                <w:szCs w:val="21"/>
                <w:b w:val="1"/>
                <w:bCs w:val="1"/>
                <w:color w:val="auto"/>
                <w:w w:val="97"/>
                <w:vertAlign w:val="superscript"/>
              </w:rPr>
              <w:t>(2)</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7"/>
              </w:rPr>
              <w:t>(RMB in thousands)</w:t>
            </w: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108,334,798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1,192,547</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(1,106,513)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108,420,832</w:t>
            </w:r>
          </w:p>
        </w:tc>
        <w:tc>
          <w:tcPr>
            <w:tcW w:w="0" w:type="dxa"/>
            <w:vAlign w:val="bottom"/>
          </w:tcPr>
          <w:p>
            <w:pPr>
              <w:spacing w:after="0"/>
              <w:rPr>
                <w:sz w:val="1"/>
                <w:szCs w:val="1"/>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of gain from subsidiaries and consolidated variable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entities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7,757,671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(7,757,671)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7,739,935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7,767,442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89,239</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(7,757,671)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7,838,945</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7,628,130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7,767,442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89,239</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(7,757,671)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7,727,140</w:t>
            </w:r>
          </w:p>
        </w:tc>
        <w:tc>
          <w:tcPr>
            <w:tcW w:w="0" w:type="dxa"/>
            <w:vAlign w:val="bottom"/>
          </w:tcPr>
          <w:p>
            <w:pPr>
              <w:spacing w:after="0"/>
              <w:rPr>
                <w:sz w:val="1"/>
                <w:szCs w:val="1"/>
                <w:color w:val="auto"/>
              </w:rPr>
            </w:pPr>
          </w:p>
        </w:tc>
      </w:tr>
      <w:tr>
        <w:trPr>
          <w:trHeight w:val="360"/>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040" w:type="dxa"/>
            <w:vAlign w:val="bottom"/>
            <w:gridSpan w:val="2"/>
          </w:tcPr>
          <w:p>
            <w:pPr>
              <w:jc w:val="right"/>
              <w:ind w:right="722"/>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902"/>
              <w:spacing w:after="0" w:line="11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10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902"/>
              <w:spacing w:after="0" w:line="11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Parent</w:t>
            </w:r>
          </w:p>
        </w:tc>
        <w:tc>
          <w:tcPr>
            <w:tcW w:w="140" w:type="dxa"/>
            <w:vAlign w:val="bottom"/>
          </w:tcPr>
          <w:p>
            <w:pPr>
              <w:spacing w:after="0"/>
              <w:rPr>
                <w:sz w:val="12"/>
                <w:szCs w:val="12"/>
                <w:color w:val="auto"/>
              </w:rPr>
            </w:pP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Subsidiaries</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Variable Interest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Eliminations</w:t>
            </w:r>
            <w:r>
              <w:rPr>
                <w:rFonts w:ascii="Times New Roman" w:cs="Times New Roman" w:eastAsia="Times New Roman" w:hAnsi="Times New Roman"/>
                <w:sz w:val="21"/>
                <w:szCs w:val="21"/>
                <w:b w:val="1"/>
                <w:bCs w:val="1"/>
                <w:color w:val="auto"/>
                <w:w w:val="97"/>
                <w:vertAlign w:val="superscript"/>
              </w:rPr>
              <w:t>(2)</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7"/>
              </w:rPr>
              <w:t>(RMB in thousands)</w:t>
            </w: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112,556,789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1,374,993</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(1,075,762)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112,856,020</w:t>
            </w:r>
          </w:p>
        </w:tc>
        <w:tc>
          <w:tcPr>
            <w:tcW w:w="0" w:type="dxa"/>
            <w:vAlign w:val="bottom"/>
          </w:tcPr>
          <w:p>
            <w:pPr>
              <w:spacing w:after="0"/>
              <w:rPr>
                <w:sz w:val="1"/>
                <w:szCs w:val="1"/>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of gain from subsidiaries and consolidated variable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entities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8,090,266</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(8,090,266)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8,116,624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366,728</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(8,090,266)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8,201,299</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8,128,663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7,808,213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366,728</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(8,090,266)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8,213,338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15684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340" w:right="2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2024 and 2025, net revenue contributed by Vipshop China, Chongqing Pinwei E-commerce Co., Ltd, or Chongqing Pinwei, and their subsidiaries accounted for 90%, 90% and 89% of the total net revenue, respectively. For the years ended December 31, 2023, 2024 and 2025, net income contributed by Vipshop China, Chongqing Pinwei and their subsidiaries accounted for 97%, 98% and 94% of the total net income, respectively.</w:t>
      </w:r>
    </w:p>
    <w:p>
      <w:pPr>
        <w:spacing w:after="0" w:line="17"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represents the intercompany service fee for technology services provided by our subsidiaries to the consolidated variable interest entities and services rendered relating to marketing activities provided by the consolidated variable interest entities to our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Balance Sheets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8"/>
          </w:tcPr>
          <w:p>
            <w:pPr>
              <w:ind w:left="9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124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Consolidated</w:t>
            </w:r>
          </w:p>
        </w:tc>
        <w:tc>
          <w:tcPr>
            <w:tcW w:w="11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874"/>
              <w:spacing w:after="0" w:line="11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r>
              <w:rPr>
                <w:rFonts w:ascii="Times New Roman" w:cs="Times New Roman" w:eastAsia="Times New Roman" w:hAnsi="Times New Roman"/>
                <w:sz w:val="21"/>
                <w:szCs w:val="21"/>
                <w:b w:val="1"/>
                <w:bCs w:val="1"/>
                <w:color w:val="auto"/>
                <w:vertAlign w:val="superscript"/>
              </w:rPr>
              <w:t>(1)</w:t>
            </w:r>
          </w:p>
        </w:tc>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21"/>
                <w:szCs w:val="21"/>
                <w:b w:val="1"/>
                <w:bCs w:val="1"/>
                <w:color w:val="auto"/>
                <w:vertAlign w:val="superscript"/>
              </w:rPr>
              <w:t>(2)</w:t>
            </w: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Interest Entities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(RMB in thousands)</w:t>
            </w:r>
          </w:p>
        </w:tc>
        <w:tc>
          <w:tcPr>
            <w:tcW w:w="14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20,344,937</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2,643,412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782,487</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350,242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5,637,181</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 net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754,026</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 and other receivables and prepayments, net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3,351,539</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group companies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874,822</w:t>
            </w: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17,402,764</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276,150</w:t>
            </w:r>
          </w:p>
        </w:tc>
        <w:tc>
          <w:tcPr>
            <w:tcW w:w="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(18,553,736)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receivables, net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5,153,413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5,153,413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18,267,924</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property and equipment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10,426,682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324,063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method investees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2,266,681</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3,979,469</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820,887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4,800,356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 in subsidiaries and the consolidated variable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entities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58,995,811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(58,995,811)</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291,085</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741,922</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756,156</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390,739</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59,875,861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90,562,489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5,954,515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(77,549,547)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78,843,318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group companies</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(17,402,764)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18,553,736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(1,468,348)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(32,001,279)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(930,527)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(18,871,112)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(33,152,251)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18,553,736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(41,004,749)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(57,410,238)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(5,023,988)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58,995,811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(44,443,164)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60" w:type="dxa"/>
            <w:vAlign w:val="bottom"/>
          </w:tcPr>
          <w:p>
            <w:pPr>
              <w:spacing w:after="0"/>
              <w:rPr>
                <w:sz w:val="24"/>
                <w:szCs w:val="24"/>
                <w:color w:val="auto"/>
              </w:rPr>
            </w:pPr>
          </w:p>
        </w:tc>
        <w:tc>
          <w:tcPr>
            <w:tcW w:w="12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8"/>
          </w:tcPr>
          <w:p>
            <w:pPr>
              <w:ind w:left="9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4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Consolidated</w:t>
            </w:r>
          </w:p>
        </w:tc>
        <w:tc>
          <w:tcPr>
            <w:tcW w:w="11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874"/>
              <w:spacing w:after="0" w:line="11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r>
              <w:rPr>
                <w:rFonts w:ascii="Times New Roman" w:cs="Times New Roman" w:eastAsia="Times New Roman" w:hAnsi="Times New Roman"/>
                <w:sz w:val="21"/>
                <w:szCs w:val="21"/>
                <w:b w:val="1"/>
                <w:bCs w:val="1"/>
                <w:color w:val="auto"/>
                <w:vertAlign w:val="superscript"/>
              </w:rPr>
              <w:t>(1)</w:t>
            </w:r>
          </w:p>
        </w:tc>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w:t>
            </w:r>
            <w:r>
              <w:rPr>
                <w:rFonts w:ascii="Times New Roman" w:cs="Times New Roman" w:eastAsia="Times New Roman" w:hAnsi="Times New Roman"/>
                <w:sz w:val="21"/>
                <w:szCs w:val="21"/>
                <w:b w:val="1"/>
                <w:bCs w:val="1"/>
                <w:color w:val="auto"/>
                <w:vertAlign w:val="superscript"/>
              </w:rPr>
              <w:t>(2)</w:t>
            </w: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Interest Entities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(RMB in thousands)</w:t>
            </w:r>
          </w:p>
        </w:tc>
        <w:tc>
          <w:tcPr>
            <w:tcW w:w="14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22,998,282</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3,353,468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32,900</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569,442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related parties, net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545,421</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 and other receivables and prepayments, net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2,747,428</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due from group companies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908,747</w:t>
            </w: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14,335,254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(15,244,001)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receivables, net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5,031,867</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5,032,069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18,245,764</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for property and equipment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164,849</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10,686,400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327,836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method investees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1,111,998</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2,695,838</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659,651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3,355,489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 in subsidiaries and the consolidated variable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entities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52,490,094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(52,490,094)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434,206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741,922</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678,465</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432,497</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53,402,675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82,762,733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6,504,813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(67,734,095)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74,936,126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group companies</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(13,433,091)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15,244,001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(32,484,870)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(901,256)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(33,386,897)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(13,433,862)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(33,393,617)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15,244,001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(33,386,897)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(39,968,813)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(49,369,116)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(4,701,394)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52,490,094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(41,549,229)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87" w:lineRule="exact"/>
        <w:rPr>
          <w:sz w:val="20"/>
          <w:szCs w:val="20"/>
          <w:color w:val="auto"/>
        </w:rPr>
      </w:pPr>
    </w:p>
    <w:p>
      <w:pPr>
        <w:ind w:left="340" w:right="100" w:hanging="332"/>
        <w:spacing w:after="0" w:line="28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2025, assets held by Vipshop China, Chongqing Pinwei and their subsidiaries accounted for 41% and 39% of our total assets, respectively.</w:t>
      </w:r>
    </w:p>
    <w:p>
      <w:pPr>
        <w:spacing w:after="0" w:line="1" w:lineRule="exact"/>
        <w:rPr>
          <w:rFonts w:ascii="Times New Roman" w:cs="Times New Roman" w:eastAsia="Times New Roman" w:hAnsi="Times New Roman"/>
          <w:sz w:val="18"/>
          <w:szCs w:val="18"/>
          <w:color w:val="auto"/>
        </w:rPr>
      </w:pPr>
    </w:p>
    <w:p>
      <w:pPr>
        <w:ind w:left="340" w:right="30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represents the intercompany service fee for technology services provided by our subsidiaries to the consolidated variable interest entities and services rendered relating to marketing activities provided by the consolidated variable interest entities to our subsidiaries.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Consolidating Cash Flow Information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40" w:type="dxa"/>
            <w:vAlign w:val="bottom"/>
            <w:gridSpan w:val="4"/>
          </w:tcPr>
          <w:p>
            <w:pPr>
              <w:jc w:val="right"/>
              <w:ind w:right="8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776"/>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4"/>
          </w:tcPr>
          <w:p>
            <w:pPr>
              <w:jc w:val="center"/>
              <w:ind w:right="2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Consolidated</w:t>
            </w:r>
          </w:p>
        </w:tc>
        <w:tc>
          <w:tcPr>
            <w:tcW w:w="1040" w:type="dxa"/>
            <w:vAlign w:val="bottom"/>
            <w:gridSpan w:val="4"/>
          </w:tcPr>
          <w:p>
            <w:pPr>
              <w:jc w:val="right"/>
              <w:ind w:right="8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794"/>
              <w:spacing w:after="0" w:line="11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Parent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2"/>
              </w:rPr>
              <w:t>(RMB in thousands)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1,849,317</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6,028,008</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(423,080)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7,454,245</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Loans to group companies</w:t>
            </w:r>
            <w:r>
              <w:rPr>
                <w:rFonts w:ascii="Times New Roman" w:cs="Times New Roman" w:eastAsia="Times New Roman" w:hAnsi="Times New Roman"/>
                <w:sz w:val="25"/>
                <w:szCs w:val="25"/>
                <w:color w:val="auto"/>
                <w:vertAlign w:val="superscript"/>
              </w:rPr>
              <w:t>(1)</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Repayments from Group Companies</w:t>
            </w:r>
            <w:r>
              <w:rPr>
                <w:rFonts w:ascii="Times New Roman" w:cs="Times New Roman" w:eastAsia="Times New Roman" w:hAnsi="Times New Roman"/>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amount due from group companies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3,461,763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(3,461,763)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(7,791,091)</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(505,959)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(8,297,050)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3,461,763</w:t>
            </w:r>
          </w:p>
        </w:tc>
        <w:tc>
          <w:tcPr>
            <w:tcW w:w="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(7,791,091)</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(505,959)</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(3,461,763)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(8,297,050)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Borrowings under loan from group companies</w:t>
            </w:r>
            <w:r>
              <w:rPr>
                <w:rFonts w:ascii="Times New Roman" w:cs="Times New Roman" w:eastAsia="Times New Roman" w:hAnsi="Times New Roman"/>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Repayment to group companies</w:t>
            </w:r>
            <w:r>
              <w:rPr>
                <w:rFonts w:ascii="Times New Roman" w:cs="Times New Roman" w:eastAsia="Times New Roman" w:hAnsi="Times New Roman"/>
                <w:sz w:val="25"/>
                <w:szCs w:val="25"/>
                <w:color w:val="auto"/>
                <w:vertAlign w:val="superscript"/>
              </w:rPr>
              <w:t>(1)</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amount due to ultimate holding company</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(3,461,763)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3,461,763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(5,309,459)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3,373,887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(1,935,572)</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(5,309,459)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3,461,763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(1,935,572)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40" w:type="dxa"/>
            <w:vAlign w:val="bottom"/>
            <w:gridSpan w:val="4"/>
          </w:tcPr>
          <w:p>
            <w:pPr>
              <w:jc w:val="right"/>
              <w:ind w:right="8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776"/>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4"/>
          </w:tcPr>
          <w:p>
            <w:pPr>
              <w:jc w:val="center"/>
              <w:ind w:right="2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Consolidated</w:t>
            </w:r>
          </w:p>
        </w:tc>
        <w:tc>
          <w:tcPr>
            <w:tcW w:w="1040" w:type="dxa"/>
            <w:vAlign w:val="bottom"/>
            <w:gridSpan w:val="4"/>
          </w:tcPr>
          <w:p>
            <w:pPr>
              <w:jc w:val="right"/>
              <w:ind w:right="8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794"/>
              <w:spacing w:after="0" w:line="11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Parent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2"/>
              </w:rPr>
              <w:t>(RMB in thousands)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1,662,949</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8,099,198</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(633,164)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9,128,983</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Loans to group companies</w:t>
            </w:r>
            <w:r>
              <w:rPr>
                <w:rFonts w:ascii="Times New Roman" w:cs="Times New Roman" w:eastAsia="Times New Roman" w:hAnsi="Times New Roman"/>
                <w:sz w:val="25"/>
                <w:szCs w:val="25"/>
                <w:color w:val="auto"/>
                <w:vertAlign w:val="superscript"/>
              </w:rPr>
              <w:t>(1)</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(1,884,299)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1,884,299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Repayments from Group Companies</w:t>
            </w:r>
            <w:r>
              <w:rPr>
                <w:rFonts w:ascii="Times New Roman" w:cs="Times New Roman" w:eastAsia="Times New Roman" w:hAnsi="Times New Roman"/>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1,892,999</w:t>
            </w:r>
          </w:p>
        </w:tc>
        <w:tc>
          <w:tcPr>
            <w:tcW w:w="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(1,892,999)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amount due from group companies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3,887,078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(3,887,078)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(3,409,649)</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(3,565,550)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3,887,078</w:t>
            </w:r>
          </w:p>
        </w:tc>
        <w:tc>
          <w:tcPr>
            <w:tcW w:w="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(3,409,649)</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(147,201)</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(3,895,778)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(3,565,550)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Borrowings under loan from group companies</w:t>
            </w:r>
            <w:r>
              <w:rPr>
                <w:rFonts w:ascii="Times New Roman" w:cs="Times New Roman" w:eastAsia="Times New Roman" w:hAnsi="Times New Roman"/>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Repayment to group companies</w:t>
            </w:r>
            <w:r>
              <w:rPr>
                <w:rFonts w:ascii="Times New Roman" w:cs="Times New Roman" w:eastAsia="Times New Roman" w:hAnsi="Times New Roman"/>
                <w:sz w:val="25"/>
                <w:szCs w:val="25"/>
                <w:color w:val="auto"/>
                <w:vertAlign w:val="superscript"/>
              </w:rPr>
              <w:t>(1)</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(1,892,999)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1,892,999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amount due to ultimate holding company</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(5,550,502)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582,777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(4,969,579)</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(5,550,502)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(3,313,001)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3,895,778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(4,969,579)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40" w:type="dxa"/>
            <w:vAlign w:val="bottom"/>
            <w:gridSpan w:val="4"/>
          </w:tcPr>
          <w:p>
            <w:pPr>
              <w:jc w:val="right"/>
              <w:ind w:right="9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816"/>
              <w:spacing w:after="0" w:line="118"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4"/>
          </w:tcPr>
          <w:p>
            <w:pPr>
              <w:jc w:val="center"/>
              <w:ind w:right="6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Consolidated</w:t>
            </w:r>
          </w:p>
        </w:tc>
        <w:tc>
          <w:tcPr>
            <w:tcW w:w="1040" w:type="dxa"/>
            <w:vAlign w:val="bottom"/>
            <w:gridSpan w:val="4"/>
          </w:tcPr>
          <w:p>
            <w:pPr>
              <w:jc w:val="right"/>
              <w:ind w:right="8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14"/>
              <w:spacing w:after="0" w:line="11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2"/>
              </w:rPr>
              <w:t>(RMB in thousands)</w:t>
            </w:r>
          </w:p>
        </w:tc>
        <w:tc>
          <w:tcPr>
            <w:tcW w:w="140" w:type="dxa"/>
            <w:vAlign w:val="bottom"/>
            <w:gridSpan w:val="2"/>
          </w:tcPr>
          <w:p>
            <w:pPr>
              <w:spacing w:after="0"/>
              <w:rPr>
                <w:sz w:val="11"/>
                <w:szCs w:val="11"/>
                <w:color w:val="auto"/>
              </w:rPr>
            </w:pPr>
          </w:p>
        </w:tc>
        <w:tc>
          <w:tcPr>
            <w:tcW w:w="9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14,413,200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14,414,513</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Loans to group companies</w:t>
            </w:r>
            <w:r>
              <w:rPr>
                <w:rFonts w:ascii="Times New Roman" w:cs="Times New Roman" w:eastAsia="Times New Roman" w:hAnsi="Times New Roman"/>
                <w:sz w:val="25"/>
                <w:szCs w:val="25"/>
                <w:color w:val="auto"/>
                <w:vertAlign w:val="superscript"/>
              </w:rPr>
              <w:t>(1)</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(1,255,813)</w:t>
            </w:r>
          </w:p>
        </w:tc>
        <w:tc>
          <w:tcPr>
            <w:tcW w:w="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1,255,813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Repayments from Group Companies</w:t>
            </w:r>
            <w:r>
              <w:rPr>
                <w:rFonts w:ascii="Times New Roman" w:cs="Times New Roman" w:eastAsia="Times New Roman" w:hAnsi="Times New Roman"/>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3,263,935</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(3,263,935)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amount due from group companies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5,086,910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(5,086,910)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(5,036,746)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(5,160,337)</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5,086,910</w:t>
            </w:r>
          </w:p>
        </w:tc>
        <w:tc>
          <w:tcPr>
            <w:tcW w:w="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(5,036,746)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1,884,531</w:t>
            </w:r>
          </w:p>
        </w:tc>
        <w:tc>
          <w:tcPr>
            <w:tcW w:w="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(7,095,032)</w:t>
            </w:r>
          </w:p>
        </w:tc>
        <w:tc>
          <w:tcPr>
            <w:tcW w:w="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(5,160,337)</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Borrowings under loan from group companies</w:t>
            </w:r>
            <w:r>
              <w:rPr>
                <w:rFonts w:ascii="Times New Roman" w:cs="Times New Roman" w:eastAsia="Times New Roman" w:hAnsi="Times New Roman"/>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Repayment to group companies</w:t>
            </w:r>
            <w:r>
              <w:rPr>
                <w:rFonts w:ascii="Times New Roman" w:cs="Times New Roman" w:eastAsia="Times New Roman" w:hAnsi="Times New Roman"/>
                <w:sz w:val="25"/>
                <w:szCs w:val="25"/>
                <w:color w:val="auto"/>
                <w:vertAlign w:val="superscript"/>
              </w:rPr>
              <w:t>(1)</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(3,263,935)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3,263,935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amount due to ultimate holding company</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(5,086,910)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5,086,910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(5,106,944)</w:t>
            </w:r>
          </w:p>
        </w:tc>
        <w:tc>
          <w:tcPr>
            <w:tcW w:w="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(1,039,061)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(6,146,005)</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(5,106,944)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(8,134,093)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7,095,032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(6,146,005)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48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340" w:right="320" w:hanging="332"/>
        <w:spacing w:after="0" w:line="26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2024 and 2025, an aggregate amount of RMB1.26 billion, RMB1.88 billion and nil was provided by the consolidated variable interest entities to our subsidiaries in the form of intercompany loan, respectively, an aggregate amount of RMB3.26 billion, RMB1.89 billion and nil was provided by our subsidiaries to the consolidated variable interest entities in the form of repayment of intercompany loan, respectively.</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4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2024 and 2025, our PRC subsidiary Vipshop China distributed a portion of the earnings that amounted to nil, RMB10 billion and RMB6. 23 billion to Vipshop International Holdings Limited, its holding company in Hong Kong.</w:t>
      </w:r>
    </w:p>
    <w:p>
      <w:pPr>
        <w:spacing w:after="0" w:line="158"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right="7060" w:hanging="332"/>
        <w:spacing w:after="0" w:line="500" w:lineRule="auto"/>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6300" w:hanging="332"/>
        <w:spacing w:after="0" w:line="500" w:lineRule="auto"/>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An investment in our ADSs involves significant risks. The operational and legal risks as well as the potential consequences associated with having operations in mainland China as discussed in the risk factors under “Item 3. Key Information—D. Risk Factors— Risks Relating to Our Business and Industry” also apply to any operations that we may have in Hong Kong. Below is a summary of material risks that we face, organized under headings. These risks are discussed more fully in “Item 3. Key Information—D. Risk Factors.”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229" w:lineRule="exact"/>
        <w:rPr>
          <w:sz w:val="20"/>
          <w:szCs w:val="20"/>
          <w:color w:val="auto"/>
        </w:rPr>
      </w:pPr>
    </w:p>
    <w:p>
      <w:pPr>
        <w:ind w:left="680" w:right="46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business and execute our strategies, our financial results and prospects may be materially and adversely affected.</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merchandising team fails to effectively curate a desirable product assortment, our business, results of operations, and growth prospects may be materially and adversely affected.</w:t>
      </w:r>
    </w:p>
    <w:p>
      <w:pPr>
        <w:spacing w:after="0" w:line="161"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develop our relationships with brand partners, our business, results of operations, and growth prospects may be materially and adversely affected.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a stable supply of products may be disrupted by factors beyond our control, which could materially and adversely affect our business operations.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off-price retail of apparel products for a significant portion of our total net revenues.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into new categories may expose us to new challenges and more risks.</w:t>
      </w:r>
    </w:p>
    <w:p>
      <w:pPr>
        <w:spacing w:after="0" w:line="225"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continue to attract and retain customers, our business and prospects may be materially and adversely affected.</w:t>
      </w:r>
    </w:p>
    <w:p>
      <w:pPr>
        <w:spacing w:after="0" w:line="161" w:lineRule="exact"/>
        <w:rPr>
          <w:rFonts w:ascii="Times New Roman" w:cs="Times New Roman" w:eastAsia="Times New Roman" w:hAnsi="Times New Roman"/>
          <w:sz w:val="18"/>
          <w:szCs w:val="18"/>
          <w:color w:val="auto"/>
        </w:rPr>
      </w:pPr>
    </w:p>
    <w:p>
      <w:pPr>
        <w:ind w:left="680" w:right="66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may be materially and adversely affected if we are unable to deliver a satisfying customer experience or provide satisfying customer service on a continuing basis.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compete effectively against existing or new competitors, we may lose market share and customers.</w:t>
      </w:r>
    </w:p>
    <w:p>
      <w:pPr>
        <w:spacing w:after="0" w:line="225"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harm to our brand or failure to maintain our reputation may materially and adversely affect our business and growth prospects.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Corporate Structure</w:t>
      </w:r>
    </w:p>
    <w:p>
      <w:pPr>
        <w:spacing w:after="0" w:line="229" w:lineRule="exact"/>
        <w:rPr>
          <w:sz w:val="20"/>
          <w:szCs w:val="20"/>
          <w:color w:val="auto"/>
        </w:rPr>
      </w:pPr>
    </w:p>
    <w:p>
      <w:pPr>
        <w:ind w:left="680" w:right="80" w:hanging="321"/>
        <w:spacing w:after="0" w:line="254"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uncertainties and restrictions exist with respect to the interpretation and application of PRC laws and regulations relating to online commerce and provision of internet content in China. If the PRC government finds that the structure we have adopted for our business operations does not comply with PRC laws and regulations, we could be subject to severe penalties, including shut-down of our online retail channels. For more details, see “Item 3. Key Information—D. Risk Factors—Risks Relating to Our Corporate Structure—The interpretation and application of PRC laws and regulations relating to online commerce and provision of internet content may pose effects on us. If the PRC government finds that the structure we have adopted for our business operations does not comply with PRC laws and regulations, we could be subject to severe penalties, including shut-down of our online retail channels” on page 36 of this annual report.</w:t>
      </w:r>
    </w:p>
    <w:p>
      <w:pPr>
        <w:spacing w:after="0" w:line="191" w:lineRule="exact"/>
        <w:rPr>
          <w:rFonts w:ascii="Times New Roman" w:cs="Times New Roman" w:eastAsia="Times New Roman" w:hAnsi="Times New Roman"/>
          <w:sz w:val="18"/>
          <w:szCs w:val="18"/>
          <w:color w:val="auto"/>
        </w:rPr>
      </w:pPr>
    </w:p>
    <w:p>
      <w:pPr>
        <w:ind w:left="680" w:right="20" w:hanging="321"/>
        <w:spacing w:after="0" w:line="253"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consolidated variable interest entities and their respective shareholders for the operation of our business, which may not be as effective as direct ownership. If the consolidated variable interest entities and their respective shareholders fail to perform their obligations under these contractual arrangements, we may have to resort to arbitration or litigation to enforce our rights, which may be time-consuming, unpredictable, expensive, and damaging to our operations and reputation. For more details, see “Item 3. Key Information—D. Risk Factors—Risks Relating to Our Corporate Structure—We rely on contractual arrangements with the consolidated variable interest entities and their respective shareholders for the operation of our business, which may not be as effective as direct ownership. If the consolidated variable interest entities and their respective shareholders fail to perform their obligations under these contractual arrangements, we may have to resort to arbitration or litigation to enforce our rights, which may be time-consuming, unpredictable, expensive, and damaging to our operations and reputation” on page 38 of this annual report.</w:t>
      </w:r>
    </w:p>
    <w:p>
      <w:pPr>
        <w:spacing w:after="0" w:line="194" w:lineRule="exact"/>
        <w:rPr>
          <w:rFonts w:ascii="Times New Roman" w:cs="Times New Roman" w:eastAsia="Times New Roman" w:hAnsi="Times New Roman"/>
          <w:sz w:val="18"/>
          <w:szCs w:val="18"/>
          <w:color w:val="auto"/>
        </w:rPr>
      </w:pPr>
    </w:p>
    <w:p>
      <w:pPr>
        <w:ind w:left="680" w:right="80" w:hanging="321"/>
        <w:spacing w:after="0" w:line="261"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significant consolidated variable interest entity have potential conflict of interest with us, which may adversely affect our business. For more details, see “Item 3. Key Information—D. Risk Factors—Risks Relating to Our Corporate Structure—The shareholders of the significant consolidated variable interest entity have potential conflict of interest with us, which may adversely affect our business” on page 38 of this annual report.</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the Jurisdiction Where We Primarily Operate</w:t>
      </w:r>
    </w:p>
    <w:p>
      <w:pPr>
        <w:spacing w:after="0" w:line="229" w:lineRule="exact"/>
        <w:rPr>
          <w:sz w:val="20"/>
          <w:szCs w:val="20"/>
          <w:color w:val="auto"/>
        </w:rPr>
      </w:pPr>
    </w:p>
    <w:p>
      <w:pPr>
        <w:ind w:left="680" w:right="140" w:hanging="321"/>
        <w:spacing w:after="0" w:line="261"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materially and adversely affect our business and operations. For more details, see “Item 3. Key Information—D. Risk Factors—Risks Relating to Doing Business in the Jurisdiction Where We Primarily Operate—Changes in China’s economic, legal or social conditions, or government policies could materially and adversely affect our business and operations” on page 40 of this annual report.</w:t>
      </w:r>
    </w:p>
    <w:p>
      <w:pPr>
        <w:spacing w:after="0" w:line="179"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could adversely affect us. Since the PRC legal system may still be evolving, certain laws and regulations may evolve quickly with little advance notice, and the interpretation and enforcement of these laws and regulations may involve uncertainties and could limit the legal protections available to you and us. For more details, see “Item 3. Key Information—D. Risk Factors—Risks Relating to Doing Business in the Jurisdiction Where We Primarily Operate —The PRC legal system is developing, and failure to respond to such development could affect us” on page 41 of this annual report.</w:t>
      </w:r>
    </w:p>
    <w:p>
      <w:pPr>
        <w:spacing w:after="0" w:line="187" w:lineRule="exact"/>
        <w:rPr>
          <w:rFonts w:ascii="Times New Roman" w:cs="Times New Roman" w:eastAsia="Times New Roman" w:hAnsi="Times New Roman"/>
          <w:sz w:val="18"/>
          <w:szCs w:val="18"/>
          <w:color w:val="auto"/>
        </w:rPr>
      </w:pPr>
    </w:p>
    <w:p>
      <w:pPr>
        <w:ind w:left="680" w:right="80" w:hanging="321"/>
        <w:spacing w:after="0" w:line="254"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business operations are conducted in China, and we are subject to complex and evolving PRC laws and regulations. PRC government has significant oversight and discretion over the conduct of our business, and may intervene or influence our operations as the government deems appropriate to advance regulatory and societal goals and policy positions. The PRC government’s significant oversight and discretion over our business operations could result in a material adverse change in our operations and the value of our ADSs. For more details, see “Item 3. Key Information—D. Risk Factors—Risks Relating to Doing Business in the Jurisdiction Where We Primarily Operate—The PRC government’s significant oversight and discretion over our business operations could result in a material adverse change in our operations and the value of our ADSs” on page 41 of this annual report.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0" w:hanging="321"/>
        <w:spacing w:after="0" w:line="25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For more details, see “Item 3. Key Information—D. Risk Factors—Risks Relating to Doing Business in the Jurisdiction Where We Primarily Operate—The PCAOB had historically been unable to inspect our auditor in relation to their audit work performed for our financial statements and the inability of the PCAOB to conduct inspections of our auditor in the past has deprived our investors with the benefits of such inspections” on page 42 of this annual report.</w:t>
      </w:r>
    </w:p>
    <w:p>
      <w:pPr>
        <w:spacing w:after="0" w:line="187" w:lineRule="exact"/>
        <w:rPr>
          <w:rFonts w:ascii="Times New Roman" w:cs="Times New Roman" w:eastAsia="Times New Roman" w:hAnsi="Times New Roman"/>
          <w:sz w:val="18"/>
          <w:szCs w:val="18"/>
          <w:color w:val="auto"/>
        </w:rPr>
      </w:pPr>
    </w:p>
    <w:p>
      <w:pPr>
        <w:ind w:left="680" w:right="60" w:hanging="321"/>
        <w:spacing w:after="0" w:line="255"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For more details, see “Item 3. Key Information—D. Risk Factors —Risks Relating to Doing Business in the Jurisdiction Where We Primarily Operate—Our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on page 42 of this annual report.</w:t>
      </w:r>
    </w:p>
    <w:p>
      <w:pPr>
        <w:spacing w:after="0" w:line="188" w:lineRule="exact"/>
        <w:rPr>
          <w:rFonts w:ascii="Times New Roman" w:cs="Times New Roman" w:eastAsia="Times New Roman" w:hAnsi="Times New Roman"/>
          <w:sz w:val="18"/>
          <w:szCs w:val="18"/>
          <w:color w:val="auto"/>
        </w:rPr>
      </w:pPr>
    </w:p>
    <w:p>
      <w:pPr>
        <w:ind w:left="680" w:hanging="321"/>
        <w:spacing w:after="0" w:line="253"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may exert more control over offerings conducted overseas by and/or foreign investment in our company, which could result in a material change in our operations and/or the value of our securities. Any actions by the PRC government to exert more oversight and control over offshore offerings could significantly limit or completely hinder our ability to offer or continue to offer securities to investors and cause the value of such securities to significantly decline or become worthless. The approval of, filing with, and other administrative requirements of, the CSRC or other PRC government authorities may be required in connection with our future overseas offerings or future issuance of securities abroad under the PRC law, and, if required, we cannot predict whether or for how long we will be able to obtain such approval or complete such filing. For more details, see “Item 3. Key Information—D. Risk Factors—Risks Relating to Doing Business in the Jurisdiction Where We Primarily Operate—The approval of, filing with, and other administrative requirements of, the CSRC or other PRC government authorities may be required in connection with our future overseas offerings or future issuance of securities abroad under the PRC law, and, if required, we cannot predict whether or for how long we will be able to obtain such approval or complete such filing” on page 43 of this annual report.</w:t>
      </w:r>
    </w:p>
    <w:p>
      <w:pPr>
        <w:spacing w:after="0" w:line="189" w:lineRule="exact"/>
        <w:rPr>
          <w:rFonts w:ascii="Times New Roman" w:cs="Times New Roman" w:eastAsia="Times New Roman" w:hAnsi="Times New Roman"/>
          <w:sz w:val="18"/>
          <w:szCs w:val="18"/>
          <w:color w:val="auto"/>
        </w:rPr>
      </w:pPr>
    </w:p>
    <w:p>
      <w:pPr>
        <w:ind w:left="680" w:right="280" w:hanging="321"/>
        <w:spacing w:after="0" w:line="281" w:lineRule="auto"/>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adversely affected by the complexity, uncertainties, and changes in PRC regulation of internet-related businesses and companies, including e-commerce business. For more details, see “Item 3. Key Information—D. Risk Factors—Risks Relating to Doing Business in the Jurisdiction Where We Primarily Operate—We may be affected by the complexity, uncertainties, and changes in PRC regulation of internet-related businesses and companies” on page 44 of this annual report.</w:t>
      </w:r>
    </w:p>
    <w:p>
      <w:pPr>
        <w:spacing w:after="0" w:line="164" w:lineRule="exact"/>
        <w:rPr>
          <w:rFonts w:ascii="Times New Roman" w:cs="Times New Roman" w:eastAsia="Times New Roman" w:hAnsi="Times New Roman"/>
          <w:sz w:val="17"/>
          <w:szCs w:val="17"/>
          <w:color w:val="auto"/>
        </w:rPr>
      </w:pPr>
    </w:p>
    <w:p>
      <w:pPr>
        <w:ind w:left="680" w:right="120" w:hanging="321"/>
        <w:spacing w:after="0" w:line="253"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 our PRC subsidiaries or the VIEs in China may not be available to fund operations or for other use outside of China due to interventions in or the imposition of restrictions and limitations on the ability of our holding company, our subsidiaries, or the VIEs by the PRC government on currency conversion. For more details, see “Item 3. Key Information—D. Risk Factors—Risks Relating to Doing Business in the Jurisdiction Where We Primarily Operate—The requirements and legal procedures of currency conversion may limit our ability to utilize our revenue effectively and affect the value of your investment” on page 46 of this annual report and “Item 3. Key Information—D. Risk Factors—Risks Relating to Doing Business in the Jurisdiction Where We Primarily Operate—We principally rely on dividends and other distributions on equity paid by our PRC subsidiaries and payments made by the VIEs to us in accordance with the contractual arrangements to fund our cash and financing requirements, and any limitation on the ability of our PRC subsidiaries and the VIEs to make payments to us could materially and adversely affect our ability to conduct our business” on page 46 of this annual report.</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Ordinary Shares and ADSs</w:t>
      </w:r>
    </w:p>
    <w:p>
      <w:pPr>
        <w:spacing w:after="0" w:line="229"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our ADSs has fluctuated and may be volatile.</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ind w:left="20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business and execute our strategies, our financial results and prospects may be materially and adversely affected.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business has evolved significantly as a result of both organic growth of existing operations and acquisitions since our inception, and we may experience further developments from time to time in the future. We plan to further enhance our merchandising capabilities, expand customer base and wallet share, innovate and enhance our business model, and invest in technology. However, we cannot assure you that we will be able to achieve any of the above in a cost-effective manner, or at all. Our growth to date has placed, and our anticipated future operations will continue to place, significant strain on our management, systems, and resources. To manage our growth and maintain profitability, we anticipate that we will need to continue to implement, from time to time, a variety of new and upgraded operational and financial systems, procedures and controls on an as-needed basis. We will also need to further expand, train, manage, and motivate our workforce and manage our relationships with brand partners, customers, third-party service providers that we rely on, and other business partners. All of these endeavors involve risks and will require substantial management efforts and skills and significant additional expenditures. We cannot assure you that we will be able to effectively execute our future growth strategies, and failure to do so may materially and adversely affect our business and results of operations.</w:t>
      </w:r>
    </w:p>
    <w:p>
      <w:pPr>
        <w:spacing w:after="0" w:line="188" w:lineRule="exact"/>
        <w:rPr>
          <w:sz w:val="20"/>
          <w:szCs w:val="20"/>
          <w:color w:val="auto"/>
        </w:rPr>
      </w:pPr>
    </w:p>
    <w:p>
      <w:pPr>
        <w:ind w:left="20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merchandising team fails to effectively curate a desirable product assortment, our business, results of operations, and growth prospects may be materially and adversely affected.</w:t>
      </w:r>
    </w:p>
    <w:p>
      <w:pPr>
        <w:spacing w:after="0" w:line="15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business depends on our ability to offer a curated selection of quality branded products that are both highly desirable to our customers and offered at discounts. This ability is dependent on the expertise and performance of our merchandising team.</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capability to source the attractive products hinges on our merchandising team’s ability to accurately anticipate rapidly changing consumer trends, successfully negotiate favorable commercial terms, and secure reliable supply from brand partners. Any failure in accurately forecasting demand or negotiating purchase quantities may result in overbuying, leading to excess inventory and write-down, or underbuying, resulting in stockouts and loss of sales opportunities. The performance of our merchandising team is subject to execution risk. There is no assurance that our merchandising team will accurately identify emerging trends, successfully negotiate optimal terms, or select products that will resonate with our customers in a timely and consistent manner, or at all. Failure to do so would directly result in an uncompetitive or unappealing product assortment. Furthermore, we face intense competition for top merchandising talent. If we are unable to attract, retain, and adequately train a highly skilled merchandising team, our merchandising capabilities and, consequently, our competitive position would be materially impaired.</w:t>
      </w:r>
    </w:p>
    <w:p>
      <w:pPr>
        <w:spacing w:after="0" w:line="184" w:lineRule="exact"/>
        <w:rPr>
          <w:sz w:val="20"/>
          <w:szCs w:val="20"/>
          <w:color w:val="auto"/>
        </w:rPr>
      </w:pPr>
    </w:p>
    <w:p>
      <w:pPr>
        <w:ind w:left="20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develop our relationships with brand partners, our business, results of operations, and growth prospects may be materially and adversely affected.</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merchandising capabilities are also linked to our relationships with brand partners. Our growth strategies require us to constantly expand and refresh our product offerings by engaging with both new and existing brand partners. We depend significantly on our ability to source products from brand partners on favorable pricing terms, typically at a substantial discount to the original sales price, with favorable payment terms and return policies. However, there can be no assurance that our existing brand partners will continue to collaborate with us on acceptable terms, or at all. In the event that we are not able to secure merchandise supply on favorable terms, our business, results of operations, and financial condition may be materially and adversely affected. As part of our growth strategy, we plan to further expand our brand and product offerings and thus need to continue establishing relationships with new brand partners to ensure our access to a steady supply of products on favorable commercial terms. Furthermore, our relationships with certain brand partners, particularly international brand partners of apparel products in China, may be adversely affected if they perceive our sale of branded products that are directly procured from overseas markets as creating channel conflicts. Any deterioration in these relationships could lead to reduced supply, termination of collaborations, or less favorable terms.</w:t>
      </w:r>
    </w:p>
    <w:p>
      <w:pPr>
        <w:spacing w:after="0" w:line="192"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If we cannot manage these challenges effectively, we may be unable to offer a product assortment that is sufficiently attractive, diverse, or priced competitively. This would inhibit our ability to differentiate ourselves in the market, respond to market trends, and meet customer expectations, ultimately leading to an inability to retain existing customers or acquire new ones. Consequently, our business, financial condition, and results of operations would be materially and adversely affected.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access to a stable supply of products may be disrupted by factors beyond our control, which could materially and adversely affect our business operations.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ability to maintain and develop relationships with our brand partners, our access to a stable supply of products, which may directly impact our product assortment, may also be disrupted by factors beyond our control. We rely on our brand partners to provide us with authorizations that are sufficient in scope and validity to support the sale of their products through our channels. If the authorization granted by our brand partners is insufficient to cover the scope of our intended business operations, we may be unable to offer or sell their products, which could materially and adversely affect our product assortment, business, and results of operations.</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Furthermore, for imported products, although we, as a retailer, are not directly responsible to obtain customs clearance or other permits for the sale of products imported by our brand partners, we are required under the PRC import regulations to check whether our brand partners who import such products have obtained the requisite import-related permits or filings and whether the products have passed the quality inspection before they are sold and distributed in the China market. If any of our brand partners fails to pay the required import tariffs, fails to obtain clearance from the customs or inspection and quarantine bureaus, or fails to meet the product labeling or other mandatory specification requirements, and sells such imported products to us, we may be subject to fines, suspension of business, and confiscation of unlawfully sold products and the proceeds from such sales, depending on the nature and gravity of such liabilities.</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incur liability for counterfeit or infringing products sold or information posted on our channels.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been and may continue to be subject to allegations that some of the items sold on our channels are counterfeit or infringe third parties’ rights. We cannot assure you that measures we have adopted in the course of sourcing such products to ensure their authenticity and to minimize potential liability of infringing third parties’ rights will be effective. Any inadvertent sales of counterfeit or infringing items, or public perception of such incidents, could harm our reputation, impair our ability to attract and retain customers, and cause us to incur additional costs to respond to any incident of this nature. If counterfeit products, or products, images, logos, or any other information that otherwise infringe third parties’ rights are sold or posted on our channels, we could also face infringement claims. Historically, we experienced several instances where certain products sold on our channels turned out to be infringing third parties’ rights. In 2023, 2024, 2025 and up to the date of this annual report, these incidents resulted in compensation of approximately RMB500 thousand in aggregate. To mitigate these risks, we have strengthened internal control measures, including vendor verification procedures requiring suppliers to provide valid qualification certificates and brand authorization documents, inventory acceptance protocols with third-party inspections, and contractual provisions prohibiting the supply of counterfeit or products that infringe third parties’ rights. We also conduct unscheduled inspections on vendor qualifications and product authenticity, and non-compliant vendors are subject to penalties or blacklisting. In the event of any incident, our internal control measures require us to take remedial actions including recalling affected products, compensating customers, and ceasing the sale of such products, which may result in significant additional costs. However, there can be no assurance that these measures will be effective in eliminating instances of counterfeit or infringing products from being sold on our channels. Furthermore, any negative publicity arising from actual or alleged infringement claims could further harm our reputation and brand image. The occurrence of such claims, whether or not they have merit, could materially and adversely affect our business, prospects, financial condition, and results of operations.</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rely on off-price retail of apparel products for a significant portion of our total net revenues.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Off-price retail sales of apparel products accounted for, and are expected to continue to account for, a significant portion of our total net revenues. We have increased our offerings to include other categories, such as baby and children products, skincare and cosmetics, and home goods and lifestyle products. However, we do not expect the sales of these new products and services to increase to a level that would reduce our dependence on our current line of products and services. Any event that results in a reduction in our sales of apparel products could materially and adversely affect our ability to maintain or increase our current level of revenue, our profitability, and business prospects.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categories may expose us to new challenges and more risks.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Expansion into new categories may involve new risks and challenges. Our lack of familiarity with new categories and lack of relevant customer data relating to such categories may make it more difficult for us to anticipate customer demand and preferences. We may misjudge customer demand, resulting in inventory buildup and possibly inventory write-down. It may also make it more difficult for us to inspect and control quality and ensure proper handling, storage, and delivery in new categories. Furthermore, new categories may subject us to additional regulatory compliance requirements, such as safety certifications, labeling standards, import/export restrictions, or compliance procedures, with which we may have limited prior experience. Failure to comply with these new and developing regulatory obligations in a timely manner could expose us to legal liability, fines and penalties, product recalls, or forced removal of products from our channels. We may experience higher return rates on products in new categories, receive more customer complaints about them and face costly product liability claims as a result of selling them, which would harm our brand and reputation as well as our financial performance. Furthermore, we may not have much purchasing power in new categories of products and we may not be able to negotiate favorable terms with suppliers. It may be difficult for us to achieve success in the new categories and our profit margin, if any, may be lower than we anticipate, which would adversely affect our overall profitability and results of operations. We cannot assure you that we will be able to recoup our investments in introducing these new categories.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continue to attract and retain customers, our business and prospects may be materially and adversely affected.</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future growth depends on our ability to continue to expand our customer base and increase engagement and spending from existing customers. This requires us to constantly stay abreast of emerging lifestyle, anticipate rapid changes in customer preferences and market dynamics, and respond to such changes in a timely, appropriate, and cost-effective manner. If we fail to cater to the tastes and preferences of our customers, we may suffer from reduced customer base and engagement, and our business, financial condition, and results of operations may be materially and adversely affected.</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must curate a selection of quality branded products that are not only highly desirable but also offered at discounts. If our customers cannot find their desired products on our retail channels at discounts, they may lose interest in us and engage with us less frequently or even stop engaging with us altogether, which in turn may materially and adversely affect our business, financial condition and results of operations.</w:t>
      </w:r>
    </w:p>
    <w:p>
      <w:pPr>
        <w:spacing w:after="0" w:line="176" w:lineRule="exact"/>
        <w:rPr>
          <w:sz w:val="20"/>
          <w:szCs w:val="20"/>
          <w:color w:val="auto"/>
        </w:rPr>
      </w:pPr>
    </w:p>
    <w:p>
      <w:pPr>
        <w:ind w:left="20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may be materially and adversely affected if we are unable to deliver a satisfying customer experience or provide satisfying customer service on a continuing basis.</w:t>
      </w:r>
    </w:p>
    <w:p>
      <w:pPr>
        <w:spacing w:after="0" w:line="15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success of our business hinges on our ability to provide satisfying customer experience and satisfying customer service, which in turn depends on a variety of factors. These factors include but are not limited to our ability to ensure reliable and timely delivery and provide superior after-sales services.</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ability to provide responsive and effective customer support is a critical element of customer experience. We have a dedicated customer service team responsible for handling general customer inquiries and requests, assisting customers with their ordering process, monitoring the status of orders, shipments and payments, resolving customer complaints, and providing other after-sales services. Despite our efforts, there can be no assurance that we can provide satisfactory customer services at all times. If we fail to satisfy the individual needs of customers, it may lead to customer frustration and negative feedback, and our brand and customer loyalty may be adversely affected.</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rely on our logistics network and third-party delivery companies for the timely and safe delivery of products and the processing of returns. Interruptions or failures in the fulfillment process could prevent the timely or successful delivery of our products. If our products are not delivered on time or are delivered in a damaged state, it may adversely affect the shopping experience of our customers. Our customers may refuse to accept our products and have less confidence in our services, which directly diminishes customer satisfaction and trust.</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a result, if we are unable to continue to maintain a consistently satisfying customer experience, we may not be able to retain existing customers or attract new customers, which could materially and adversely affect our business, financial condition, and results of operations.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compete effectively against existing or new competitors, we may lose market share and customers.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China’s off-price retailer market is rapidly evolving and competitive. We compete for customers, orders, products, and brand partners. Our primary competitors include other off-price retailers and other online and offline retail companies in China. We compete with others based on a number of factors, including, among other things:</w:t>
      </w:r>
    </w:p>
    <w:p>
      <w:pPr>
        <w:spacing w:after="0" w:line="176"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curate an attractive and differentiated product selection;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reliable capabilities across the supply chain;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refine customer experiences and service;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multi-channel operation that covers diverse online and offline scenarios;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R&amp;D and technological capabilities.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Some of our current and potential competitors may have significantly greater resources, longer operating histories, larger customer bases, and greater brand recognition. As the off-price retailer market in China is expected to grow, new competitors and some existing e-commerce companies may enter into this market. In addition, other off-price retailers may be acquired by, receive investment from, or enter into strategic relationships with, well- established and well-financed companies or investors, which would help enhance their competitive positions. Some of our competitors may be able to secure more favorable terms from brand partners, devote greater resources to marketing and promotional campaigns, adopt more aggressive pricing or inventory policies, and devote substantially more resources to their platform and system development than us. In addition, emerging technologies and continuing innovation in technological capabilities may increase the competition. Increasing competition may negatively affect our business development and brand recognition, which may in turn affect our market share and operating margins. We cannot assure you that we will be able to compete effectively against our competitors, and competitive pressure may materially and adversely affect our business, prospects, financial condition, and results of operations.</w:t>
      </w:r>
    </w:p>
    <w:p>
      <w:pPr>
        <w:spacing w:after="0" w:line="188" w:lineRule="exact"/>
        <w:rPr>
          <w:sz w:val="20"/>
          <w:szCs w:val="20"/>
          <w:color w:val="auto"/>
        </w:rPr>
      </w:pPr>
    </w:p>
    <w:p>
      <w:pPr>
        <w:ind w:left="20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harm to our brand or failure to maintain our reputation may materially and adversely affect our business and growth prospects.</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recognition and reputation of our brand among our customers and brand partners have significantly contributed to the growth of our business. Maintaining, protecting, and enhancing the recognition and reputation of our brand is critical to our business and competitiveness. Many factors, some of which are beyond our control, are important to maintaining and enhancing our brand equity and, if not properly managed, may negatively impact our brand equity and reputation. These factors include our ability to, among other things:</w:t>
      </w:r>
    </w:p>
    <w:p>
      <w:pPr>
        <w:spacing w:after="0" w:line="183"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desirable high-quality branded products at deep discounts on a daily basis;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satisfactory customer experience;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efficiency, reliability, and quality of our services;</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brand awareness among existing and potential customers through various marketing and promotional activities and word-of-mouth referrals; and</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our reputation and goodwill in the event of any negative media publicity on product quality, authenticity, or internet security issues affecting us.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have developed a strong brand that we believe has contributed significantly to the success of our business. If we are unable to maintain our reputation, enhance our brand recognition, or increase positive awareness of our retail channels, products, and services, it may be difficult to maintain and grow our customer base, and our business and growth prospects may be materially and adversely affected.</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suffer financial losses if we are unable to effectively manage our inventory.</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Due to the nature of our business, we need to manage a large volume of inventory turnover. We depend on our forecasts of demand and popularity for various kinds of products to make decisions regarding product procurements. Our customers may not order products at our expected levels. In addition, any unfavorable market or industry conditions or change in consumer trends and preferences may limit our ability to accurately forecast the inventory levels to meet customer needs.</w:t>
      </w:r>
    </w:p>
    <w:p>
      <w:pPr>
        <w:spacing w:after="0" w:line="13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generally have the right to return unsold items for most of our products to our brand partners. In order to secure more favorable commercial terms, we may need to continue to enter into supply arrangements without unconditional return clauses or with more restrictive return policies. We may also need to take inventory in certain product categories. Furthermore, because products imported to China are generally not returnable, our inventory may contain an increasing portion of unreturnable products to the extent our direct procurement from overseas markets continues to grow.</w:t>
      </w:r>
    </w:p>
    <w:p>
      <w:pPr>
        <w:spacing w:after="0" w:line="1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we fail to manage our inventory effectively in the future, we may be subject to a heightened risk of inventory obsolescence, a decline in inventory values, and significant write-down, which could materially and adversely affect our business, financial condition, and results of operations. In addition, if we are unable to sell products or if we are required to lower sale prices in order to reduce inventory level or to pay higher prices to our brand partners in order to secure the right to return products to our brand partners, our profit margins might be negatively affected. High inventory levels may also require us to commit substantial capital resources, preventing us from using that capital for other important purposes. If we do not accurately predict product demand, our business, financial condition, and results of operations may be materially and adversely affected.</w:t>
      </w:r>
    </w:p>
    <w:p>
      <w:pPr>
        <w:spacing w:after="0" w:line="144" w:lineRule="exact"/>
        <w:rPr>
          <w:sz w:val="20"/>
          <w:szCs w:val="20"/>
          <w:color w:val="auto"/>
        </w:rPr>
      </w:pPr>
    </w:p>
    <w:p>
      <w:pPr>
        <w:ind w:left="20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higher than expected product return rate, our business, financial condition, and results of operations may be materially and adversely affected.</w:t>
      </w:r>
    </w:p>
    <w:p>
      <w:pPr>
        <w:spacing w:after="0" w:line="15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Purchases of apparel-related and other discretionary merchandises over the internet may be subject to higher return rate than merchandise sold at physical stores. In order to accommodate our customers and to overcome any hesitance that they may have in shopping with us, we currently implement a product return policy for purchases via our retail channels and refund our customers if they return the products or refuse to accept the delivery. If we are unable to efficiently manage our product return rate within an appropriate range relative to our sales volume, or if our product return rate increases or is higher than expected, our revenues and costs can be negatively impacted. In addition, as we cannot return some products to our brand partners pursuant to our contracts with them, if return rate for such products increases significantly, we may experience an increase in our inventory balance, inventory impairment, and fulfillment costs, which may materially and adversely affect our working capital. As a result, our business, financial condition, and results of operations may be materially and adversely affected.</w:t>
      </w:r>
    </w:p>
    <w:p>
      <w:pPr>
        <w:spacing w:after="0" w:line="184" w:lineRule="exact"/>
        <w:rPr>
          <w:sz w:val="20"/>
          <w:szCs w:val="20"/>
          <w:color w:val="auto"/>
        </w:rPr>
      </w:pPr>
    </w:p>
    <w:p>
      <w:pPr>
        <w:ind w:left="20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effectively manage, maintain, and protect our logistics network from disruptions could materially and adversely affect our business, financial condition, and results of operations.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logistics network, currently consisting of regional distribution centers, and bonded warehouses, is essential for processing orders, fulfilling deliveries, and supporting customer service. We plan to maintain our logistics network to accommodate increasing volumes of customer orders, enhance customer experience, and provide sufficient coverage across China. However, we cannot assure you that we may successfully execute these plans. Nor can we assure you that we will be able to recruit or retain qualified managerial and operational personnel to support our logistics network. If we are unable to effectively control expenses relating to the maintenance of our logistics network, our business, prospects, financial condition, and results of operations could be materially and adversely affected.</w:t>
      </w:r>
    </w:p>
    <w:p>
      <w:pPr>
        <w:spacing w:after="0" w:line="183" w:lineRule="exact"/>
        <w:rPr>
          <w:sz w:val="20"/>
          <w:szCs w:val="20"/>
          <w:color w:val="auto"/>
        </w:rPr>
      </w:pPr>
    </w:p>
    <w:p>
      <w:pPr>
        <w:ind w:left="20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the warehousing of products in our possession. If any of these risks materializes, our business, financial condition, and results of operations could be materially and adversely affected.</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operate our regional distribution centers, and bonded warehouses. Natural disasters or other unanticipated catastrophic events, including power interruptions, water shortage, storms, fires, flood, earthquakes, terrorist attacks and wars, could destroy any inventory located in these facilities and significantly impair our business operations. Our logistics network may also be vulnerable to damage caused by telecommunications failure, cybersecurity attacks, break-ins, human error, and other events. Furthermore, as some facilities of our logistics network are on leased premises, the lease or usage of these facilities could be challenged by third parties or government authorities, which may cause interruptions to our business operations. In the event that our use of leased properties is successfully challenged, we may be subject to fines and forced to relocate the affected operations. We can provide no assurance that we will be able to find suitable replacement sites on terms acceptable to us on a timely basis, or at all, or that we will not be subject to material liability resulting from third parties’ challenges on our use of such properties.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primarily rely on third-party delivery companies for our product order fulfillment, and if we are unable to maintain existing relationship with these third-party delivery companies or they fail to provide reliable delivery services, our business and reputation may be materially and adversely affected.</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providing quality order fulfillment services to our customers. We primarily rely on high-quality third-party delivery companies to fulfill our product delivery demand, and have built our in-house warehousing systems with nationwide coverage over the years.</w:t>
      </w:r>
    </w:p>
    <w:p>
      <w:pPr>
        <w:spacing w:after="0" w:line="17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Interruptions to or failures in delivery services could prevent the timely or proper delivery of our products. Therefore, our business prospects depend, in part, on our ability to maintain and expand our relationship with these third-party delivery companies. If we are unable to maintain satisfactory relationships with our existing third-party delivery companies, or if these third-party delivery companies establish similar or more favorable relationships with our competitors, or if any one or more of these delivery companies significantly reduce participation in our services for a sustained period of time or completely withdraw participation in our services, our business and results of operations may be materially and adversely affected. Interruptions to or failures in delivery services may also be due to events that are beyond our control or the control of our third-party delivery partners, such as inclement weather, natural disasters, transportation interruptions, or labor unrest or shortage. Moreover, if these third-party delivery companies fail to comply with applicable rules and regulations, reputation of our delivery services may be materially and adversely affected. We may not be able to find alternative delivery companies to provide delivery services in a timely and reliable manner, or at all, to replace such third-party delivery companies to the extent necessary. In anticipation of intensified competition in the future, we may need to require further shortened delivery time at increasing fulfillment expenses. Delivery of our products could also be affected or interrupted by merger, acquisition, insolvency, or government shut-down of the third-party delivery companies we engage to make deliveries. If our products are not delivered in proper condition or on a timely basis, our business and reputation could suffer.</w:t>
      </w:r>
    </w:p>
    <w:p>
      <w:pPr>
        <w:spacing w:after="0" w:line="193" w:lineRule="exact"/>
        <w:rPr>
          <w:sz w:val="20"/>
          <w:szCs w:val="20"/>
          <w:color w:val="auto"/>
        </w:rPr>
      </w:pPr>
    </w:p>
    <w:p>
      <w:pPr>
        <w:ind w:left="20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proper functioning of our IT systems is essential to our business. Any failure to maintain the satisfactory performance, security, and integrity of our online channel and systems will materially and adversely affect our business, reputation, financial condition, and results of operations.</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IT systems mainly include technology infrastructure supporting the interfaces of our online channels, as well as our customer service, enterprise resource planning (ERP), warehouse management, product information management, business intelligence, and administration management systems. The satisfactory performance, reliability, and availability of our IT systems are critical to our success, our ability to attract and retain customers, and our ability to maintain a satisfactory customer experience and level of customer service.</w:t>
      </w:r>
    </w:p>
    <w:p>
      <w:pPr>
        <w:spacing w:after="0" w:line="14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servers may be vulnerable to computer viruses, customer traffic boom that exceeds the capacity of our servers, physical or electronic break-ins, and other disruptions, which could lead to system interruptions, website slowdown or unavailability, delays in transaction processing, loss of data, or the inability to accept and fulfill customer orders. We can provide no assurance that we will not experience such unexpected interruptions. We can provide no assurance that our current security mechanisms will be sufficient to protect our IT systems from any third-party intrusions, viruses or hacker attacks, information or data theft, or other similar activities. Any such future occurrences could damage our reputation and result in a material decrease in our revenue. We did not have material system failure in 2025.</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Additionally, we intend to continue using our available cash and financing options to upgrade and improve our IT systems and cybersecurity to support our business growth. However, we cannot assure you that we will be successful in executing these system upgrades and improvement strategies. In particular, our systems may experience interruptions during upgrades, and the new technologies or infrastructures may not be fully integrated with the existing systems on a timely basis, or at all. If our existing or future IT systems do not function properly, it could cause system disruptions and slow response times, affecting data transmission, which in turn, could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adopt new technologies or keep up with the evolving technological advancements, our business, financial condition, and results of operations may be materially and adversely affected.</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To remain competitive, we must continue to enhance and improve the responsiveness, functionality, and features of our retail channels. The retail industry in general is characterized by rapid technological evolution, changes in end customer requirements and preferences, frequent introductions of new products and services embodying new technologies, and the emergence of new industry standards and practices that could render our existing proprietary technologies and systems obsolete. Our success will depend, in part, on our ability to identify, develop, acquire, or license leading technologies useful in our business, enhance our existing services, develop new services and technologies that address the increasingly sophisticated and varied needs of our existing and prospective customers, and respond to technological advances and emerging industry standards and practices, on a cost-effective and timely basis. The development of mobile applications, websites, and other proprietary technology entails significant technical and business risks. We can provide no assurance that we will be able to use new technologies effectively or adapt our business, proprietary technologies, and transaction-processing systems to meet customer requirements or emerging industry standards. If we are unable to accurately project the need for such system expansion or upgrade or to adapt our systems in a cost-effective and timely manner in response to changing market conditions or customer requirements, whether for technical, legal, financial, or other reasons, our business, prospects, financial condition, and results of operations could be materially and adversely affected.</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wide variety of accepted payment methods subject us to payment-related risks.</w:t>
      </w:r>
    </w:p>
    <w:p>
      <w:pPr>
        <w:spacing w:after="0" w:line="20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accept payments using a variety of methods, including our Vipshop Payment service and payment through third-party channels. These payment processing activities subject us to numerous risks that could materially and adversely affect our business, financial condition, and results of operations.</w:t>
      </w:r>
    </w:p>
    <w:p>
      <w:pPr>
        <w:spacing w:after="0" w:line="13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certain payment methods, including credit and debit cards processed via our Vipshop Payment service, we pay interchange and other fees, which may increase over time and raise our operating costs and lower our profit margins. Additionally, we may be subject to fraud, customer data leakage, and other illegal activities in connection with the various payment methods we offer.</w:t>
      </w:r>
    </w:p>
    <w:p>
      <w:pPr>
        <w:spacing w:after="0" w:line="13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security of payment operations, both our own and those of third-party providers, is critical to maintaining consumer confidence. In all online payment transactions, secured transmission of confidential information such as customers’ credit card numbers and personal information over public networks is essential. We do not have control over the security measures of our third-party online payment vendors, and security breaches could expose us to litigation and possible liability for failing to secure confidential customer information. Such breaches could damage our reputation and the perceived security of all payment services we use, potentially causing us to lose customers or discouraging new customers from purchasing on our retail channels.</w:t>
      </w:r>
    </w:p>
    <w:p>
      <w:pPr>
        <w:spacing w:after="0" w:line="160"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Furthermore, we are subject to various rules, regulations, and requirements, regulatory or otherwise, governing electronic fund transfers and online payment, which could change or be reinterpreted to make it difficult or impossible for us to comply with. If we fail to comply with these rules or requirements, we may be subject to fines and higher transaction fees and lose our ability to accept credit and debit card payments from our customers, process electronic fund transfers, or facilitate other types of online payments, and our business, financial condition, and results of operations could be materially and adversely affected.</w:t>
      </w:r>
    </w:p>
    <w:p>
      <w:pPr>
        <w:spacing w:after="0" w:line="139" w:lineRule="exact"/>
        <w:rPr>
          <w:sz w:val="20"/>
          <w:szCs w:val="20"/>
          <w:color w:val="auto"/>
        </w:rPr>
      </w:pPr>
    </w:p>
    <w:p>
      <w:pPr>
        <w:ind w:left="20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partially dependent on a wide array of third-party service providers, and any failure or disruption in their services could materially and adversely affect our business, financial condition, and results of operations.</w:t>
      </w:r>
    </w:p>
    <w:p>
      <w:pPr>
        <w:spacing w:after="0" w:line="159"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In addition to our third-party delivery service providers, we also rely on other third-party service providers, such as third-party licenses from some of the software developers to support our technological infrastructure and certain aspects of our operation, as well as certain third parties for certain professional services. Any interruption in our ability to obtain the products or services of these or other third parties or deterioration in their performance, such as server errors or interruptions, or dishonest business conduct could impair the timing and quality of our own service and performance. If our service providers fail to provide high-quality services in a timely manner to us or our customers, or provide services that are substantially different from its description or without licenses or permits as required by the laws and regulations despite that we have so requested, our services will not meet the expectations of our customers, our customers may claim against us for damages and stop engaging with us, and our reputation and brand will be damaged. Occasionally, these third-party service providers, their associates and/or network firms may be subject to complaints, claims, negative publicity, heightened scrutiny from regulatory authorities and general public, investigation, actions or penalties or be found to have violated applicable rules and regulations, which may not be related to, attributable to or caused by us, or within our control. If any of the above occurs, their ability to provide services to us could be adversely affected, which could cause our products and services that rely on these third-party services to become unavailable for extended periods of time or even indefinitely and could otherwise adversely affect our reputation, business operations, financial condition, and results of operations. If our arrangement with any of these third parties is terminated, we may not find an alternative source of support on a timely basis or on favorable terms to us.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Advertisements on our channels may subject us to penalties and other administration actions.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PRC advertising laws and regulations, we are obligated to monitor the advertising content shown on our channels to ensure that such content is true and consistent with supporting documents and in compliance with applicable laws and regulations. In addition, where a special government review is required for specific types of advertisements prior to internet posting, such as advertisements relating to pharmaceuticals, medical instruments, agrochemicals, veterinary pharmaceuticals, and healthcare food, we are obligated to confirm that such review has been performed and approval has been obtained. New advertising laws and regulations may be promulgated from time to time that may potentially impose additional requirements on online advertising services, and these restrictions may relate to, among other attributes, the content, placement and appearance of advertisements such as pop-ups advertisements, open screen advertisements and others. Violation of these laws and regulations may subject us to penalties, including imposition of fines, confiscation of our advertising income, orders to cease dissemination of the advertisements and orders to publish an announcement correcting the misleading information. In circumstances involving serious violations by us, relevant governmental authorities may force us to terminate our advertising operations or revoke our licenses.</w:t>
      </w:r>
    </w:p>
    <w:p>
      <w:pPr>
        <w:spacing w:after="0" w:line="188" w:lineRule="exact"/>
        <w:rPr>
          <w:sz w:val="20"/>
          <w:szCs w:val="20"/>
          <w:color w:val="auto"/>
        </w:rPr>
      </w:pPr>
    </w:p>
    <w:p>
      <w:pPr>
        <w:ind w:left="20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developing laws and regulations regarding cybersecurity and data privacy. Any failure to comply with these laws and regulations could result in claims, changes to our business practices, negative publicity, increased cost of operation, or declines in customer growth or engagement, or otherwise harm our business.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business generates and processes a large quantity of data. We face risks inherent in handling and protecting large volume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data. In particular, we face a number of challenges relating to data from transactions and other activities on our retail channels, including:</w:t>
      </w:r>
    </w:p>
    <w:p>
      <w:pPr>
        <w:spacing w:after="0" w:line="207" w:lineRule="exact"/>
        <w:rPr>
          <w:sz w:val="20"/>
          <w:szCs w:val="20"/>
          <w:color w:val="auto"/>
        </w:rPr>
      </w:pPr>
    </w:p>
    <w:p>
      <w:pPr>
        <w:ind w:left="680" w:right="60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in and hosted on our system, including against attacks on our system by outside parties or fraudulent behavior or improper use by our employees;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relating to privacy and sharing, safety, security, and other factors; and</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storage, transfer, disclosure, and security of personal information, including any requests from regulatory and government authorities relating to this data.</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Regulatory authorities around the world, including China, the European Union, and the United States, have adopted or are considering a number of legislative and regulatory proposals concerning data protection, such as a series of legislations enacted in China, the General Data Protection Regulation that came into application in the European Union, and the California Consumer Privacy Act, the similar legislation enacted in the United States. These legislations, related regulatory proposals, if adopted, and the uncertainty in their interpretations and application thereof could, in addition to the possibility of fines, result in an order requiring companies to change their data practices and policies, which could have an adverse effect on their respective business and results of operations. In general, we expect that data security and data protection compliance will receive greater attention and focus from regulators, both domestically and globally, as well as attract continued or greater public scrutiny and attention going forward, which could increase our compliance costs and subject us to heightened risks and challenges associated with data security and protection. If we are unable to manage these risks, we could become subject to penalties, including fines, suspension of business and revocation of required licenses, and our reputation and results of operations could be materially and adversely affected.</w:t>
      </w:r>
    </w:p>
    <w:p>
      <w:pPr>
        <w:spacing w:after="0" w:line="13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PRC regulatory and enforcement regime with regard to data security and data protection is developing and may be subject to different interpretations or significant changes. Moreover, different PRC regulatory bodies, including the Standing Committee of the National People’s Congress, the Ministry of Industry and Information Technology, the CAC, the Ministry of Public Security, and the State Administration for Market Regulation, or the SAMR, have complied with data privacy and protections laws and regulations with developing standards and applications. See “Item 4. Information on the Company—B. Business Overview—Regulation—Regulations Relating to Internet Privacy” and “Item 4. Information on the Company—B. Business Overview—Regulation—Regulations Relating to Information Security.”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data-related legislations may further develop and certain concepts thereunder remain subject to clarifications and interpretations by the regulators. If any data that we possess belongs to data categories that are subject to heightened scrutiny, we may be required to adopt stricter measures for the protection and management of such data. The Cybersecurity Review Measures and the Regulations on Network Data Security Administration remain unclear on whether the requirements will be applicable to companies that are already listed in the United States, such as us. We cannot predict the impact of the Cybersecurity Review Measures and the Regulations on Network Data Security Administration, if any, at this stage, and we will closely monitor and assess any development in the rule-making process. If the Cybersecurity Review Measures and the Regulations on Network Data Security Administration mandate clearance of cybersecurity review and other specific actions to be taken by issuers like us, we face uncertainties as to whether we can complete these additional procedures timely, or at all, which may subject us to government enforcement actions and investigations, fines, penalties, suspension of our non-compliant operations, or removal of our app from the application stores, and materially and adversely affect our business and results of operations and significantly limit or completely hinder our ability to continue to offer securities to investors, or cause the value of such securities to significantly decline. As of the date of this annual report, we have not been involved in any formal investigations on cybersecurity review made by the CAC on such basis.</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Despite our efforts to comply with applicable laws and regulations relating to cybersecurity and data privacy in connection with our ordinary course of business, any actual or perceived failure on our part to comply with applicable laws or regulations relating to cybersecurity or data privacy, or the perception or allegation that any of the foregoing types of failure has occurred, could damage our reputation or result in investigations, fines, suspension of our app, or other forms of sanctions or penalties by governmental authorities and private claims or litigation, any of which could materially and adversely affect our business, financial condition, results of operations, and prospects.</w:t>
      </w:r>
    </w:p>
    <w:p>
      <w:pPr>
        <w:spacing w:after="0" w:line="183" w:lineRule="exact"/>
        <w:rPr>
          <w:sz w:val="20"/>
          <w:szCs w:val="20"/>
          <w:color w:val="auto"/>
        </w:rPr>
      </w:pPr>
    </w:p>
    <w:p>
      <w:pPr>
        <w:ind w:left="20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confidential information of our customers and our network against security breaches could damage our reputation and brand and substantially harm our business and results of operations.</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 significant challenge to online retail and communications is the secure transmission of confidential information over public networks. Currently, almost all product orders and, in some cases, payments for products we offer, are made through our online channels and systems. In such transactions, maintaining security on our channels and systems for the transmission of confidential or private information, such as customers’ personal information, payment-related information, and transaction information, is essential to maintain consumer confidence in our channels and systems.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adopted rigorous security policies and measures, including use of encryption technology, to protect our proprietary data and customer information. However, advances in technology and hacker skills, new discoveries in the field of cryptography, or other events or developments could result in a compromise or breach of the technology that we use to protect confidential information. We may not be able to prevent third parties, especially hackers or other individuals or entities engaging in similar activities, from illegally obtaining such confidential or private information we hold as a result of our customers’ visits. Such individuals or entities obtaining our customers’ confidential or private information may further engage in various other illegal activities using such information. In addition, we have limited control or influence over the security policies or measures adopted by third-party providers of online payment services through which some of our customers may elect to make payment for purchases on our channels. Furthermore, our third-party delivery partners may also violate their confidentiality obligations and disclose or use information about our customers illegally. Although we do not believe that there would be any material adverse effect on our ability to carry out our current business operations if we were held responsible for any such illegal activities, any negative publicity on our safety or privacy protection mechanism and policy could materially and adversely affect our public image and reputation.</w:t>
      </w:r>
    </w:p>
    <w:p>
      <w:pPr>
        <w:spacing w:after="0" w:line="19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the methods used by hackers and others to engage in illegal online activities are increasingly sophisticated and constantly evolving. Significant capital, managerial, and other resources may be required to ensure and enhance information security or to address the issues caused by such security failure. Any perception by the public that e-commerce and transactions, or the privacy of customer information, are becoming increasingly unsafe or vulnerable to attack could inhibit the growth of online retail and other online services generally, which may also in turn reduce the number of orders we receive and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regard our trademarks, service marks, domain names, trade secrets, proprietary technologies, and other intellectual property as critical to our business. We rely on a combination of intellectual property laws and contractual arrangements, including confidentiality agreements and license agreements with our employees, brand partners, and others, to protect our proprietary rights. As of December 31, 2025, we had been granted 415 patents and submitted 1,167 patent applications in China. We also had 2,294 registered trademarks in China and 132 registered trademarks outside China, 291 copyrights (including copyrights to 253 software products in China that we develop relating to various aspects of our operations), and six registered domain names that are material to our business, including </w:t>
      </w:r>
      <w:r>
        <w:rPr>
          <w:rFonts w:ascii="Times New Roman" w:cs="Times New Roman" w:eastAsia="Times New Roman" w:hAnsi="Times New Roman"/>
          <w:sz w:val="18"/>
          <w:szCs w:val="18"/>
          <w:i w:val="1"/>
          <w:iCs w:val="1"/>
          <w:color w:val="auto"/>
        </w:rPr>
        <w:t xml:space="preserve">vip.com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vipshop.com</w:t>
      </w:r>
      <w:r>
        <w:rPr>
          <w:rFonts w:ascii="Times New Roman" w:cs="Times New Roman" w:eastAsia="Times New Roman" w:hAnsi="Times New Roman"/>
          <w:sz w:val="18"/>
          <w:szCs w:val="18"/>
          <w:color w:val="auto"/>
        </w:rPr>
        <w:t>. See “Item 4. Information on the Company—B. Business Overview—Intellectual Property.”</w:t>
      </w:r>
    </w:p>
    <w:p>
      <w:pPr>
        <w:spacing w:after="0" w:line="189"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We are required to comply with the applicable statutory laws and regulations in order to register, maintain, and enforce intellectual property rights in China, which are still developing. Confidentiality agreements and license agreements may be breached by counterparties, and there may not be adequate remedies available to us for any such breach. Accordingly, we may not be able to effectively protect our intellectual property rights or to enforce our contractual rights in China. Policing any unauthorized use of our intellectual property is difficult and costly and the steps we have taken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 Any failure in protecting or enforcing our intellectual property rights could materially and adversely affect our business, financial condition, and results of operations.</w:t>
      </w:r>
    </w:p>
    <w:p>
      <w:pPr>
        <w:spacing w:after="0" w:line="190" w:lineRule="exact"/>
        <w:rPr>
          <w:sz w:val="20"/>
          <w:szCs w:val="20"/>
          <w:color w:val="auto"/>
        </w:rPr>
      </w:pPr>
    </w:p>
    <w:p>
      <w:pPr>
        <w:ind w:left="20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15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 not or will not infringe upon or otherwise violate patents, copyrights, or other intellectual property rights held by third parties. We have been, and from time to time in the future may be, subject to legal proceedings and claims relating to the intellectual property rights of others. In addition, there may be other third-party intellectual property that is infringed by our products, services, or other aspects of our business. There could also be existing patents of which we are not aware that our products may inadvertently infringe. We cannot assure you that holders of patents purportedly relating to some aspect of our technology platform or business, if any such holders exist, would not seek to enforce such patents against us in China, the United States, or any other jurisdictions. Further, the application and interpretation of China, the United States and any other jurisdictions’ patent laws and the procedures and standards for granting patents in these jurisdictions are still developing and may be subject to uncertainty, and we cannot assure you that the concerning courts or regulatory authorities would agree with our analysis.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Finally, we use open-source codes in the software that we have developed in connection with our products and services. Companies that incorporate open-source software into their products and services have, from time to time, faced claims challenging the ownership of open-source software and compliance with open-source license terms. As a result, we could be subject to suits by parties claiming ownership of what we believe to be open-source software or noncompliance with open source licensing terms. Some open-source software licenses require users who distribute open-source software as part of their software to publicly disclose all or part of the source code to such software and make available any derivative works of the open-source code on unfavorable terms or at no cost. Any requirement to disclose our source code or pay damages for breach of contract could be harmful to our business, results of operations, and financial condition.</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and regulatory proceedings.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may be subject to litigation and regulatory proceedings relating to third-party and principal intellectual property infringement claims, contract disputes involving brand partners, consumer protection claims, claims relating to data and privacy protection, employment related cases, and other matters in the ordinary course of our business. There can be no assurance that we will be able to prevail in our defense or reverse any unfavorable judgment, ruling, or decision against us. In addition, we may decide to enter into settlements that may adversely affect our results of operations and financial condition.</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publicly-listed company, we may face additional exposure to claims and lawsuits inside and outside China, including securities law class actions. We will need to defend against these lawsuits, including any appeals should our initial defense be successful. The litigation process may utilize a material portion of our internal resources and could affect our business. There can be no assurance that we will prevail in any of these cases, and any adverse outcome of these cases could have a material adverse effect on our reputation, business, and results of operations. In addition, although we have obtained directors’ and officers’ liability insurance, the insurance coverage may not be adequate to cover our obligations to indemnify our directors and officers, fund a settlement of litigation in excess of insurance coverage or pay an adverse judgment in litigation. Our directors and executive officers may also face litigation or proceedings unrelated to their respective capacity as a director or executive officer of our company, and such litigation or proceedings may adversely affect our public image and reputation.</w:t>
      </w:r>
    </w:p>
    <w:p>
      <w:pPr>
        <w:spacing w:after="0" w:line="18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addition, there may be instances where we or third parties involved in our current or historical business operations or corporate transaction may not have fully complied with all applicable filing, registration, or reporting requirements under relevant laws and regulations. In such cases, relevant government authorities may seek to investigate us or impose penalties or other liabilities on us. The existence of litigation, claims, investigations, and proceedings may harm our reputation, limit our ability to conduct our business in the affected areas and adversely affect the trading price of our Class A ordinary shares or the ADSs. The outcome of any claims, investigations, and proceedings is inherently uncertain, and in any event defending against these claims could be both costly and time-consuming, and could significantly divert the efforts and resources of our management and other personnel. An adverse determination in any litigation, investigation, or proceeding could cause us to pay damages, incur legal and other costs, limit our ability to conduct business, or require us to change the manner in which we operate.</w:t>
      </w:r>
    </w:p>
    <w:p>
      <w:pPr>
        <w:spacing w:after="0" w:line="184"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potential government investigations or enforcement actions under anti-monopoly and anti-unfair competition laws and regulations.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PRC government, media outlets, and public advocacy groups have been increasingly focused on anti-monopoly and anti-unfair competition. The regulatory landscape for anti-monopoly and anti-unfair competition in China are still developing. New and amended laws, including the Anti-monopoly Law and Anti-unfair Competition Law, along with supporting regulations and guidelines, have clarified prohibitions against monopolistic and unfair competition conducts. See “Item 4. Information on the Company—B. Business Overview—Regulation—Regulations Relating to Anti-monopoly” and “Item 4. Information on the Company—B. Business Overview— Regulations—Regulations Relating to Anti-unfair Competition.”</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Due to the enhanced enforcement of the Anti-monopoly Law, we may receive greater scrutiny and attention from regulators and more frequent and rigid investigation or review by regulators, which will increase our compliance costs and subject us to heightened risks and challenges. The developing legislative activities and varied local implementation practices of anti-monopoly and anti-unfair competition laws and regulations in China may pose effects on us, and the Anti-monopoly Law, as amended, imposes a higher regulatory requirement for us to complete an acquisition. We may have to spend much more personnel cost and time evaluating and managing these risks and challenges in connection with our products and services as well as our investments in our ordinary business course to avoid any failure to comply with the Anti-monopoly Law and other anti-monopoly and anti-unfair competition laws and regulations. Our failure or perceived failure, if any, to comply with the Anti-monopoly Guidelines for Platform Economy Sector, the Anti-monopoly Law, and other anti-monopoly laws and regulations may result in governmental investigations or enforcement actions, litigations, or claims against us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been subject to administrative proceedings relating to anti-unfair competition laws. In January 2021, the SAMR initiated an investigation into our company for suspected unfair competition practices. The investigation pertained to certain of our technical practices conducted between August and December 2020 that affected the consumer attention, traffic, and transaction opportunities of certain brands that were selling through multiple online channels. SAMR determined that these practices violated Article 12 of the Anti-Unfair Competition Law of the People’s Republic of China (2019 Revision), which prohibits operators from using technical means to obstruct or disrupt the normal operation of network products or services legally provided by other operators. On February 8, 2021, SAMR imposed an administrative penalty of RMB3.0 million on us, the maximum penalty under the relevant provisions of the Anti-Unfair Competition Law. We paid the penalty in full and the matter was concluded accordingly. In response to this incident, we implemented comprehensive internal control enhancements, including: (i) immediate cessation of the practices identified by SAMR and implementation of measures to ensure ongoing compliance; (ii) establishment of a compliance committee and an independent compliance department with oversight responsibilities for key operational departments; (iii) implementation of regular compliance training programs for our business, operations, and technical departments focusing on anti-monopoly and anti-unfair competition regulations; and (iv) submission of a detailed rectification report to the SAMR to demonstrate full remediation. Since the imposition of the penalty, we have not received any further investigation or administrative penalty from any competent authority relating to anti-unfair competition in 2023, 2024 and 2025 and up to the date of this annual report. We believe that this incident did not have a material adverse impact on our business, financial condition, results of operations, or prospects. To prevent recurrence of similar incident, we have maintained robust internal controls and governance frameworks to ensure ongoing compliance with applicable laws and regulations relating to anti-unfair competition, including enhanced review procedures, staff training, and technical safeguards. Nonetheless, there can be no assurance that we will not be subject to any administrative proceedings relating to anti-monopoly and anti-unfair competition laws and regulations in the future.</w:t>
      </w:r>
    </w:p>
    <w:p>
      <w:pPr>
        <w:spacing w:after="0" w:line="1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May 6, 2024, the SAMR issued the Interim Provisions on Anti-Unfair Competition on the Internet, which prohibit business operators from using data, algorithms, and other technical means to commit traffic hijacking, interference, malicious incompatibility, and other improprieties to influence user choices or hinder or damage the normal operation of network products or services offered by other business operators. On June 27, 2025, the Standing Committee of the National People’s Congress promulgated the amended Anti-unfair Competition Law, which came into effect on October 15, 2025. The amended Anti-unfair Competition Law has, among other things, strengthened the regulation of unfair competition in the data economy area by explicitly prohibiting business operators from abusing platform rules for activities like fake transactions or malicious reviews or using data, algorithms, or technology to disrupt or interfere with the legitimate network services of other operators. The amended Anti-unfair Competition Law further provides that the regulatory authority may interview the responsible person, require him/her to explain the situation and propose corrective measures for the violation.</w:t>
      </w:r>
    </w:p>
    <w:p>
      <w:pPr>
        <w:spacing w:after="0" w:line="1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Due to the uncertainties associated with the developing legislative activities and varied local implementation practices of anti-monopoly and anti-unfair competition laws and regulations, compliance with these laws, regulations, rules, guidelines, and implementations may be costly, and any incompliance or associated inquiries, investigations, and other governmental actions may divert significant management time and attention and our financial resources, bring negative publicity, subject us to liabilities or administrative penalties, and materially and adversely affect our financial conditions, operations, and business prospects.</w:t>
      </w:r>
    </w:p>
    <w:p>
      <w:pPr>
        <w:spacing w:after="0" w:line="179" w:lineRule="exact"/>
        <w:rPr>
          <w:sz w:val="20"/>
          <w:szCs w:val="20"/>
          <w:color w:val="auto"/>
        </w:rPr>
      </w:pPr>
    </w:p>
    <w:p>
      <w:pPr>
        <w:ind w:left="20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Securities and Exchange Commission, or the SEC, which is charged with the protection of investors and the oversight of companies whose securities are publicly traded, and the various regulatory authorities in China and the Cayman Islands, and to new and developing regulatory measures under applicable law. Our efforts to comply with new and changing laws and regulations have resulted in and are likely to continue to result in, increased general and administrative expenses and a diversion of management time and attention from revenue generating activities to compliance activities.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interpretations, their application in practice may develop over time as new guidance becomes available. This development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strategic alliances or acquisitions may materially and adversely affect our business, financial condition, and results of operations.</w:t>
      </w:r>
    </w:p>
    <w:p>
      <w:pPr>
        <w:spacing w:after="0" w:line="15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may pursue selected strategic alliances and potential strategic acquisitions that are complementary to our business and operations, including opportunities that can help us promote our brand to new customers and suppliers, expand our product and service offerings, and improve our technology infrastructure. We may also pursue strategic initiatives with brands and platforms in international markets.</w:t>
      </w:r>
    </w:p>
    <w:p>
      <w:pPr>
        <w:spacing w:after="0" w:line="18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Strategic alliances with third parties could subject us to a number of risks, including risks associated with sharing proprietary information, non-performance or default by counterparties, increasing expenses in establishing these new alliances, and other general economic or political risks, any of which may materially and adversely affect our business. We may have little ability to control or monitor the actions of our partners. To the extent a strategic partner suffers any negative publicity as a result of its business operations, our reputation may be negatively affected by virtue of our association with such party.</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Strategic acquisitions and subsequent integrations of newly acquired businesses would require significant managerial and financial resources and could result in a diversion of resources from our existing business, which in turn could adversely affect our growth and business operations. The costs of identifying and consummating acquisitions may be significant. We may also incur significant expenses in obtaining approvals from shareholders and the government authorities in China and elsewhere in the world. Our failure to consummate acquisitions could also require us to pay certain pre-negotiated fees and expenses. Acquired businesses or assets may not generate expected financial results and may have historically incurred and continue to incur losses. In addition, acquisitions could also require the use of substantial amount of cash, issuance of equity or debt securities, incurrence of significant goodwill and related impairment charges, amortization expenses for intangible assets, and exposure to potential unknown liabilities of the acquired businesses or assets, including liabilities as the result of historical actions of the acquired businesses, and the provision therefor. The cost and duration of integrating newly acquired businesses could also materially exceed our expectations. Any such negative developments could materially and adversely affect our business, financial condition, and results of operations, as investor confidence and the market price of our securities may be materially and adversely affected.</w:t>
      </w:r>
    </w:p>
    <w:p>
      <w:pPr>
        <w:spacing w:after="0" w:line="186" w:lineRule="exact"/>
        <w:rPr>
          <w:sz w:val="20"/>
          <w:szCs w:val="20"/>
          <w:color w:val="auto"/>
        </w:rPr>
      </w:pPr>
    </w:p>
    <w:p>
      <w:pPr>
        <w:ind w:left="20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fear of spread of contagious diseases could disrupt our operations or Chinese or global economies, which could materially and adversely affect our business, financial condition, and results of operations.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Global pandemics, epidemics in China or elsewhere in the world, or fear of spread of contagious diseases, such as COVID-19, H1N1 flu, H7N9 flu, avian flu, severe acute respiratory syndrome (SARS), Ebola, or other disease could disrupt our business operations in China and elsewhere in the world, reduce or restrict our fulfillment capacity, or result in regional or global economic distress, which may materially and adversely affect our business, financial condition, and results of operations. Any one or more of these events or recurrence may adversely affect our sales results, or even for a prolonged period of time, which could materially and adversely affect our business, financial condition, and results of operations.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if people or properties are harmed by the products we sell.</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sell products manufactured by third parties, some of which may be defectively designed or manufactured. As a result, sales of such products could expose us to product liability claims in connection with personal injury or property damage and may require product recalls or other actions. Third parties subject to such injury or damage may bring claims or legal proceedings against us as a product retailer or as a marketplace service provider. Currently, we maintain product liability insurance in relation to products we sell for any product liability claims based on property damage or personal injury. We also maintain public liability insurance. However, any material product liability claim beyond our coverage or litigation could materially and adversely affect our business, financial condition, and results of operations. Even unsuccessful claims could result in the use of funds and managerial efforts in defending them and could negatively impact our reputation.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maintain profitable or positive cash flow from operating activities in the future.</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Although we have achieved net profit since the fourth quarter of 2012, we cannot assure you that we can continue to generate net profits or maintain positive cash flow from operating activities in the future. Our ability to be profitable depends on our ability to grow our business and increase our total net revenues, to optimize our product category mix, to negotiate favorable terms with our suppliers, and to control our costs and operating expenses. Although we have experienced significant revenue growth since our inception, such growth may not be sustainable and we may incur net losses in future periods or fail to maintain positive cash flow from operating activities. We have incurred in the past and expect to continue to incur in future periods share-based compensation expenses and we expect our costs and other operating expenses to continue to increase as our business grows, either of which will reduce our net income and may result in future losses. If our costs and operating expenses continue to increase without a commensurate increase in our revenue, our business, financial condition, and results of operations will be adversely affected, and we may need additional capital to fund our ongoing operations.</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Risks associated with our business and operations include, but are not limited to, damage to properties due to fire, explosions, and other accidents, business interruption due to power shortages or network failure, product liability claims, transportation damages, losses of key personnel, and risks posed by natural disasters including storms, floods, and earthquakes, any of which may result in significant costs or business disruption. We have maintained insurance coverage we consider necessary and sufficient for our business, and customary for the industry in which we operate, including all risk property insurance covering our equipment, facilities, inventories, and other properties and public liability insurance covering certain premises liability. However, we cannot assure you that our insurance coverage is sufficient to prevent us from any loss to be sustained or that we will be able to successfully claim our losses under our current insurance policies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190" w:lineRule="exact"/>
        <w:rPr>
          <w:sz w:val="20"/>
          <w:szCs w:val="20"/>
          <w:color w:val="auto"/>
        </w:rPr>
      </w:pPr>
    </w:p>
    <w:p>
      <w:pPr>
        <w:ind w:left="20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continuing efforts of our management. If we lose their services, our business may be severely disrupted.</w:t>
      </w:r>
    </w:p>
    <w:p>
      <w:pPr>
        <w:spacing w:after="0" w:line="11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Our business operations depend on the continuing efforts of our management, particularly the executive officers named in “Item 6. Directors, Senior Management and Employees—A. Directors and Senior Management.” If one or more of our management were unable or unwilling to continue their employment with us, we might not be able to replace them in a timely manner, or at all. We may incur additional expenses to recruit and retain qualified replacements. Our business may be severely disrupted and our financial condition and results of operations may be materially and adversely affected. In addition, our management may join a competitor or form a competing company. We can provide no assurance that we will be able to successfully enforce our contractual rights included in the employment agreements we have entered into with our management team. As a result, our business may be negatively affected due to the loss of one or more members of our management.</w:t>
      </w:r>
    </w:p>
    <w:p>
      <w:pPr>
        <w:spacing w:after="0" w:line="1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train, and retain qualified personnel, our business may be materially and adversely affected.</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intend to hire and retain additional qualified employees to support our business operations and planned expansion. Our future success depends, to a significant extent, on our ability to attract, train, and retain qualified personnel, particularly management, technical, marketing, and other operational personnel with expertise in the online retail industry. Our experienced mid-level managers are instrumental in implementing our business strategies, executing our business plans and supporting our business operations and growth. Since our industry is characterized by high demand and intense competition for talent, we cannot assure you that we will be able to attract or retain qualified staff or other highly skilled employees that we will need in order to achieve our strategic objectives. In addition, our ability to train and integrate new employees into our operations may also be limited and may not meet the demand for our business growth on a timely fashion, or at all. If we are unable to attract, train, and retain qualified personnel, our business may be materially and adversely affected.</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risks relating to our owned or leased properties.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had not obtained the property ownership certificates for a few of our properties. Also, we had not strictly complied with the requirements of PRC laws, competent authorities, or contracts in their entirety during our property acquisition and construction processes. As a result, our rights over such properties may be limited or challenged by relevant competent authorities. We may be subject to liquidated damages, administrative fines, or other penalties.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there were some defects in our leased properties. Some of our landlords do not have proper ownership certificates or authorization of sublease, or have other restrictions on their ownership of the properties. Some of our leased properties are not used in accordance with the designated purposes of such properties. In addition, some of our leased properties were mortgaged by the owners to third parties before we entered into lease agreements with them, and if such owners fail to perform their obligations secured by such properties and the mortgage is enforced by the third parties, we may be unable to continue to lease such properties and may be forced to relocate. Furthermore, some of our leasehold interests in leased properties have not been registered with the PRC government authorities as required by PRC laws.</w:t>
      </w:r>
    </w:p>
    <w:p>
      <w:pPr>
        <w:spacing w:after="0" w:line="14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defective owned and leased properties are primarily the ones used or to be used for the operation of our logistics network, retail operation of certain Shan Shan Outlets and our office space. We believe that these issues would not, individually or in the aggregate, materially affect our business operations or financial condition as these properties constitute an insignificant portion of our total property portfolio or our business operations. We have used or occupied these owned or leased properties for years, and during all the years of our use and occupation of these properties and up to the date of this annual report, we are not aware of any material claims or actions being contemplated or initiated by government authorities or any third parties with respect to our owned or leasehold interests in or use of such properties. We believe the likelihood that we may be requested to demolish or relocate from or cease to use such properties due to these defects is relatively low. In the event that we are required to relocate from any of these properties, we believe such relocation could be accomplished without a material adverse impact on our business operations or financial condition.</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we are subject to risks associated with leasing our properties to third parties, including risks relating to potential rental payment defaults, which could adversely affect our results of operations and financial condition. Additionally, tenants may cause damage to our properties beyond normal wear and tear, resulting in unexpected repair or restoration costs. In some cases, tenants may also fail to comply with the terms of their leases, leading to legal disputes, delays in re-leasing, or additional expenses, all of which could adversely affect our business, results of operations, and financial position.</w:t>
      </w:r>
    </w:p>
    <w:p>
      <w:pPr>
        <w:spacing w:after="0" w:line="152" w:lineRule="exact"/>
        <w:rPr>
          <w:sz w:val="20"/>
          <w:szCs w:val="20"/>
          <w:color w:val="auto"/>
        </w:rPr>
      </w:pPr>
    </w:p>
    <w:p>
      <w:pPr>
        <w:ind w:left="20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renew our current leases or locate desirable alternatives for our facilities could materially and adversely affect our business.</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lease various properties for offices, logistics network, offline stores, data centers, and customer service centers. We may not be able to successfully extend or renew such leases and may therefore be forced to relocate our affected operations. This could disrupt our operations and result in significant relocation expenses, which could materially and adversely affect our business, financial condition, and results of operations. In addition, we compete with other businesses for premises at certain locations or of desirable sizes. As a result, even though we could extend or renew our leases, rental payments may significantly increase as a result of the high demand for the leased properties. In addition, we may not be able to locate desirable alternative sites for our facilities as our business continues to grow. Such failure in relocating our affected operations could incur significant costs and may in turn adversely affect our business, results of operations, and financial condition.</w:t>
      </w:r>
    </w:p>
    <w:p>
      <w:pPr>
        <w:spacing w:after="0" w:line="147" w:lineRule="exact"/>
        <w:rPr>
          <w:sz w:val="20"/>
          <w:szCs w:val="20"/>
          <w:color w:val="auto"/>
        </w:rPr>
      </w:pPr>
    </w:p>
    <w:p>
      <w:pPr>
        <w:ind w:left="20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quarterly fluctuations due to a number of factors that could adversely affect our business and the trading price of our Class A ordinary shares or the ADSs.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experience seasonality in our business, reflecting a combination of seasonal fluctuations in internet usage, traditional retail seasonality patterns, and seasonal buying patterns in certain categories such as apparel. For example, sales in the retail industry are typically significantly higher in the fourth quarter of the year than in the preceding three quarters. E-commerce companies in China hold special promotional campaigns on November 11 and December 12 each year that boost sales in the fourth quarter relative to other quarters, and we hold a special promotional campaign in the fourth quarter of each year to celebrate the anniversary of our founding. Due to the foregoing factors, our financial condition and results of operations for future quarters may continue to fluctuate and our historical quarterly results may not be comparable to future quarters. As a result, the trading price of our Class A ordinary shares or the ADSs may fluctuate from time to time due to seasonality.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20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report our results of operations or prevent fraud, and investor confidence and the market price of our ADSs may be materially and adversely affected.</w:t>
      </w:r>
    </w:p>
    <w:p>
      <w:pPr>
        <w:spacing w:after="0" w:line="15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We are subject to the reporting obligations under the U.S. securities laws. The SEC, as required under Section 404 of the Sarbanes-Oxley Act of 2002, has adopted rules requiring a public company to include a report of management on the effectiveness of such company’s internal control over financial reporting in its annual report on Form 20-F. In addition, an independent registered public accounting firm for a public company must issue an attestation report on the effectiveness of our internal control over financial reporting for each fiscal year. As required by Section 404 of the Sarbanes-Oxley Act of 2002 and related rules promulgated by the SEC, our management assessed the effectiveness of our internal control over financial reporting as of December 31, 2025 using criteria established in Internal Control-Integrated Framework (2013) issued by the Committee of Sponsoring Organizations of the Treadway Commission. Based on this assessment, our management concluded that our internal control over financial reporting was effective as of December 31, 2025. In addition, our independent registered public accounting firm attested the effectiveness of our internal control and reported that our internal control over financial reporting was effective as of December 31, 2025. If we fail to achieve and maintain an effective internal control environment for our financial reporting, we may not be able to conclude on an ongoing basis that we have effective internal control over financial reporting in accordance with the Sarbanes-Oxley Act of 2002. We may therefore need to incur additional costs and use additional management and other resources in an effort to comply with Section 404 of the Sarbanes-Oxley Act of 2002 and other requirements going forward.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389"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as well as our ability to obtain financing, may be adversely affected by the downturn in the global or Chinese economy.</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Chinese and global macroeconomic environment may face numerous challenges. Geopolitical conflicts, such as the Russia-Ukraine conflict, the hostilities and conflicts in the Middle East and the Strait of Hormuz, have heightened geopolitical tensions across the world, which may lead to disruptions to oil prices, volatility in the international finance markets, and broader uncertainties in the global economy.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may be affected by global economic conditions, as well as changes in domestic economic policies and the expected or perceived overall economic growth rate in China. Any severe or prolonged slowdown in the global or Chinese economy may materially and adversely affect our business, results of operations, and financial condition. Specifically, our performance is dependent on consumer discretionary spending, which is sensitive to economic conditions and fluctuations in consumer sentiment. Any severe or prolonged deterioration in economic conditions or consumer demand could significantly impact our ability to manage our business and execute our strategies.</w:t>
      </w:r>
    </w:p>
    <w:p>
      <w:pPr>
        <w:spacing w:after="0" w:line="188" w:lineRule="exact"/>
        <w:rPr>
          <w:sz w:val="20"/>
          <w:szCs w:val="20"/>
          <w:color w:val="auto"/>
        </w:rPr>
      </w:pPr>
    </w:p>
    <w:p>
      <w:pPr>
        <w:ind w:left="20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political tensions, particularly between the United States and China, may adversely affect our business, financial condition, and results of operations.</w:t>
      </w:r>
    </w:p>
    <w:p>
      <w:pPr>
        <w:spacing w:after="0" w:line="15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recent years, there have been heightened trade and economic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United States and China have recently taken steps in their economic relations that may impact the economies of both nations, as well as the global economy. Although we currently conduct a substantial majority of our business in China, major developments in trade relations, including the imposition of new or increased tariffs by the U.S. and/or other countries could alter the trade environment and negatively affect the costs of our suppliers which, in turn, could have a negative impact on our financial condition and results of operations. Escalating U.S.-China tensions have triggered a chain reaction of economic and political repercussions, potentially worsening bilateral relations. U.S. legislative and policy initiatives may impose stricter measures on China-based companies listed on U.S. exchanges. The existing tensions and any further deterioration in the relationship between the United States and China may have a negative impact on the general, economic, political, and social conditions in both countries and, given our reliance on the Chinese market, adversely impact our business, financial condition, and results of operations.</w:t>
      </w:r>
    </w:p>
    <w:p>
      <w:pPr>
        <w:spacing w:after="0" w:line="13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the United States government has taken efforts to limit the outbound U.S. investments to China. On October 28, 2024, the U.S. Department of Treasury issued a final rule to implement an August 2023 executive order that provided for the establishment of a new national security regulatory framework to control outbound investment from the United States in certain sensitive industry sectors in the People’s Republic of China, including Hong Kong and Macau. This is referred to as the Outbound Investment Rule. The Outbound Investment Rule became effective on January 2, 2025.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w:t>
      </w:r>
    </w:p>
    <w:p>
      <w:pPr>
        <w:spacing w:after="0" w:line="13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do not believe that Vipshop Holdings Limited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If our ability to raise such capital is significantly and negatively affected, it could be detrimental to our business, financial condition and prospects, and our ADSs may significantly decline in value.</w:t>
      </w:r>
    </w:p>
    <w:p>
      <w:pPr>
        <w:spacing w:after="0" w:line="13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Rising political tensions could reduce levels of trades, investments, technological exchanges, and other economic activities across the globe, which would have a material adverse effect on global economic conditions and the stability of global financial markets. Any of these factors could have a material adverse effect on the demand of our products and services, and thus negatively affect our business, prospects,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w:t>
      </w:r>
    </w:p>
    <w:p>
      <w:pPr>
        <w:spacing w:after="0" w:line="171" w:lineRule="exact"/>
        <w:rPr>
          <w:sz w:val="20"/>
          <w:szCs w:val="20"/>
          <w:color w:val="auto"/>
        </w:rPr>
      </w:pPr>
    </w:p>
    <w:p>
      <w:pPr>
        <w:ind w:left="20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interpretation and application of PRC laws and regulations relating to online commerce and provision of internet content may pose effects on us. If the PRC government finds that the structure we have adopted for our business operations does not comply with PRC laws and regulations, we could be subject to severe penalties, including shut-down of our online retail channels.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Foreign ownership of internet-based businesses is subject to significant restrictions under current PRC laws and regulations. The PRC government regulates internet access, provision of online information, and operation of online commerce through strict business licensing requirements and other government regulations. These laws and regulations also include limitations on foreign ownership in the PRC companies that provide value-added telecommunication services, including commercial internet information service and online data processing and transaction processing (operating e-commerce) services. Specifically, foreign investors are not allowed to own more than 50% of the equity interests in any entity operating value-added telecommunication services (except for operating e-commerce, domestic multi-party communication, store-and-forward, and call center), including commercial internet information service. See “Item 4. Information on the Company—B. Business Overview—Regulation—Regulations Relating to Foreign Investment” and “Item 4. Information on the Company—B. Business Overview—Regulation—Regulations Relating to Foreign Investments in Value-added Telecommunication Businesses” for details.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a Cayman Islands company, and our PRC subsidiary Vipshop (China) Co., Ltd., or Vipshop China, is a WFOE under the PRC law. To comply with PRC laws and regulations, our operations in China, including the operations of our online retail channels, are conducted through contractual arrangements entered into between Vipshop China and the respective consolidated variable interest entities, Vipshop E-Commerce, Vipshop Information, and Pin Jun Tong. The consolidated variable interest entities are considered PRC domestic companies under PRC laws. As of the date of this annual report, Vipshop E-Commerce holds a value-added telecommunication business operating license for online data processing and transaction processing (operating e-commerce) services valid until December 28, 2027, which is required for providing platform access to third-party merchants for their sales of products to further develop our business; Vipshop E-Commerce also holds an Internet Culture Operation License, which is valid until May 27, 2027, for its operation of internet culture businesses. Each of the consolidated variable interest entities is a PRC limited liability company. As a result of these contractual arrangements, we are considered the primary beneficiary of the consolidated variable interest entities and consolidate their operating results in our financial statements under U.S. GAAP for accounting purposes. For a detailed description of these contractual arrangements, see “Item 4. Information on the Company—C. Organizational Structure.”</w:t>
      </w:r>
    </w:p>
    <w:p>
      <w:pPr>
        <w:spacing w:after="0" w:line="1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opinion of our PRC legal counsel, Han Kun Law Offices, based on its understanding of the PRC laws, rules, and regulations, our current ownership structure, the ownership structure of Vipshop China and the consolidated variable interest entities, each as described in this annual report, do not violate any PRC laws, rules, and regulations currently in effect, and the contractual arrangements among (a) Vipshop China, (b) Vipshop E-Commerce, and (c) shareholders of Vipshop E-Commerce as one set and the other two sets concerning the insignificant consolidated variable interest entities, each as described in this annual report, are not in violation of any PRC laws, rules, and regulations currently in effect. The interpretation and application of current or future PRC laws and regulations, however, may pose effects on us. See also “Item 3. Key Information—D. Risk Factors—Risks Relating to Our Corporate Structure—Our business may be significantly affected by the PRC Foreign Investment Law.” Accordingly, we cannot assure you that PRC government authorities will not ultimately take a view contrary to or otherwise different from that of our PRC legal counsel.</w:t>
      </w:r>
    </w:p>
    <w:p>
      <w:pPr>
        <w:spacing w:after="0" w:line="14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Particularly, we are a Cayman Islands holding company with no equity ownership in the consolidated variable interest entities with which we have maintained contractual arrangements. Investors in our ADSs thus are not purchasing equity interest in the consolidated variable interest entities in China but instead are purchasing equity interest in a Cayman Islands holding company. If our ownership structure, contractual arrangements, and businesses of our company, our PRC subsidiaries, or the consolidated variable interest entities are found to be in violation of any existing or future PRC laws or regulations, or if these regulations or the interpretation of existing regulations change or are interpreted differently in the future, the government authorities, including the CSRC, would have broad discretion in dealing with such violation, including levying fines, confiscating our income or the income of our PRC subsidiaries or the consolidated variable interest entities, revoking the business licenses or operating licenses of our PRC subsidiaries or the consolidated variable interest entities, shutting down our servers or blocking our online channels, discontinuing or placing restrictions or onerous conditions on our operations, requiring us to undergo a costly and disruptive restructuring, restricting or prohibiting our use of proceeds from any securities offerings outside China to finance our business and operations in China, and taking other regulatory or enforcement actions that could be harmful to our business. We could also be forced to relinquish our interests in those operations. Our ADSs may decline in value or become worthless if we are unable to maintain the rights over the assets of the consolidated variable interest entities to which our WFOEs are entitled pursuant to the contractual arrangements, which contributed 0.3%, 0.3% and 0.3% of our revenues in 2023, 2024 and 2025, respectively. Our Cayman Islands holding company, the consolidated variable interest entities, and investors of our company face uncertainty about potential future actions by the PRC government that could affect the enforceability of the contractual arrangements with the consolidated variable interest entities and, consequently, significantly affect the financial performance of the consolidated variable interest entities and our company as a group.</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consolidated variable interest entities and their respective shareholders for the operation of our business, which may not be as effective as direct ownership. If the consolidated variable interest entities and their respective shareholders fail to perform their obligations under these contractual arrangements, we may have to resort to arbitration or litigation to enforce our rights, which may be time-consuming, unpredictable, expensive, and damaging to our operations and reputation.</w:t>
      </w:r>
    </w:p>
    <w:p>
      <w:pPr>
        <w:spacing w:after="0" w:line="143"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Because of the PRC restrictions on foreign ownership of internet-based businesses in China, we depend on contractual arrangements with the consolidated variable interest entities, in which we have no ownership interest, through our PRC subsidiaries to partially conduct our operations. These contractual arrangements, governed by PRC laws, are intended to enable us to make management decisions of the consolidated variable interest entities and allow us to obtain economic benefits from them. Although we have been advised by our PRC legal counsel, Han Kun Law Offices, that these agreements under such contractual arrangements are valid, binding, and enforceable under current PRC laws, these contractual arrangements may not be as effective in providing control as direct ownership. For example, the consolidated variable interest entities and their respective shareholders could breach their contractual arrangements with us by, among other things, failing to operate our online retail business in an acceptable manner or taking other actions that are detrimental to our interests. If we held controlling equity interest in the consolidated variable interest entities, we would be able to exercise our shareholder rights to effect changes to its board of directors, which in turn could implement changes, subject to any applicable fiduciary obligations, at the management and operational level of the consolidated variable interest entities. However, under the current contractual arrangements, if the consolidated variable interest entities or their respective shareholders fail to perform their obligations under these contractual arrangements, we may have to incur substantial costs to enforce such arrangements, and rely on legal remedies, including arbitration and litigation, under the PRC law, which may not be sufficient or effective. In particular, the contractual arrangements provide that any dispute arising from these arrangements will be resolved by arbitration, and any ruling of such arbitration will be final and binding. Uncertainties remain as to the enforcement of legal rights through arbitration, litigation, and other legal proceedings, which could limit our ability to enforce these contractual arrangements. If we are unable to enforce these contractual arrangements, or if we suffer significant delay or other obstacles in the process of enforcing these contractual arrangements, our business and operations could be severely disrupted, which could materially and adversely affect our results of operations and damage our reputation, and we may not be able to consolidate the financial results of the consolidated variable interest entities into our consolidated financial statements in accordance with U.S. GAAP. See “Item 3. Key Information—D. Risk Factors—Risks Relating to Doing Business in the Jurisdiction Where We Primarily Operate—The PRC legal system is developing, and failure to respond to such development could affect us.”</w:t>
      </w:r>
    </w:p>
    <w:p>
      <w:pPr>
        <w:spacing w:after="0" w:line="161" w:lineRule="exact"/>
        <w:rPr>
          <w:sz w:val="20"/>
          <w:szCs w:val="20"/>
          <w:color w:val="auto"/>
        </w:rPr>
      </w:pPr>
    </w:p>
    <w:p>
      <w:pPr>
        <w:ind w:left="20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significant consolidated variable interest entity have potential conflict of interest with us, which may adversely affect our business.</w:t>
      </w:r>
    </w:p>
    <w:p>
      <w:pPr>
        <w:spacing w:after="0" w:line="13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Each shareholder of Vipshop E-Commerce is an employee of our company, and one of them also serve as a shareholder and director of our company, who has a duty of care and a duty of loyalty to our company and to our shareholders as a whole under Cayman Islands law. Thus, conflict of interest between their duties to our company and our shareholders and their interests in Vipshop E-Commerce may arise.</w:t>
      </w:r>
    </w:p>
    <w:p>
      <w:pPr>
        <w:spacing w:after="0" w:line="13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Even though the contractual arrangements with Vipshop E-Commerce and its shareholders provide that (i) we may replace any such individual as a shareholder of Vipshop E-Commerce at our discretion, and (ii) each of these individuals has executed a power of attorney to appoint Vipshop China or its designated third party to vote on their behalf and exercise shareholder rights of Vipshop E-Commerce, we cannot assure you that these individuals would not breach or cause Vipshop E-Commerce to breach the existing contractual arrangements. It is possible that these individuals may not act in the best interests of our company, should any conflict of interest arise, or that any conflict of interest may not be resolved in our favor. If we cannot resolve the conflict of interest or disputes between us and any of these individuals, we would have to rely on legal proceedings, which may be expensive, time-consuming, and disruptive to our operations. There is also substantial uncertainty as to the outcome of any such legal proceedings.</w:t>
      </w:r>
    </w:p>
    <w:p>
      <w:pPr>
        <w:spacing w:after="0" w:line="188" w:lineRule="exact"/>
        <w:rPr>
          <w:sz w:val="20"/>
          <w:szCs w:val="20"/>
          <w:color w:val="auto"/>
        </w:rPr>
      </w:pPr>
    </w:p>
    <w:p>
      <w:pPr>
        <w:ind w:left="20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consolidated variable interest entities that are important to the operation of our business if either such entity goes bankrupt or becomes subject to a dissolution or liquidation proceeding.</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part of our contractual arrangements with the consolidated variable interest entities, some of these entities hold certain assets that are important to the operation of our business. If any of the consolidated variable interest entities goes bankrupt and all or part of its assets become subject to liens or rights of third-party creditors, we may be unable to continue some or all of our business activities, which could adversely affect our business, financial condition, and results of operations. If any of the consolidated variable interest entities undergoes a voluntary or involuntary liquidation proceeding, the unrelated third-party creditors may claim rights to some or all of these assets, thereby hindering our ability to operate our business, which could materially and adversely affect our business, financial condition,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affected by the PRC Foreign Investment Law.</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March 15, 2019, the National People’s Congress approved the PRC Foreign Investment Law, which came into effect on January 1, 2020 and replaced the trio of existing laws regulating foreign investment in China, namely, the PRC Wholly Foreign-invested Enterprise Law, the PRC Sino-foreign Cooperative Joint Venture Enterprise Law, and the PRC Sino-foreign Equity Joint Venture Enterprise Law, together with their implementation rules and ancillary regulations. The PRC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law adds a catch-</w:t>
      </w:r>
    </w:p>
    <w:p>
      <w:pPr>
        <w:spacing w:after="0" w:line="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all clause to the definition of “foreign investment,” which includes investments made by foreign investors in China through other means defined by other laws or administrative regulations or provisions promulgated by the PRC State Council, without further elaboration on the scope of “other means.” The Implementing Regulation of the Foreign Investment Law adopted by the State Council on December 26, 2019 did not provide further clarification for such “other means” either. The current laws and regulations leave leeway for future legislation to be promulgated by competent PRC legislative institutions to provide for contractual arrangements as a form of foreign investment and subject to foreign investment restrictions.</w:t>
      </w:r>
    </w:p>
    <w:p>
      <w:pPr>
        <w:spacing w:after="0" w:line="19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Special Administrative Measures (Negative List) for Foreign Investment Access, issued on September 6, 2024 and effective on November 1, 2024, stipulates that any PRC domestic enterprise engaging in prohibited industries under the negative list must obtain the consent of the competent PRC authorities for overseas listing, and the foreign investors cannot participate in the operation and management of such enterprise, and the shareholding percentage of the foreign investors in such enterprise must be subject to the administrative provisions relating to foreign investment in the securities of PRC domestic companies. Such negative list does not further elaborate whether existing overseas listed enterprise will be subject to such requirements. The staff of the National Development and Reform Commission, or the NDRC, addressed in an interview on December 27, 2021 that certain existing overseas listed enterprises whose foreign investors’ shareholding percentage exceed the aforementioned threshold are not required to make adjustment or deduction. It is unclear, however, whether the aforesaid provisions in the negative list will apply to the companies that conduct their business operations in China through contractual arrangements. The Guideline No. 2 (the Content and Format of Filing Materials) on the Application of Regulatory Rules on Overseas Securities Offerings and Listings, as one of the supporting guidelines for the Overseas Offering and Listing Measures, provides that the filing documents submitted to the CSRC must specify, among other things: (i) whether the PRC laws, administrative regulations, or provisions restrict or prohibit the PRC domestic companies from conducting business and/or holding licenses or qualifications for the issuers through contractual arrangements; and (ii) whether the PRC domestic operating entities that have contractual arrangements with the issuers fall into the industries in which foreign investments are restricted or prohibited. The officials from the CSRC clarified at the press conference held for the Overseas Offering and Listing Measures on February 17, 2023, that the CSRC would solicit opinions from regulatory authorities and complete the filing of the overseas listing of companies with the variable interest entity structure that meet the compliance requirements. Uncertainty still remains on how such rules will be interpreted and implemented. It also remains uncertain whether our corporate structure may be deemed as violating the foreign investment restrictions in China.</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Furthermore, if future legislations prescribed by the PRC State Council, the CSRC, or other PRC regulatory authorities mandate further actions to be taken by companies with respect to existing contractual arrangement, we may face substantial uncertainties as to whether we can complete such actions in a timely manner, or at all. If we fail to take appropriate and timely measures to comply with any of these or similar regulatory compliance requirements, our current corporate structure, corporate governance, and business operations could be materially and adversely affected.</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contractual arrangements with the consolidated variable interest entities may result in adverse tax consequences to us.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might be subject to adverse tax consequences if the PRC tax authorities were to determine that the contracts between our PRC subsidiaries and the consolidated variable interest entities were not entered into on an arm’s length basis and therefore constitute favorable transfer pricing arrangements. If this occurs, the PRC tax authorities could request that the consolidated variable interest entities adjust its taxable income, if any, upward for PRC tax purposes. Such a pricing adjustment could adversely affect us by increasing the consolidated variable interest entities’ tax expenses without reducing our tax expenses, which could subject the consolidated variable interest entities to late payment fees and other penalties for underpayment of taxes. The PRC Enterprise Income Tax Law requires every enterprise in China to submit annual report of enterprise income tax together with a report on transactions with its related parties to the tax authorities. The tax authorities may impose reasonable adjustments on taxation if they have identified any related party transactions that are inconsistent with arm’s length principles. As a result, our contractual arrangements with the consolidated variable interest entities may result in adverse tax consequences to us.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PRC subsidiaries and the consolidated variable interest entities fail to obtain and maintain the requisite assets, licenses, and approvals required under PRC laws, our business, financial condition, and results of operations may be materially and adversely affected.</w:t>
      </w:r>
    </w:p>
    <w:p>
      <w:pPr>
        <w:spacing w:after="0" w:line="13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Foreign investment and the internet industry in China are highly regulated by the PRC government, and numerous regulatory authorities of the central PRC government are empowered to issue and implement regulations governing various aspects of the internet industry. See “Item 4. Information on the Company—B. Business Overview—Regulation—Regulations Relating to Foreign Investments in Value-added Telecommunications Businesses.” Our PRC subsidiaries and the consolidated variable interest entities are required to obtain and maintain certain assets relevant to their businesses as well as applicable licenses or approvals from different regulatory authorities in order to provide their current services. These assets and licenses are essential to the operation of our business and are generally subject to annual review by the government authorities. Furthermore, our PRC subsidiaries and the consolidated variable interest entities may be required to obtain additional licenses. However, we cannot assure you that we will obtain such licenses, permits, or approvals in a timely manner, or at all, due to complex procedural requirements and policies. If we fail to obtain or maintain any of the required assets, licenses, or approvals, our continued business operations in the internet industry may subject it to various penalties, such as confiscation of illegal net revenue, fines, and the discontinuation or restriction of our operations. Any such disruption in the business operations of the consolidated variable interest entities will materially and adversely affect our business, financial condition, and results of operations.</w:t>
      </w:r>
    </w:p>
    <w:p>
      <w:pPr>
        <w:spacing w:after="0" w:line="143" w:lineRule="exact"/>
        <w:rPr>
          <w:sz w:val="20"/>
          <w:szCs w:val="20"/>
          <w:color w:val="auto"/>
        </w:rPr>
      </w:pPr>
    </w:p>
    <w:p>
      <w:pPr>
        <w:ind w:left="20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equity interest of the variable interest entities, this equity interest transfer may subject us to certain limitations and substantial costs.</w:t>
      </w:r>
    </w:p>
    <w:p>
      <w:pPr>
        <w:spacing w:after="0" w:line="13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exclusive operation agreements under the Contractual Arrangements, Vipshop China (as the WFOE) or its designated person(s) has the irrevocable and exclusive right to purchase all or a part of the equity interest in the variable interest entities from their respective nominee shareholders at the higher of: (i) the amount of registered capital actually contributed by the relevant nominee shareholder(s); and (ii) a minimum price permitted by applicable PRC laws. The equity transfer may be subject to approvals from, and filings with, MOFCOM or its local counterparts. In addition, the equity transfer price may be subject to review and tax adjustment by relevant tax authorities. The equity transfer price for the variable interest entities under the Contractual Arrangements may also be subject to enterprise income tax, and these amounts could potentially be substantial.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the Jurisdiction Where We Primarily Operate</w:t>
      </w:r>
    </w:p>
    <w:p>
      <w:pPr>
        <w:spacing w:after="0" w:line="185"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legal or social conditions, or government policies could materially and adversely affect our business and operations.</w:t>
      </w:r>
    </w:p>
    <w:p>
      <w:pPr>
        <w:spacing w:after="0" w:line="13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Substantially all of our assets and operations are located in China. Accordingly, our business, financial condition, results of operations, and prospects may be influenced to a significant degree by legal, economic, and social conditions in China generally. In particular, factors such as consumer, corporate and government spending, business investment, volatility of the capital markets and inflation or deflation could affect the business and economic environment, the growth of the industries we operate in and ultimately, the profitability of our business.</w:t>
      </w:r>
    </w:p>
    <w:p>
      <w:pPr>
        <w:spacing w:after="0" w:line="183"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In recent years,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business has been and would continue to be affected by China’s economy, which in turn is increasingly influenced by the global economy. The uncertainties in the global economy and the geopolitical or social environment in various regions around the world would continue to influence China’s economic growth and may cause uncertainties in our prospects. Any adverse changes in economic conditions in China, in the policies of the PRC government or in the laws and regulations in China could have a material adverse effect on the overall economic growth of China. Such changes could adversely affect our business and operating results, lead to reduction in demand for our services, and adversely affect our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PRC legal system is developing, and failure to respond to such development could affect us.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and the consolidated variable interest entities in China. Our operations in China are governed by PRC laws and regulations. Our significant PRC subsidiary, Vipshop China, is a foreign-invested enterprise subject to laws and regulations applicable to foreign investment in China and, in particular, laws applicable to foreign-invested enterprises. The PRC legal system is based on written statutes. Unlike the common law system, prior court decisions under the civil law system may be cited for reference but have limited precedential value.</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PRC laws and regulations have significantly enhanced the protections afforded to various forms of foreign investments in China for the past decades. However, many laws, regulations, and rules are relatively new and we may need to take certain corresponding measures to maintain our regulatory compliance, such as adjusting the relevant business or transactions and introducing compliance experts and talents, which may incur additional related costs and adverse impact on our business.</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addition, the PRC regulatory authorities may be authorized by laws or regulations to exercise oversight and discretion over the conduct of our business, and the regulations to which we are subject may change from time to time. Like many other jurisdictions, new laws, regulations, and other government directives in China may also be costly for us to comply with, and such compliance or any associated inquiries or investigations or any other government actions may:</w:t>
      </w:r>
    </w:p>
    <w:p>
      <w:pPr>
        <w:spacing w:after="0" w:line="180"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our development,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operating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225" w:lineRule="exact"/>
        <w:rPr>
          <w:rFonts w:ascii="Times New Roman" w:cs="Times New Roman" w:eastAsia="Times New Roman" w:hAnsi="Times New Roman"/>
          <w:sz w:val="18"/>
          <w:szCs w:val="18"/>
          <w:color w:val="auto"/>
        </w:rPr>
      </w:pPr>
    </w:p>
    <w:p>
      <w:pPr>
        <w:ind w:left="680" w:right="400" w:hanging="321"/>
        <w:spacing w:after="0" w:line="312" w:lineRule="auto"/>
        <w:tabs>
          <w:tab w:leader="none" w:pos="6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us to remedies, administrative penalties and even criminal liabilities that may harm our business, including fines assessed for our current or historical operations, or demands or orders that we modify or even cease our business practices.</w:t>
      </w:r>
    </w:p>
    <w:p>
      <w:pPr>
        <w:spacing w:after="0" w:line="14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promulgation of new laws or regulations, or the new interpretation of existing laws and regulations, in each case that may restrict or otherwise unfavorably impact the ability or manner in which we conduct our business and could require us to change certain aspects of our business to ensure compliance, which could decrease demand for our products, reduce revenues, increase costs, require us to obtain more licenses, permits, approvals or certificates, or subject us to additional liabilities. To the extent any new or more stringent measures are required to be implemented, our business, financial condition, results of operations and the value of our Class A ordinary shares or ADS could be adversely affected. Any failure to respond to development in the regulatory environment in China could materially affect our business and impede our ability to continue our operations.</w:t>
      </w:r>
    </w:p>
    <w:p>
      <w:pPr>
        <w:spacing w:after="0" w:line="185" w:lineRule="exact"/>
        <w:rPr>
          <w:sz w:val="20"/>
          <w:szCs w:val="20"/>
          <w:color w:val="auto"/>
        </w:rPr>
      </w:pPr>
    </w:p>
    <w:p>
      <w:pPr>
        <w:ind w:left="20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and discretion over our business operations could result in a material adverse change in our operations and the value of our ADSs.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conduct a majority of our business in China. Our operations in China are governed by PRC laws and regulations. The PRC government has significant oversight and discretion over the conduct of our business, and may intervene in or influence our operations as the government deems appropriate to advance regulatory and social objectives and policy positions. The PRC government has published new policies that significantly affected certain industries and we cannot rule out the possibility that it will in the future release regulations or policies that directly or indirectly affect our industry or require us to seek additional permissions to continue our operations, which could result in a material adverse change in our operation and the value of our ADSs. Also, the PRC government has rolled out a new filing-based regime to regulate overseas offerings and listings by PRC domestic companies. For more details, see “—The approval of, filing with, and other administrative requirements of, the CSRC or other PRC government authorities may be required in connection with our future overseas offerings or future issuance of securities abroad under the PRC law, and, if required, we cannot predict whether or for how long we will be able to obtain such approval or complete such filing.” Any such action could significantly limit or completely hinder our ability to offer or continue to offer securities to investors and cause the value of our shares and the ADSs to significantly decline or become worthless. Therefore, investors of our company and our business face potential uncertainty from actions taken by the PRC government affecting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7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a jurisdiction where the PCAOB was historically unable to conduct inspections and investigations completely before 2022. As a result, we and investors in our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was unable to inspect or investigate completely registered public accounting firms. However,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92" w:lineRule="exact"/>
        <w:rPr>
          <w:sz w:val="20"/>
          <w:szCs w:val="20"/>
          <w:color w:val="auto"/>
        </w:rPr>
      </w:pPr>
    </w:p>
    <w:p>
      <w:pPr>
        <w:jc w:val="both"/>
        <w:ind w:left="20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7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was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so after we file this annual report on Form 20-F for the fiscal year ended December 31, 2025.</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the ability of our ADS holders to sell or purchase their ADSs when they wish to do so, and the risk and uncertainty associated with delisting would have a negative impact on the price of the ADSs. Also, such a prohibition would significantly affect our ability to raise capital on terms acceptable to us, or at all, which would have a material adverse impact on our business, financial condition, and prospects.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filing with, and other administrative requirements of, the CSRC or other PRC government authorities may be required in connection with our future overseas offerings or future issuance of securities abroad under the PRC law, and, if required, we cannot predict whether or for how long we will be able to obtain such approval or complete such filing.</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February 17, 2023, the CSRC promulgated the Overseas Offering and Listing Measures, which came into effect on March 31, 2023. On the same day, the CSRC also published a series of guidance rules and Q&amp;As in connection with the implementation of the Overseas Offering and Listing Measures. The Overseas Offering and Listing Measures establishes a new filing-based regime to regulate overseas offerings and listings by PRC domestic companies. According to the Overseas Offering and Listing Measures, an overseas offering of securities (including shares, depository receipts, corporate bonds convertible into shares and other securities in nature of equity) and listing by a PRC domestic company, whether directly or indirectly, are required to fulfill the filing procedures with, and to report the information to, the CSRC. Due to the fact that our ADSs have been listed on the New York Stock Exchange, we are deemed as an “Existing Issuer” pursuant to the Overseas Offering and Listing Measures and the implementation guidance and are not required to complete the filing procedures with the CSRC for our historical securities offering. Nevertheless, in the event that we conduct any future securities offerings and listing that will be captured by the Overseas Offering and Listing Measures, we will have to complete the filing procedures with the CSRC within three business days following the closing of the securities issuance or offering.</w:t>
      </w:r>
    </w:p>
    <w:p>
      <w:pPr>
        <w:spacing w:after="0" w:line="19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February 24, 2023, the CSRC and certain other PRC regulatory authorities promulgated the Provisions on Strengthening Confidentiality and Archives Administration of Overseas Securities Offering and Listing by Domestic Companies, which came into effect on March 31, 2023. Pursuant to these provisions, a PRC domestic enterprise that seeks overseas offering and listing, whether in a direct or indirect manner, must strictly abide by applicable PRC laws and regulations, enhance legal awareness of keeping state secrets and strengthening archives administration, institute a sound confidentiality and archives administration system, and take necessary measures to fulfill confidentiality and archives administration obligations. Where a PRC domestic company, either directly or through its overseas listed entity, publicly discloses or provides to any individuals or entities including securities companies, securities service providers, and overseas regulators, any documents or materials that contain state secrets or working secrets of government agencies, it must first obtain approval from competent authorities according to the law, and file with the secrecy administrative department at the same level. In the event that such documents and materials, if leaked, will be detrimental to national security or public interest, the PRC domestic company must strictly fulfill the procedures stipulated by applicable national regulations. Where a PRC domestic company, after fulfilling the procedures, provides to securities companies, securities service providers, and other entities with any documents and materials that contain state secrets or working secrets of government agencies, or any other documents and materials that will be detrimental to national security or public interest if leaked, a non-disclosure agreement must be signed between the provider and receiver of such information according to the PRC laws and regulations, which must specify, among other things, the obligations and liabilities on confidentiality held by such securities companies and securities service providers. Specifically, when a PRC domestic company provides accounting archives or copies of accounting archives to any entities including securities companies, securities service providers, and overseas regulators and individuals, it must fulfill due procedures in compliance with applicable national regulations.</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Furthermore, we cannot assure you that new regulations or rules promulgated in the future will not impose additional requirements on us. Any failure to obtain or delay in obtaining requisite approval(s) or completing requisite filing procedures for our overseas offerings, or a rescission of any such obtained approval or filing, would subject us to sanctions by the CSRC or other PRC government authorities. These government authorities may impose fines and penalties on our operations in China, limit our ability to pay dividends outside of China, limit our operating privileges in China, delay or restrict the repatriation of the proceeds from our overseas offerings into China, or take other actions that could materially and adversely affect our business, financial condition, results of operations, and prospects, as well as the trading price of our listed securities. The CSRC or other PRC government authorities also may take actions requiring us, or making it advisable for us, to halt our overseas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government authorities later promulgate new rules or explanations requiring that we obtain their approvals or accomplish the required filing or other regulatory procedures for our prior overseas offerings, we may be unable to obtain a waiver of such approval requirements, if and when procedures are established to obtain such a waiver. Any uncertainties or negative publicity regarding such approval requirement could materially and adversely affect our business, financial condition, results of operations, reputation, and the trading price of our listed securities.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the complexity, uncertainties, and changes in PRC regulation of internet-related businesses and companies.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PRC government extensively regulates the internet industry, including foreign ownership of, and the licensing and permit requirements pertaining to, companies in the internet industry. These internet-related laws and regulations and their interpretation are developing and may change in the future. As a result, uncertainties relating to PRC regulation of the internet-related businesses include, but are not limited to, the following:</w:t>
      </w:r>
    </w:p>
    <w:p>
      <w:pPr>
        <w:spacing w:after="0" w:line="180" w:lineRule="exact"/>
        <w:rPr>
          <w:sz w:val="20"/>
          <w:szCs w:val="20"/>
          <w:color w:val="auto"/>
        </w:rPr>
      </w:pPr>
    </w:p>
    <w:p>
      <w:pPr>
        <w:ind w:left="680" w:right="40" w:hanging="321"/>
        <w:spacing w:after="0" w:line="258"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only have contractual arrangements with the variable interest entities that operate our online retail channels in China. We do not directly own our online channels through our subsidiaries due to the restriction of foreign investment in businesses providing value-added telecommunication services in China, including internet information services. This may significantly disrupt our business, subject us to sanctions, compromise enforceability of related contractual arrangements, or have other harmful effects on us.</w:t>
      </w:r>
    </w:p>
    <w:p>
      <w:pPr>
        <w:spacing w:after="0" w:line="183" w:lineRule="exact"/>
        <w:rPr>
          <w:rFonts w:ascii="Times New Roman" w:cs="Times New Roman" w:eastAsia="Times New Roman" w:hAnsi="Times New Roman"/>
          <w:sz w:val="18"/>
          <w:szCs w:val="18"/>
          <w:color w:val="auto"/>
        </w:rPr>
      </w:pPr>
    </w:p>
    <w:p>
      <w:pPr>
        <w:ind w:left="680" w:right="20" w:hanging="321"/>
        <w:spacing w:after="0" w:line="254"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affected by the developing regulation of the internet-related businesses in China, including developing requirements for licenses and permits as well as the interpretation by the authorities with regard to the laws and regulations. Some of our licenses, permits, or operations may be subject to challenge by the PRC government, or we may fail to obtain licenses or permits that may be deemed necessary for our operations or we may not be able to obtain or renew certain licenses or permits in accordance with the applicable laws and regulations. If such licenses or permits are deemed necessary and we fail to maintain any of these required licenses or permits, we may be subject to various penalties, including fines and discontinuation of or restriction on our operations. Any such disruption in our business operations may have an adverse effect on our results of operations.</w:t>
      </w:r>
    </w:p>
    <w:p>
      <w:pPr>
        <w:spacing w:after="0" w:line="191"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and regulations may be promulgated to regulate internet-related businesses in China, including online retail businesses and finance businesses. Additional licenses or permits may be required for or stricter supervision may be imposed on our internet-related businesses. If our operations do not comply with these new laws and regulations after they become effective, or if we fail to obtain any licenses or permits required under these new laws and regulations, we could be subject to penalties. We cannot assure you that we will be able to obtain all licenses and permits required for internet-related businesses in a timely manner, or at all.</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August 2018, the Standing Committee of the National People’s Congress promulgated the E-commerce Law, which came into effect on January 1, 2019. The E-commerce Law imposes a number of requirements and obligations on e-commerce platform operators. Failure to comply with the regulatory requirements may have a material adverse impact on our business and results of operations. Given that the implementation of the E-commerce Law may be subject to interpretation and further development, we cannot assure you as to whether or how they will affect our operations and financial conditions in the future. See “Item 4. Information on the Company—B. Business Overview—Regulation—Regulations Relating to E-commerce.” We have adopted a series of measures to comply with such requirements under the E-commerce Law. We cannot assure you, however, that our current business operations meet the requirements under the E-commerce Law in all respects. If the PRC governmental authorities determine that we are not in compliance with all the requirements under the E-commerce Law and other applicable laws and rules, we may be subject to fines or other sanctions.</w:t>
      </w:r>
    </w:p>
    <w:p>
      <w:pPr>
        <w:spacing w:after="0" w:line="188"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As the interpretation and application of existing PRC laws, regulations, and policies and possible new laws, regulations, or policies relating to the internet industry may still be developing, we cannot assure you that we have obtained all the permits or licenses required for conducting our business in China or will be able to maintain our existing licenses or obtain any new licenses required under any new laws or regulations.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internet in China may adversely affect our business, and we may be liable for content that is displayed on our online channels.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China has enacted laws and regulations governing internet access and the distribution of products, services, news, information, audio-video programs, and other content through the internet. The PRC government has prohibited the distribution of information through the internet that it deems to be in violation of PRC laws and regulations. In November 2016, China promulgated the Cybersecurity Law, which was amended on October 28, 2025 and came into effect on January 1, 2026, to protect cyberspace security and order. The Cybersecurity Law tightens control of cyber security and sets forth various security protection obligations for network operators. If any of our internet content were deemed by the PRC government to violate any content restrictions, we would not be able to continue to display such content and could become subject to penalties, including confiscation of illegal gains, fines, suspension of business, and revocation of required licenses, which could materially and adversely affect our business, financial condition, and results of operations. We may also be subject to potential liability for any unlawful actions of our customers of our online channels or for content we distribute that is deemed inappropriate. It may be difficult to determine the type of content that may result in liability to us, and if we are found to be liable, we may be prevented from operating our online channels in China. Additionally, the amended Cybersecurity Law imposes heavier penalties on platform operators for violations of their cybersecurity management obligations and expressly requires them to promptly address unlawful online activities. It also proposed to enhance the punishment against personal information infringement by referencing to the punishment under applicable laws, including those under the Personal Information Protection Law and the Data Security Law.</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may materially and adversely affect our results of operations and the value of your investment.</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value of Renminbi against U.S. dollars and other currencies may fluctuate and is affected by, among other things, changes in political and economic conditions in China and by China’s foreign exchange policies. The conversion of Renminbi into foreign currencies, including U.S. dollars, is based on rates set by the People’s Bank of China. Renminbi has fluctuated against U.S. dollars, at times significantly and unpredictably. The value of Renminbi against U.S. dollars and other currencies is affected by changes in China’s political and economic conditions and by China’s foreign exchange policies, among other things. We cannot assure you that Renminbi will not appreciate or depreciate significantly in value against U.S. dollars in the future. It is difficult to predict how market forces or PRC or U.S. government policy may impact the exchange rate between Renminbi and the U.S. dollar in the future.</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All of our total net revenues and most of our expenses are denominated in Renminbi. Any significant revaluation of Renminbi may materially and adversely affect our revenues, earnings, and financial position, and the value of, and any dividends payable on, our ADSs. For example, an appreciation of Renminbi against U.S. dollars would reduce the amount of Renminbi we would receive if we need to convert U.S. dollars into Renminbi. Conversely, a significant depreciation of Renminbi against U.S. dollars may significantly reduce the U.S. dollar equivalent of our earnings, which in turn could adversely affect the price of our ADSs. Also, the difference between the reporting currency and the denomination currency may expose us to additional uncertainties in connection with the foreign currency translation. In 2023, 2024 and 2025, we recorded exchange gain of RMB162.7 million, exchange loss of RMB24.8 million and exchange loss of RMB62.1 million (US$8.9 million), respectively.</w:t>
      </w:r>
    </w:p>
    <w:p>
      <w:pPr>
        <w:spacing w:after="0" w:line="192"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There are limited hedging options available for us to reduce our exposure to exchange rate fluctuations at reasonable costs. We entered into several foreign exchange forward contracts historically to hedge our exposure to foreign currency exchange risk and we may continue to use foreign currency swaps, forwards, or other derivative instruments to hedge our exposure to foreign currency risk where we deem necessary, and may adopt additional measures in the future to manage such risk. While we may decide to enter into hedging transactions in the future, the availability and effectiveness of these hedges may be limited and we may not be able to adequately hedge our exposure or at all. As a result, fluctuations in exchange rates may materially and adversely affect the value of your investment.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and legal procedures of currency conversion may limit our ability to utilize our revenue effectively and affect the value of your investment.</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convertibility of Renminbi into foreign currencies and, in certain cases, the remittance of currency out of mainland China are subject to PRC foreign exchange regulations. We receive substantially all of our revenue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currencies and remitted out of mainland China to pay capital expenses such as the repayment of loans denominated in foreign currencies. As a result, we need to obtain SAFE approval to use cash generated from the operations of our PRC subsidiaries and the consolidated variable interest entities to pay off their respective debt in a currency other than Renminbi owed to entities outside mainland China, or to make other capital expenditure payments outside mainland China in a currency other than Renminbi. If we fail to meet the regulatory requirements for the currency conversion, we may not be able to pay dividends in foreign currencies to our shareholders, including holders of our Class A ordinary shares or ADSs. As a result, the funds in our PRC subsidiaries or the VIEs in mainland China may not be available to fund operations or for other use outside of mainland China due to interventions in, or the imposition of restrictions and limitations on, the ability of our holding company, our subsidiaries, or the VIEs by the PRC government on currency conversion. Similarly, to the extent that any similar regulation is imposed in Hong Kong, we cannot assure you that our cash or assets located in Hong Kong will be readily available to fund operations or for other use outside of Hong Kong.</w:t>
      </w:r>
    </w:p>
    <w:p>
      <w:pPr>
        <w:spacing w:after="0" w:line="188" w:lineRule="exact"/>
        <w:rPr>
          <w:sz w:val="20"/>
          <w:szCs w:val="20"/>
          <w:color w:val="auto"/>
        </w:rPr>
      </w:pPr>
    </w:p>
    <w:p>
      <w:pPr>
        <w:ind w:left="20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principally rely on dividends and other distributions on equity paid by our PRC subsidiaries and payments made by the VIEs to us in accordance with the contractual arrangements to fund our cash and financing requirements, and any limitation on the ability of our PRC subsidiaries and the VIEs to make payments to us could materially and adversely affect our ability to conduct our business.</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a Cayman Islands holding company and we rely principally on dividends and other distributions on equity from our PRC subsidiaries and service fees paid to us by the VIEs for our cash requirements, including for services of any debt we may incur. Our subsidiaries’ ability to distribute dividends is based upon their distributable earnings which are mainly derived from the payments for products and services from the consolidated variable interest entities. Current PRC regulations permit our PRC subsidiaries to pay dividends to their respective shareholders only out of their accumulated profits, if any, determined in accordance with PRC accounting standards and regulations. In addition, each of our PRC subsidiaries and the consolidated variable interest entities is required to set aside at least 10% of its after-tax profits each year, if any, to fund a statutory reserve until such reserve reaches 50% of its registered capital. Each of such entities in China may further set aside a portion of its after-tax profits to fund the employee welfare fund and for other purposes at the discretion of its board of directors. These reserves are not distributable as cash dividends. Meanwhile, the VIEs can only make payments to us in accordance with contractual arrangements that we entered into with them. Moreover, as our PRC subsidiaries and the VIEs may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or on the ability of the VIEs to make payments to us in accordance with the contractual arrangements that we entered into with them could materially and adversely limit our ability to grow, make investments or acquisitions that could be beneficial to our businesses, pay dividends or otherwise fund and conduct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20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investments in PRC entities by offshore holding companies may delay or prevent us from using the proceeds of our debt and equity offerings to make loans or additional capital contributions to our PRC subsidiaries in China.</w:t>
      </w:r>
    </w:p>
    <w:p>
      <w:pPr>
        <w:spacing w:after="0" w:line="17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are subject to approval by or registration or filing with the government authorities in China. According to the PRC regulations on foreign-invested enterprises, capital contributions to our PRC subsidiaries are subject to the requirement of making necessary filings in the Foreign Investment Comprehensive Management Information System and registration with a local bank authorized by SAFE. Any foreign loan procured by our PRC subsidiaries is required to be registered or filed with SAFE or its local branches or satisfy the requirements as provided in the Circular on Further Promoting the Facilitation of Cross-border Trade and Investment, or SAFE Circular 28. Any medium- or long-term loan that we may provide to the consolidated variable interest entities must be approved by the NDRC and SAFE or its local branches. We may not obtain these government approvals or complete such registrations on a timely basis, if at all, with respect to future capital contributions or foreign loans that we may provide to our PRC subsidiaries. If we fail to receive such approvals or complete such registration, our ability to use the proceeds of our debt and equity offerings and to capitalize our PRC operations may be negatively affected, which could adversely affect our liquidity and our ability to fund and expand our business. There is no statutory limit in effect on the amount of capital contribution that we can make to our PRC subsidiaries, provided that the PRC subsidiaries complete the filing and registration procedures. With respect to loans that we may provide to the PRC subsidiaries, (i) if the PRC subsidiaries adopt the traditional foreign exchange administration mechanism, the outstanding amount of the loans should not exceed the difference between the total investment and the registered capital of the PRC subsidiaries; and (ii) if the PRC subsidiaries adopt the mechanism as provided in the Notice of the People’s Bank of China on Matters concerning the Macro-prudential Management of Full-covered Cross-border Financing issued by the People’s Bank of China on January 12, 2017, or PBOC Notice No. 9, and apply the latest macro-prudential adjustment parameter adopted by the People’s Bank of China and SAFE on January 13, 2025, the outstanding amount of the loans should not exceed 350% (which may be varied due to the change of PRC’s national macro-control policy) of the net asset of the relevant PRC subsidiary.</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Furthermore, pursuant to PBOC Notice No. 9, after an one-year transition period following its promulgation, SAFE and the People’s Bank of China will determine the cross-border financing regulatory regime for foreign-invested enterprises after evaluating the overall implementation of PBOC Notice No. 9. As of the date of this annual report, neither SAFE nor the People’s Bank of China had promulgated and made public any legislations in this regard. There are uncertainties relating to the future regime to be adopted and any limitation to be imposed on us when providing loans to our PRC subsidiaries. If a more stringent foreign debt regulatory regime would be imposed, our ability to provide loans to our PRC subsidiaries or the consolidated variable interest entities may be significantly limited, and our business, financial condition, and results of operations may be adversely affected.</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Under the current rules of SAFE, as of the date of this annual report, we are required to apply Renminbi funds converted from the net proceeds we received from our public offerings of equity securities within the business scopes of our PRC subsidiaries. Although SAFE launched a nationwide reform of the administration of the settlement of the foreign exchange capitals of foreign-invested enterprises in 2015 to allow foreign-invested enterprises to settle their foreign exchange capital at their discretion and further relaxed its rules in 2016 to allow foreign-invested enterprises (excluding financial institutions) to go through foreign exchange settlement formalities for their foreign debts at their discretion, the current rules of SAFE continue to prohibit foreign-invested enterprises from using Renminbi converted from their foreign exchange capitals for expenditure beyond their business scopes as approved by the PRC government authorities. Moreover, the current rules of SAFE continue to prohibit foreign-invested enterprises from using Renminbi converted from their registered capitals to provide loans to persons other than affiliates unless otherwise permitted under its business scope. Any violations of such rules of SAFE may result in severe monetary or other penalties. There can be no assurance that SAFE would further relax its rules on the settlement of foreign exchange capitals of foreign-invested enterprises, and our ability to transfer to and use in China the net proceeds from our public offerings of equity securities may continue to be significantly limited, which may adversely affect our business, financial condition, and results of operations. On October 23, 2019, SAFE promulgated SAFE Circular 28. SAFE Circular 28 allows all foreign-invested enterprises (including those without an investment business scope) to utilize and convert their foreign exchange capital for making equity investment in China if certain requirements prescribed therein are satisfied. However, uncertainties exist in relation to the interpretation and implementation of SAFE Circular 28. See “Item 4. Information on the Company— B. Business Overview—Regulation—Regulations Relating to Foreign Currency Exchange and Dividend Distribution.”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PRC regulations establish a series of procedures for some acquisitions of Chinese companies, which could make it more difficult for us to pursue growth through acquisitions.</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adopted by six PRC regulatory agencies in August 2006 and amended in 2009, and some other regulations and rules concerning mergers and acquisitions, established additional procedures and requirements that could make merger and acquisition activities by foreign investors more time consuming and detailed. For example, these regulations require that the MOFCOM be notified in advance of any change-of-control transaction in which a foreign investor takes control of a PRC domestic enterprise, if certain criteria are met.</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 Regulations on Mergers and Acquisitions of Domestic Enterprises by Foreign Investors and certain other regulations and rules concerning mergers and acquisitions established additional procedures and requirements that could make merger and acquisition activities by foreign investors more time-consuming and complex, including requirements in some instances that the anti-monopoly law enforcement agency be notified in advance of any change-of-control transaction in which a foreign investor takes control of a PRC domestic enterprise. Moreover, the Anti-monopoly Law, which was promulgated by the Standing Committee of the National People’s Congress on August 30, 2007 and last amended on June 24, 2022 and effective on August 1, 2022, and its relevant regulations, such as the Rules of the State Council on Declaration Threshold for Concentration of Undertakings issued by the State Council in 2008 and last amended on January 22, 2024, require that transactions which are deemed concentrations and involve parties with specified turnover thresholds must be cleared by the anti-monopoly enforcement agency of the State Council before they can be completed. We believe that the turnover of acquired business of Lefeng in 2013 is less than the applicable threshold and have not sought clearance from the anti-monopoly enforcement agency, but we cannot assure you that the anti-monopoly enforcement agency will not take a view contrary to ours.</w:t>
      </w:r>
    </w:p>
    <w:p>
      <w:pPr>
        <w:spacing w:after="0" w:line="136"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In December 2020, the NDRC and the Ministry of Commerce promulgated the Measures for the Security Review of Foreign Investment, which came into effect on January 18, 2021. Pursuant to these measures, the NDRC establishes a working mechanism office in charge of the security review of foreign investment, which is led by the NDRC and the Ministry of Commerce. The measures also define foreign investments as direct or indirect investments by foreign investors in China, including (i) investments in new onshore projects or establishment of wholly foreign owned onshore enterprises or joint ventures with other investors; (ii) acquiring equity or assets of onshore companies by merger and acquisition; and (iii) onshore investments by and through any other means. Foreign investments in certain key areas with national security concerns, such as important transport services, important cultural products and services, important information technology and internet products and services, important financial services, and key technologies, which results in the acquisition of de facto control of the invested companies, have to be filed with the working mechanism office prior to the implementation of such investments. Failure to make such filing may subject the foreign investor to rectification within a prescribed period, and the foreign investor will be negatively recorded in the national credit information system, which would then subject such investor to joint punishment as provided by the rules. If such investor fails to or refuses to undertake such rectification, it would be ordered to dispose of the equity or assets and to take any other necessary measures so as to restore to the status before the implementation of the investment and to erase the impact to national security. In addition, the Circular of the General Office of the State Council on the Establishment of Security Review System for the Merger and Acquisition of Domestic Enterprises by Foreign Investors that came into effect on March 3, 2011, and the Rules on Implementation of Security Review System for the Merger and Acquisition of Domestic Enterprises by Foreign Investors issued by the Ministry of Commerce that came into effect on September 1, 2011, require acquisitions by foreign investors of PRC companies engaged in military-related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Ministry of Commerce, may delay or inhibit our ability to complete such transactions, which could affect our ability to expand our business or maintain our market share.</w:t>
      </w:r>
    </w:p>
    <w:p>
      <w:pPr>
        <w:spacing w:after="0" w:line="147" w:lineRule="exact"/>
        <w:rPr>
          <w:sz w:val="20"/>
          <w:szCs w:val="20"/>
          <w:color w:val="auto"/>
        </w:rPr>
      </w:pPr>
    </w:p>
    <w:p>
      <w:pPr>
        <w:ind w:left="200"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PRC regulations relating to the establishment of offshore holding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5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July 4,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to register with local branches of SAFE in connection with their direct or indirect offshore investment activities. SAFE Circular 37 is applicable to our shareholders who are PRC residents and may be applicable to any offshore acquisitions that we make in the future.</w:t>
      </w:r>
    </w:p>
    <w:p>
      <w:pPr>
        <w:sectPr>
          <w:pgSz w:w="11900" w:h="16838" w:orient="portrait"/>
          <w:cols w:equalWidth="0" w:num="1">
            <w:col w:w="9880"/>
          </w:cols>
          <w:pgMar w:left="980" w:top="513" w:right="103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SAFE Circular 37, PRC residents who make, or have made prior to the implementation of SAFE Circular 37, direct or indirect investments in offshore special purpose vehicles will be required to register such investments with SAFE or its local branches. In addition, any PRC resident who is a direct or indirect shareholder of a special purpose vehicle, is required to update its filed registration with the local branch of SAFE with respect to that special purpose vehicle, to reflect any material change. Moreover, any subsidiary of such special purpose vehicle in China is required to urge the PRC resident shareholders to update their registration with the local branch of SAFE. If any PRC shareholder of such special purpose vehicle fails to make the required registration or to update the previously filed registration, the subsidiary of such special purpose vehicle in China may be prohibited from distributing its profits or the proceeds from any capital reduction, share transfer or liquidation to the special purpose vehicle, and the special purpose vehicle may also be prohibited from making additional capital contribution into its subsidiary in China. On February 28, 2015, SAFE promulgated a Notice on Further Simplifying and Improving Foreign Exchange Administration Policy on Direct Investment, which came into effect on June 1, 2015. Under such notice, applications for foreign exchange registration of inbound foreign direct investment and outbound overseas direct investment, including those required under SAFE Circular 37, should be filed with qualified banks instead of SAFE. The qualified banks should directly examine the applications and accept registrations under the supervision of SAFE.</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of our shareholders that we are aware of being subject to the regulations of SAFE have completed all necessary registrations with the local branch of SAFE or qualified banks as required by SAFE Circular 37. We cannot assure you, however, that all of these individuals may continue to make required filings or updates on a timely manner, or at all. We can provide no assurance that we are or will in the future continue to be informed of identities of all PRC residents holding direct or indirect interest in our company. Any failure or inability by such individuals to comply with the regulations of SAFE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3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Furthermore, as the interpretation and implementation of these foreign exchange regulations have been constantly developing, it is unclear how these regulations, and any future regulation concerning offshore or cross-border transactions, will be interpreted, amended, and implemented by the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34" w:lineRule="exact"/>
        <w:rPr>
          <w:sz w:val="20"/>
          <w:szCs w:val="20"/>
          <w:color w:val="auto"/>
        </w:rPr>
      </w:pPr>
    </w:p>
    <w:p>
      <w:pPr>
        <w:ind w:left="20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regulations regarding the registration requirements for employee stock incentive plans may subject the PRC plan participants or us to fines and other legal or administrative sanctions.</w:t>
      </w:r>
    </w:p>
    <w:p>
      <w:pPr>
        <w:spacing w:after="0" w:line="10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 December 2006, the People’s Bank of China promulgated the Administrative Measures for Individuals Foreign Exchange, which set forth the respective requirements for foreign exchange transactions by individuals (both PRC or non-PRC citizens) under either the current account or the capital account. In January 2007, SAFE issued the Detailed Rules on the Implementation of the Administrative Measures for Individuals Foreign Exchange, which, among other things, specified approval requirements for certain capital account transactions such as a PRC citizen’s participation in the employee stock ownership plans or stock option plans of an overseas publicly-listed company. In February 2012, SAFE promulgated the Notices on Issues Concerning the Foreign Exchange Administration for Domestic Individuals Participating in Stock Incentive Plans of Overseas Publicly-listed Companies. Under these rules, PRC residents who participate in stock incentive plan in an overseas publicly-listed company are required to register with SAFE or its local branches and complete certain other procedures. Participants of a stock incentive plan who are PRC residents must retain a qualified PRC agent, which could be a PRC subsidiary of such overseas publicly-listed company or another qualified institution selected by such PRC subsidiary, to conduct registration with SAFE and other procedures with respect to the stock incentive plan on behalf of its participants. Such participants must also retain an overseas entrusted institution to handle matters in connection with their exercise of stock options, the purchase and sale of corresponding stocks or interests, and fund transfer. In addition, the PRC agent is required to amend registration with SAFE with respect to the stock incentive plan if there is any material change to the stock incentive plan, the PRC agent or the overseas entrusted institution or other material changes.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and our PRC resident employees who participate in the employee stock incentive plans, which we adopted in March 2011, March 2012, July 2014 and August 2024, respectively, have been subject to these regulations since our company became a publicly-listed company in the United States in March 2012. We have been assisting our PRC option grantees to complete the required registrations and procedures on a quarterly basis. If we or our PRC option grantees fail to comply with these regulations, we or our PRC option grantees may be subject to fines and other legal or administrative sanctions. See “Item 4. Information on the Company—B. Business Overview— Regulation—Regulations Relating to Foreign Currency Exchange and Dividend Distribution—Stock Incentive Plans.”</w:t>
      </w:r>
    </w:p>
    <w:p>
      <w:pPr>
        <w:spacing w:after="0" w:line="115" w:lineRule="exact"/>
        <w:rPr>
          <w:sz w:val="20"/>
          <w:szCs w:val="20"/>
          <w:color w:val="auto"/>
        </w:rPr>
      </w:pPr>
    </w:p>
    <w:p>
      <w:pPr>
        <w:ind w:left="20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3, 2015, the State Taxation Administration issued a Public Notice Regarding Certain Enterprise Income Tax Matters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 Transfer of Properties by Non-resident Enterprises, or STA Public Notice 7. In December 2017, Article 13 and Paragraph 2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8 of STA Public Notice 7 were abolished. Pursuant to STA Public Notice 7, as amended, in the event that a non-PRC 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indirectly transfers equities and other properties of a PRC resident enterprise to evade its obligation of paying enterprise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by implementing arrangements that are not for reasonable commercial purpose, such indirect transfer must be 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and recognized as a direct transfer of equities and other properties of the PRC resident enterprise. Although STA Public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introduced safe harbors for internal group restructurings and the purchase and sale of equity through a public securities market,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brought challenges to both offshore transferor and transferee (or other person who is obligated to pay for the transfer) of taxable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a non-PRC resident enterprise transfers taxable assets indirectly by disposing of the equity interests of an offshore 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which is an indirect transfer, the non-PRC resident enterprise as either transferor or transferee, or the PRC entity that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owns the taxable assets, may report such indirect transfer to the tax authority. Using a “substance over form” principle, the PRC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may disregard the existence of the offshore holding company if it lacks a reasonable commercial purpose and was established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reducing, avoiding or deferring PRC tax. As a result, gains derived from such indirect transfer may be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income tax in China, and the transferee or other person who is obligated to pay for the transfer is obligated to withhold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taxes currently at a rate of 10% for the transfer of equity interests in a PRC resident enterprise. Both the transferor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may be subject to penalties under PRC tax laws if the transferee fails to withhold the taxes and the transferor fails to pay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15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past and future private equity financing transactions, share exchange or other transactions involving transfer of shares in our company by investors that are non-PRC resident enterprises, or our sale or purchase of shares in other non-PRC resident companies or other taxable assets. Our company may be subject to filing obligations or taxed if our company is transferor in such transactions, and may be subject to withholding obligations if our company is transferee in such transactions, under STA Public Notice 7. For transfer of shares in our company by investors that are non-PRC resident enterprises, our PRC subsidiaries may be requested to assist in the filing under STA Public Notice 7. As a result, we may be required to expend valuable resources to comply with STA Public Notice 7 or to request the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30" w:lineRule="exact"/>
        <w:rPr>
          <w:sz w:val="20"/>
          <w:szCs w:val="20"/>
          <w:color w:val="auto"/>
        </w:rPr>
      </w:pPr>
    </w:p>
    <w:p>
      <w:pPr>
        <w:ind w:left="20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procedural requirements for foreign regulatory bodies to conduct investigation or inspections of our operations within China.</w:t>
      </w:r>
    </w:p>
    <w:p>
      <w:pPr>
        <w:spacing w:after="0" w:line="11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There is no guarantee that requests from U.S. federal or state regulators or agencies to investigate or inspect our operations will be honored.</w:t>
      </w:r>
    </w:p>
    <w:p>
      <w:pPr>
        <w:spacing w:after="0" w:line="139" w:lineRule="exact"/>
        <w:rPr>
          <w:sz w:val="20"/>
          <w:szCs w:val="20"/>
          <w:color w:val="auto"/>
        </w:rPr>
      </w:pPr>
    </w:p>
    <w:p>
      <w:pPr>
        <w:ind w:right="400" w:firstLine="324"/>
        <w:spacing w:after="0" w:line="256" w:lineRule="auto"/>
        <w:rPr>
          <w:sz w:val="20"/>
          <w:szCs w:val="20"/>
          <w:color w:val="auto"/>
        </w:rPr>
      </w:pPr>
      <w:r>
        <w:rPr>
          <w:rFonts w:ascii="Times New Roman" w:cs="Times New Roman" w:eastAsia="Times New Roman" w:hAnsi="Times New Roman"/>
          <w:sz w:val="18"/>
          <w:szCs w:val="18"/>
          <w:color w:val="auto"/>
        </w:rPr>
        <w:t>Furthermore, according to Article 177 of the PRC Securities Law, which came into effect in March 2020, no overseas securities regulator is allowed to directly conduct investigation or evidence collection activities within the territory of China. While detailed interpretation of or implementation rules under Article 177 of the PRC Securities Law have yet to be promulgated, it cannot be concluded as to how it will be interpreted, implemented or applied by relevant government authorities. As such, there are also uncertainties as to the procedures and requisite timing for the overseas securities regulatory agencies to conduct investigations and collect evidence within the territory of the PRC.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In addition, on February 24, 2023, the CSRC and certain other PRC regulatory authorities promulgated the Provisions on Strengthening Confidentiality and Archives Administration of Overseas Securities Offering and Listing by Domestic Companies. Such provisions allow overseas regulators and competent overseas authorities to request inspections, investigations, or evidence collection from domestic companies about their overseas offerings and listings, or from the domestic securities companies and securities service providers involved in these processes. This will be done through cross-border regulatory cooperation, with the CSRC or other relevant PRC authorities providing necessary assistance pursuant to bilateral and multilateral cooperation mechanisms. The domestic company, securities companies and securities service providers shall first obtain approval from the CSRC or other competent PRC authorities before they can cooperate with any inspections or investigations by overseas regulators, or provide any requested documents and materials.</w:t>
      </w:r>
    </w:p>
    <w:p>
      <w:pPr>
        <w:spacing w:after="0" w:line="144" w:lineRule="exact"/>
        <w:rPr>
          <w:sz w:val="20"/>
          <w:szCs w:val="20"/>
          <w:color w:val="auto"/>
        </w:rPr>
      </w:pPr>
    </w:p>
    <w:p>
      <w:pPr>
        <w:ind w:left="200"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unclear whether we will be considered a PRC “resident enterprise” under the PRC Enterprise Income Tax Law and, depending on the determination of our PRC “resident enterprise” status, our global income may be subject to the 25% PRC enterprise income tax, which could materially and adversely affect our results of operations.</w:t>
      </w:r>
    </w:p>
    <w:p>
      <w:pPr>
        <w:spacing w:after="0" w:line="13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Under the PRC Enterprise Income Tax Law, which came into effect in January 2008 and was amended on February 24, 2017 and December 29, 2018, and its implementation rules, an enterprise established outside of China with a “de facto management body” within China is considered a PRC resident enterprise and will be subject to enterprise income tax at the rate of 25% on its global income. The implementation rules of the PRC Enterprise Income Tax Law define the term “de facto management bodies” as “establishments that carry out substantial and overall management and control over the manufacturing and business operations, personnel, accounting, and properties, among others, of an enterprise.”</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April 22, 2009, the State Taxation Administration issued the Notice Regarding the Determination of Chinese-controlled Offshore Incorporated Enterprises as PRC Tax Resident Enterprises on the Basis of De Facto Management Bodies, or STA Circular 82, which was partially amended by Announcement on Issues concerning the Determination of Resident Enterprises Based on the Standards of Actual Management Institutions issued by the State Taxation Administration on January 29, 2014, and further partially amended by Decision on Issuing the Lists of Invalid and Abolished Tax Departmental Rules and Taxation Normative Documents issued by the State Taxation Administration on December 29, 2017. STA Circular 82, as amended, provides certain specific criteria for determining whether the “de facto management body” of a Chinese-controlled offshore-incorporated enterprise is located in China. Further, STA Circular 82 states that certain Chinese-controlled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51"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addition, the State Taxation Administration issued the Bulletin on Promulgation of the Administrative Measures for Income Tax of Chinese-controlled Offshore-incorporated Resident Enterprises (Trial Implementation) on July 27, 2011, effective from September 1, 2011 and partially amended on April 17, 2015, June 28, 2016, and June 15, 2018, or STA Bulletin 45, providing more guidance on the implementation of STA Circular 82. STA Bulletin 45 clarifies matters including resident status determination, post-determination administration and competent tax authorities. See “Item 4. Information on the Company—B. Business Overview—Regulations— Regulations Relating to Tax-Enterprise Income Tax.”</w:t>
      </w:r>
    </w:p>
    <w:p>
      <w:pPr>
        <w:spacing w:after="0" w:line="14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Although both STA Circular 82 and STA Bulletin 45 only apply to offshore enterprises controlled by PRC enterprises or PRC enterprise groups, not those controlled by PRC individuals or foreigners, the determining criteria set forth in STA Circular 82 and STA Bulletin 45 may reflect the State Taxation Administration’s general position on how the “de facto management body” test should be applied in determining the tax resident status of all offshore enterprises, regardless of whether they are controlled by PRC enterprises or individuals.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the uncertainty regarding how the new resident enterprise classification may apply, it is also possible that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may change in the future, possibly with retroactive effect. Although we do not believe that our legal entities organized outside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constitute PRC resident enterprises, it is possible that the PRC tax authorities could reach a different conclusion. In such case,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considered a PRC resident enterprise and may therefore be subject to enterprise income tax at 25% on our global income as 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PRC enterprise income tax reporting obligations. If we are considered a PRC resident enterprise and earn income other than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our PRC subsidiaries, a 25% enterprise income tax on our global income could significantly increase our tax burden and materially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adversely affect our cash flow and profitability.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preferential tax treatments we currently enjoy or other unfavorable changes in tax law could result in additional costs.</w:t>
      </w:r>
    </w:p>
    <w:p>
      <w:pPr>
        <w:spacing w:after="0" w:line="1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Several subsidiaries of our Company obtained the “High and New Technology Enterprise” certificates in 2023, 2024 and 2025. Therefore, these entities were eligible to enjoy a preferential tax rate of 15% to the extent they had taxable income under the PRC Enterprise Income Tax Law in the past three years. The “High and New Technology Enterprise” qualification is re-assessed by the relevant authorities every three years. Moreover, several subsidiaries of our Company benefit from a preferential tax rate of 15% by qualifying as an enterprise in the western regions in an encouraged industry sector. Furthermore, a qualified software enterprise is entitled to a tax holiday consisting of a two-year enterprise income tax exemption beginning with the first profit-making calendar year and a 50% tax reduction for the subsequent three years. If any of the qualifying subsidiaries fails to maintain its qualifications under the relevant PRC laws and regulations, its applicable enterprise income tax rate may increase to up to 25% or it may not be able to claim tax deductible expense, any of which could cause our income tax expenses to increase and have a material adverse effect on our results of operations. In addition, there may be uncertainties as to the continuity of preferential tax treatments that we currently enjoy, which include and are not limited to abolition or reduction of existing tax incentives, stricter eligibility requirements, narrower interpretation of favorable tax laws, increases in statutory tax rates, or the introduction of new taxes. Such changes could significantly increase our overall tax burden, impair our profitability, and adversely affect our financial condition and results of operations.</w:t>
      </w:r>
    </w:p>
    <w:p>
      <w:pPr>
        <w:spacing w:after="0" w:line="143" w:lineRule="exact"/>
        <w:rPr>
          <w:sz w:val="20"/>
          <w:szCs w:val="20"/>
          <w:color w:val="auto"/>
        </w:rPr>
      </w:pPr>
    </w:p>
    <w:p>
      <w:pPr>
        <w:ind w:left="20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 or interest payable to our foreign investors and gains on the sale of our ADSs or ordinary shares or notes by our foreign investors may become subject to taxes under PRC tax laws.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as amended, and its implementation regulations issued by the State Council, a 10% PRC withholding tax is applicable to dividends or interest payable to investors that are non-PRC resident enterprises, which do not have an establishment or place of business in China or which have such establishment or place of business but the dividends or interest are not effectively connected with such establishment or place of business, to the extent such dividends or interest are derived from sources within China. Similarly, any gain realized on the transfer of ADSs or ordinary shares or notes by such investors is also subject to PRC tax at a rate of 10%, subject to any reduction or exemption set forth in the tax treaties, if such gain is regarded as PRC-sourced income. If we are deemed a PRC resident enterprise, dividends or interest paid on our ordinary shares or ADSs or notes, and any gain realized from the transfer of our ordinary shares or ADSs or notes, would be treated as PRC-sourced income and would as a result be subject to PRC taxation. See “Item 4. Information on the Company—B. Business Overview—Regulation—Regulations Relating to Tax—Enterprise Income Tax.” Furthermore, if we are deemed a PRC resident enterprise, dividends or interest payable to investors that are non-</w:t>
      </w:r>
    </w:p>
    <w:p>
      <w:pPr>
        <w:spacing w:after="0" w:line="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PRC individual investors and any gain realized on the transfer of ADSs or ordinary shares or notes by investors may be subject to PRC tax at a rate of 20%, subject to any reduction or exemption set forth in applicable tax treaties. It is unclear whether, if we are considered a PRC resident enterprise, holders of our ADSs or ordinary shares or notes would be able to claim the benefit of income tax treaties or agreements entered into between China and other countries or areas (although we do not expect to withhold at treaty rates if any withholding is required). If dividends or interest payable to our non-PRC investors, or gains from the transfer of our ordinary shares or ADSs or notes by such investors are subject to PRC tax, the value of your investment in our ordinary shares or ADSs or notes may be adversely affected.</w:t>
      </w:r>
    </w:p>
    <w:p>
      <w:pPr>
        <w:spacing w:after="0" w:line="184" w:lineRule="exact"/>
        <w:rPr>
          <w:sz w:val="20"/>
          <w:szCs w:val="20"/>
          <w:color w:val="auto"/>
        </w:rPr>
      </w:pPr>
    </w:p>
    <w:p>
      <w:pPr>
        <w:ind w:left="20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make adequate contributions to various employee benefit plans as required by PRC regulations may subject us to penalties.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 sponsored employee benefit plans, including certain social insurance, housing funds and other welfare-oriented payment obligations. Historically, we did not make adequate employee benefit payments as required under applicable PRC labor laws for some of our employees. While we have rectified this practice and are currently making full contributions in compliance with the applicable regulations, our failure in making full contribution in the past may subject us to late payment penalties. If we are subject to such penalties in relation to the underpaid employee benefits, our financial condition and results of operations may be adversely affected.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compliance challenges may be compounded by the evolving PRC labor laws and regulations. According to the Article 19(1) of the Supreme People’s Court’s Interpretation (II) on Several Issues Concerning the Application of Law in Labor Dispute Cases, which was promulgated on July 31, 2025 and came into effect on September 1, 2025, if an employer and an employee agree or the employee undertakes that social insurance contributions need not be paid, the People’s Court shall deem such agreement or undertaking invalid. Our PRC legal counsel is of the view that the new judicial interpretation would not cause us to undertake additional social insurance exposure, based on the following considerations: (i) no agreements have been entered into with any employees providing for the waiver of social insurance contributions by us; (ii) to the best of our knowledge, there are no ongoing or pending litigation proceedings initiated by employees in respect of the our social insurance contributions; (iii) the new judicial interpretation does not repeal or revise the social insurance laws and regulations currently in force in the PRC; and (iv) we are currently making full contributions of the social insurance in compliance with the applicable regulations. However, as PRC labor laws and regulatory guidance continue to evolve, we cannot assure how future developments may affect our operations. If we are deemed to have violated the relevant labor laws and regulations, we could be subject to related penalties, fines or legal fees, and our business,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 and ADSs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ADSs has fluctuated and may be volatile.</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Since we first listed our ADSs on the New York Stock Exchange, or the NYSE, on March 23, 2012, the trading prices of our ADSs have been and may continue to be subject to wide fluctuations. In 2025, the trading prices of our ADSs on the NYSE have ranged from US$12.14 to US$21.08 per ADS.</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market price for our ADSs is likely to be highly volatile and subject to wide fluctuations in response to factors including the following:</w:t>
      </w:r>
    </w:p>
    <w:p>
      <w:pPr>
        <w:spacing w:after="0" w:line="162"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of our expected results;</w:t>
      </w:r>
    </w:p>
    <w:p>
      <w:pPr>
        <w:spacing w:after="0" w:line="225"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services, acquisitions, strategic relationships, joint ventures, or capital investments;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competitors, or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brand partners, or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internet, e-commerce, or online retail companies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major business terms between our brand suppliers and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Renminbi and the U.S. dollar;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shares or ADSs;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equity securities or ADSs.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relating to the operating performance of any particular company. The securities of some China-based, U.S.-listed companies have experienced significant volatility since their initial public offerings, including, in some cases, substantial price declines in the trading prices of their securities. The trading performances of the securities of these companies after their offerings may affect the attitudes of investors toward China-based, U.S.-listed companies, which consequently may impact the trading performance of our ADSs, regardless of our actual operating performance. Furthermore, some negative news and perceptions about inadequate corporate governance practices or fraudulent accounting, corporate structure including the use of variable interest entities or other matters of other China-based, U.S.-listed companies have negatively affected the attitudes of investors towards China-based, U.S.-listed companies, including us, in general in the past, regardless of whether we have engaged in any inappropriate activities, and any news or perceptions with a similar nature may continue to negatively affect us in the future. These market fluctuations may also materially and adversely affect the market price of our ADSs.</w:t>
      </w:r>
    </w:p>
    <w:p>
      <w:pPr>
        <w:spacing w:after="0" w:line="150" w:lineRule="exact"/>
        <w:rPr>
          <w:sz w:val="20"/>
          <w:szCs w:val="20"/>
          <w:color w:val="auto"/>
        </w:rPr>
      </w:pPr>
    </w:p>
    <w:p>
      <w:pPr>
        <w:ind w:left="20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co-founder, chairman, and chief executive officer, Mr. Eric Ya Shen, has considerable influence over important corporate matters. Our ordinary shares are divided into Class A ordinary shares and Class B ordinary shares. Each Class A ordinary share is entitled to one vote and each Class B ordinary share is entitled to ten votes on all matters that are subject to shareholder vote. Each Class B ordinary share is convertible into one Class A ordinary share at any time by the holder thereof, while Class A ordinary shares are not convertible into Class B ordinary shares under any circumstances. Due to the disparate voting powers associated with our two classes of ordinary shares, as of March 31, 2026, Mr. Eric Ya Shen beneficially owned approximately 66.4% of the aggregate voting power of our company. As a result, Mr. Eric Ya Shen has considerable influence over matters such as electing directors and approving material mergers, acquisitions, or other business combination transactions, and he may take actions that are not in the best interest of us or our other shareholders.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and our ADSs of the opportunity to sell their shares at a premium over the prevailing market price. Any possible enforcement against such collateral could materially affect the influence of Mr. Eric Ya Shen over important corporate matters or the trading price of our ADSs.</w:t>
      </w:r>
    </w:p>
    <w:p>
      <w:pPr>
        <w:spacing w:after="0" w:line="156" w:lineRule="exact"/>
        <w:rPr>
          <w:sz w:val="20"/>
          <w:szCs w:val="20"/>
          <w:color w:val="auto"/>
        </w:rPr>
      </w:pPr>
    </w:p>
    <w:p>
      <w:pPr>
        <w:ind w:left="20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ordinary shares, or other equity securities in the public market could cause the price of our ADSs to decline.</w:t>
      </w:r>
    </w:p>
    <w:p>
      <w:pPr>
        <w:spacing w:after="0" w:line="118"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Sales of our ADSs, ordinary shares, or other equity securities in the public market, or the perception that these sales could occur, could cause the market price of our ADSs to decline. All ADSs representing our Class A ordinary shares are freely transferable by persons other than our “affiliates” without restriction or additional registration under the Securities Act of 1933, as amended, or the Securities Act.</w:t>
      </w:r>
    </w:p>
    <w:p>
      <w:pPr>
        <w:spacing w:after="0" w:line="13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the future, we may sell additional ordinary shares, ADSs, or other equity securities to raise capital, and our existing shareholders could sell substantial amounts of the ordinary shares or ADSs, including those issued upon the exercise of outstanding options, in the public market. We cannot predict the size of such future issuance or the effect, if any, that they may have on the market price for our ADSs. The issuance and sale of a substantial amounts of ordinary shares, ADSs, or other equity securities, or the perception that such issuances and sales may occur, could adversely affect the market price of our ADSs and impair our ability to raise capital through the sale of additional equity securities.</w:t>
      </w:r>
    </w:p>
    <w:p>
      <w:pPr>
        <w:spacing w:after="0" w:line="16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Certain holders of our Class A ordinary shares have the right to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176" w:lineRule="exact"/>
        <w:rPr>
          <w:sz w:val="20"/>
          <w:szCs w:val="20"/>
          <w:color w:val="auto"/>
        </w:rPr>
      </w:pPr>
    </w:p>
    <w:p>
      <w:pPr>
        <w:ind w:left="200"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of or trading volume for our ADSs to decline.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trading price of our ADSs.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Short selling is the practice of selling securities that a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target issuer and its business prospects in order to create negative market momentum and generate profits for themselves after selling a security short. These short attacks have, in the past, led to selling of shares in the market.</w:t>
      </w:r>
    </w:p>
    <w:p>
      <w:pPr>
        <w:spacing w:after="0" w:line="18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Public companies listed in the United States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may be the subject of unfavorable allegations made by short sellers in the future. Any such allegations may be followed by periods of instability in the market price of our ADSs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any investment in our ADSs could be greatly reduced or rendered worthless.</w:t>
      </w:r>
    </w:p>
    <w:p>
      <w:pPr>
        <w:spacing w:after="0" w:line="188" w:lineRule="exact"/>
        <w:rPr>
          <w:sz w:val="20"/>
          <w:szCs w:val="20"/>
          <w:color w:val="auto"/>
        </w:rPr>
      </w:pPr>
    </w:p>
    <w:p>
      <w:pPr>
        <w:ind w:left="20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must not rely on our dividend policy for return on your investment in our ADSs because the amount, timing, and whether or not we distribute dividends at all is entirely at the discretion of our board of directors.</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adopted an annual cash dividend policy in February 2024, under which we may choose to declare and distribute a cash dividend each year in accordance with our memorandum and articles of association and the applicable laws and regulations. Accordingly, we declared cash dividends in February 2024, 2025 and 2026 to the holders of our ordinary shares and ADSs. See “Item 8. Financial Information—A. Consolidated Statements and Other Financial Information—Dividend Policy” for details.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Our board of directors may also revise our dividend policy or it may choose to cancel our dividend policy entirely. Even if our board of directors decides to declare and pay dividends, the timing, amount, and form of future dividends, if any, will depend on, among other things, our future results of operations and cash flow, our capital requirements and surplus, the amount of distributions, if any, that we receive from our subsidiaries, our financial condition, contractual restrictions, and other factors deemed relevant by our board of directors. Accordingly, the return on your investment in our ADSs will likely depend entirely upon any future price appreciation of our ADSs. There is no assurance that our ADSs will appreciate in value or even maintain the price at which you purchased the ADSs. You may not realize a return on your investment in our ADSs and you may even lose your entire investment in our ADSs.</w:t>
      </w:r>
    </w:p>
    <w:p>
      <w:pPr>
        <w:spacing w:after="0" w:line="188" w:lineRule="exact"/>
        <w:rPr>
          <w:sz w:val="20"/>
          <w:szCs w:val="20"/>
          <w:color w:val="auto"/>
        </w:rPr>
      </w:pPr>
    </w:p>
    <w:p>
      <w:pPr>
        <w:ind w:left="20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ADS holders are limited by the terms of the deposit agreement, and ADS holders may not be able to exercise their right to direct how the Class A ordinary shares represented by the ADSs are voted.</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Except as described in this annual report and in the deposit agreement, holders of the ADSs will not be able to exercise voting rights attached to the Class A ordinary shares represented by our ADSs on an individual basis. Under the deposit agreement, ADS holders may vote only by giving voting instructions to the depositary, as the registered holder of the underlying Class A ordinary shares which are represented by the ADSs. Upon receipt of voting instructions from ADS holders, the depositary will endeavor to vote the underlying Class A ordinary shares in accordance with such instructions. Holder of the ADSs will not be able to directly exercise any right to vote with respect to the underlying shares unless ADS holders withdraw the shares and becomes the registered holder of such shares prior to the record date for the general meeting. See “Item 10. Additional Information—B. Memorandum and Articles of Association—Ordinary Shares—Voting Rights.”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can be no assurance that the ADS holders will receive the voting materials in time to instruct the depositary to vote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underlying their ADSs, and it is possible that the ADS holders who hold their ADSs through brokers, dealers,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third parties, will as a result not have the opportunity to exercise a right to vote. In addition, the depositary and its agents are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failing to carry out voting instructions or for the manner of carrying out voting instructions. Although the ADS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directly exercise their right to vote by withdrawing the ordinary shares underlying their ADSs, the ADS holders may not be 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so, on a timely basis or at all, to allow themselves to vote with respect to any specific matter.</w:t>
      </w:r>
    </w:p>
    <w:p>
      <w:pPr>
        <w:spacing w:after="0" w:line="203" w:lineRule="exact"/>
        <w:rPr>
          <w:sz w:val="20"/>
          <w:szCs w:val="20"/>
          <w:color w:val="auto"/>
        </w:rPr>
      </w:pPr>
    </w:p>
    <w:p>
      <w:pPr>
        <w:ind w:left="20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 and you may not receive cash dividends if it is impractical to make them available to you.</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a registration statement, if filed, to be declared effective. There might not be an exemption from registration under the Securities Act available to us for our rights offering. Accordingly, you may be unable to participate in our rights offerings and may experience dilution in your holdings.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 body, or under any provision of the deposit agreement, or for any other reason.</w:t>
      </w:r>
    </w:p>
    <w:p>
      <w:pPr>
        <w:spacing w:after="0" w:line="179" w:lineRule="exact"/>
        <w:rPr>
          <w:sz w:val="20"/>
          <w:szCs w:val="20"/>
          <w:color w:val="auto"/>
        </w:rPr>
      </w:pPr>
    </w:p>
    <w:p>
      <w:pPr>
        <w:ind w:left="20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against us or our directors and officers named in the annual report based on foreign laws.</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are incorporated in the Cayman Islands and conduct substantially all of our operations in China through our PRC subsidiaries and the consolidated variable interest entities. Among our directors and executive officers, Arthur Xiaobo Hong, Chi Ping Martin Lau, Jacky Xu, Xing Liu, and Nanyan Zheng habitually reside in Hong Kong while the other directors and executive officers all habitually reside in mainland China. As a result, it may be difficult for a shareholder to effect service of process within the United States upon these individuals,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United States and the Cayman Islands do not have a treaty providing for reciprocal recognition and enforcement of judgments of U.S. courts in civil and commercial matters and that there is uncertainty as to whether the courts of the Cayman Islands would</w:t>
      </w:r>
    </w:p>
    <w:p>
      <w:pPr>
        <w:ind w:firstLine="8"/>
        <w:spacing w:after="0" w:line="251" w:lineRule="auto"/>
        <w:tabs>
          <w:tab w:leader="none" w:pos="2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and conclusive, (iv) is not in respect of taxes, a fine, or a penalty, and (v) was not obtained in a manner and is not of a kind the enforcement of which is contrary to natural justice or the public policy of the Cayman Islands. 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 In addition, with respect to Cayman Islands companies, plaintiffs may face special obstacles, including but not limited to those relating to jurisdiction and standing, in attempting to assert derivative claims in United States federal or state courts.</w:t>
      </w:r>
    </w:p>
    <w:p>
      <w:pPr>
        <w:spacing w:after="0" w:line="19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You may also experience difficulties in enforcing judgments of the United States courts obtained against us or our directors or executive officers in mainland China or Hong Kong. In terms of enforceability of civil liabilities in mainland China, the courts in mainland China may recognize and enforce foreign judgments in accordance with the requirements of the PRC Civil Procedures Law based either on treaties between mainland China and the country where the judgment is made or on principles of reciprocity between jurisdictions. Mainland China does not have any treaties or other forms of reciprocity with the United States that provide for the reciprocal recognition and enforcement of foreign judgments. In addition, according to the PRC Civil Procedures Law, the mainland China courts will not enforce a foreign judgment against us or our director and officers if they decide that the judgment violates the basic principles of laws of mainland China or national sovereignty, security or public interest. As a result, it is uncertain whether and on what basis a court in mainland China would enforce a judgment rendered by a court in the United States. In terms of enforceability of civil liabilities in Hong Kong, the United States and Hong Kong do not have a bilateral treaty or multilateral convention in force on reciprocal recognition and enforcement of judgments either. As a result, any United States judgment is enforceable in Hong Kong pursuant to the common law regime in Hong Kong for recognizing and enforcing foreign judgments, which provides that a foreign judgment is enforceable if (i) it is final and conclusive on the merits, (ii) the judgment has been rendered by a court of competent jurisdiction, (iii) the judgment must be for a fixed sum of money, (iv) the judgment must be between the same parties as those before the Hong Kong court, and (v) enforcement of the judgment is not a breach of natural justice or against public policy. Therefore, any United States judgment may only be enforceable in mainland China or Hong Kong provided that the conditions set forth in the laws of these jurisdictions are determined by the courts of mainland China or Hong Kong, as applicable, to have been fulfilled.</w:t>
      </w:r>
    </w:p>
    <w:p>
      <w:pPr>
        <w:spacing w:after="0" w:line="193"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through actions against our management, directors, or major shareholders than would shareholders of a corporation incorporated in a jurisdiction in the United States.</w:t>
      </w:r>
    </w:p>
    <w:p>
      <w:pPr>
        <w:spacing w:after="0" w:line="172" w:lineRule="exact"/>
        <w:rPr>
          <w:sz w:val="20"/>
          <w:szCs w:val="20"/>
          <w:color w:val="auto"/>
        </w:rPr>
      </w:pPr>
    </w:p>
    <w:p>
      <w:pPr>
        <w:ind w:left="20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we are a Cayman Islands exempted company, the rights of our shareholders may be more limited than those of shareholders of a company organized in the United States.</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Cayman Islands law protecting the interests of minority shareholders may not be as protective in all circumstances as the law protecting minority shareholders in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Furthermore, our directors have the power to take certain actions without shareholder approval which would require shareholder approval under the laws of most U.S. jurisdictions. The directors of a Cayman Islands company, without shareholder approval, may implement a sale of any assets, property, part of the business, or securities of the company. Our ability to create and issue new classes or series of shares without shareholders’ approval could have the effect of delaying, deterring, or preventing a change in control without any further action by our shareholders, including a tender offer to purchase our ordinary shares at a premium over then current market prices.</w:t>
      </w:r>
    </w:p>
    <w:p>
      <w:pPr>
        <w:spacing w:after="0" w:line="164" w:lineRule="exact"/>
        <w:rPr>
          <w:sz w:val="20"/>
          <w:szCs w:val="20"/>
          <w:color w:val="auto"/>
        </w:rPr>
      </w:pPr>
    </w:p>
    <w:p>
      <w:pPr>
        <w:ind w:left="20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adversely affect the rights of holders of our ordinary shares and ADSs.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currently effective amended and restated memorandum and articles of association contain certain provisions that could limit the ability of third parties to acquire control of our company, including a provision that grants authority to our board directors to establish from time to time one or more series of preferred shares without action by our shareholders and to determine, with respect to any series of preferred shares, the terms and rights of that series. The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spacing w:after="0" w:line="183" w:lineRule="exact"/>
        <w:rPr>
          <w:sz w:val="20"/>
          <w:szCs w:val="20"/>
          <w:color w:val="auto"/>
        </w:rPr>
      </w:pPr>
    </w:p>
    <w:p>
      <w:pPr>
        <w:ind w:left="20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classified as a passive foreign investment company for United States federal income tax purposes, which could subject United States investors in our ADSs or Class A ordinary shares to significant adverse United States income tax consequences.</w:t>
      </w:r>
    </w:p>
    <w:p>
      <w:pPr>
        <w:spacing w:after="0" w:line="136" w:lineRule="exact"/>
        <w:rPr>
          <w:sz w:val="20"/>
          <w:szCs w:val="20"/>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A non-United States corporation, such as our company, will be a passive foreign investment company, or PFIC, for United States federal income tax purposes for any taxable year if either (a) 75% or more of its gross income for such year consists of certain types of “passive” income or (b) 50% or more of the value of its assets (generally determined on the basis of a quarterly average) during</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such year is attributable to assets that produce or are held for the production of passive income. For this purpose, cash and assets readily convertible into cash are categorized as passive assets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9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Although the law in this regard is unclear, we treat the consolidated variable interest entities as being owned by us for U.S. federal income tax purposes, not only because their management decisions are made by our WFOE in accordance with the contractual arrangements but also because we are entitled to substantially all of their economic benefits in accordance with the contractual arrangements, and, as a result, we have a “controlling financial interest” in the consolidated variable interest entities as defined in FASB ASC 810 so that we are considered the primary beneficiary of these consolidated variable interest entities for accounting purposes and thus consolidate their results of operations in our consolidated financial statements under U.S. GAAP. If it were determined, however, that we are not the owner of any of the consolidated variable interest entities for United States federal income tax purposes, we would likely be treated as a PFIC for the current taxable year or any future taxable year.</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Assuming that we are the owner of the consolidated variable interest entities for United States federal income tax purposes, and based upon our income and assets and the market price of our ADSs, we do not believe that we were a PFIC for the taxable year ended December 31, 2025 and we do not expect to be a PFIC in the foreseeable future. However, because PFIC status is a factual determination made annually after the close of each taxable year, including ascertaining the fair market value of our assets and the character of each item of income we earn, we can provide no assurance that we will not be a PFIC for the current taxable year or any future taxable year. The determination of whether we will be or become a PFIC will depend in part upon the market price of our ADSs, which we cannot control. Among other matters, if our market capitalization declines, we may be a PFIC for the current or future taxable years. Recent fluctuations in the market price of our ADSs increased our risk of becoming a PFIC. The market price of our ADSs may continue to fluctuate considerably; consequently, we cannot assure you of our PFIC status for any taxable year. The determination of whether we are or will be a PFIC will also depend, in part, on the composition of our income and assets, which will be affected by how, and how quickly, we use our liquid assets.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If we were to be classified as a PFIC in any taxable year, a U.S. Holder (as defined in “Item 10. Additional Information—E. Taxation—United States Federal Income Tax Considerations”) would be subject to special rules generally intended to reduce or eliminate any benefits from the deferral of United States federal income tax that a U.S. Holder could derive from investing in a non-United States corporation that does not distribute all of its earnings on a current basis. Further, if we are classified as a PFIC for any year during which a U.S. Holder holds our ADSs or Class A ordinary shares, we generally will continue to be treated as a PFIC for all succeeding years during which such U.S. Holder holds our ADSs or Class A ordinary shares. For more information, see “Item 10. Additional Information —E. Taxation—United States Federal Income Tax Considerations—Passive Foreign Investment Company Considerations.”</w:t>
      </w:r>
    </w:p>
    <w:p>
      <w:pPr>
        <w:spacing w:after="0" w:line="167" w:lineRule="exact"/>
        <w:rPr>
          <w:sz w:val="20"/>
          <w:szCs w:val="20"/>
          <w:color w:val="auto"/>
        </w:rPr>
      </w:pPr>
    </w:p>
    <w:p>
      <w:pPr>
        <w:ind w:left="20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U.S. Exchange Act, and as such we are exempt from certain provisions applicable to United States domestic public companies.</w:t>
      </w:r>
    </w:p>
    <w:p>
      <w:pPr>
        <w:spacing w:after="0" w:line="15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U.S.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680" w:right="4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U.S. Exchange Act requiring the filing with the SEC of quarterly reports on Form 10-Q or current reports on Form 8-K;</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regulating the solicitation of proxies, consents, or authorizations in respect of a security registered under the U.S. Exchange Act;</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U.S. Exchange Act regulating the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83" w:lineRule="exact"/>
        <w:rPr>
          <w:sz w:val="20"/>
          <w:szCs w:val="20"/>
          <w:color w:val="auto"/>
        </w:rPr>
      </w:pPr>
    </w:p>
    <w:p>
      <w:pPr>
        <w:ind w:left="20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are permitted to adopt certain home country practices in relation to corporate governance matters. These practices may afford less protection to shareholders than they would enjoy if we complied fully with the NYSE corporate governance listing standards.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 non-U.S. company with ADSs listed on the NYSE, we are subject to the NYSE corporate governance listing standards. However, Section 303A.00 of the NYSE Listed Company Manual permits a foreign private issuer like us to follow the corporate governance practices of its home country. Certain corporate governance practices in the Cayman Islands, which is our home country, may differ significantly from the NYSE rules. As we have chosen, and may from time to time to choose, to follow home country practice exemptions with respect to certain corporate matters, such as the requirements to have a majority of independent directors on the board and to obtain shareholders’ approval for adoption of an equity incentive plan, our shareholders may be afforded less protection under Cayman Islands law than they would under the NYSE rules applicable to U.S. domestic issuers. See “Item 16G.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and conduct our business through our subsidiaries and the consolidated variable interest entities in China. We started our operations in August 2008 when our founders established Vipshop Information in China. In order to facilitate foreign investment in our company, our founders incorporated Vipshop Holdings Limited, an offshore holding company in Cayman Islands, in August 2010. In October 2010, Vipshop Holdings Limited established Vipshop International Holdings Limited, a wholly-owned subsidiary, in Hong Kong. Subsequently, Vipshop International Holdings Limited established a wholly-owned PRC subsidiary, Vipshop China, in January 2011 and a wholly-owned PRC subsidiary, Chongqing Pinwei, in March 2024. Along with the growth of our mobile active customers and mobile service offerings, Vipshop China formed Guangzhou Pinwei Software Co., Ltd. in 2012 as a research and development center to focus on our mobile product and solutions.</w:t>
      </w:r>
    </w:p>
    <w:p>
      <w:pPr>
        <w:spacing w:after="0" w:line="16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To support our regional business expansion, Vipshop China established a number of wholly-owned PRC subsidiaries that focus on warehousing services, retail business, product procurement, as well as software development and information technology support over the years since 2011. As of December 31, 2025, we mainly rely on Chongqing Pinwei and a number of significant subsidiaries of Vipshop China for our business operations.</w:t>
      </w:r>
    </w:p>
    <w:p>
      <w:pPr>
        <w:spacing w:after="0" w:line="13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Foreign ownership of internet-based businesses is subject to significant restrictions under current PRC laws and regulations. The PRC government regulates internet access, the distribution of online information, and the operation of online commerce through strict business licensing requirements and other government regulations. We, as a Cayman Islands company, and our PRC subsidiary Vipshop China, as a WFOE, are both restricted from holding the licenses that are necessary for our online operation in China. To comply with these restrictions, our online retail channels are operated by the consolidated variable interest entities in China. As a result of our efforts to streamline our contractual arrangements among the consolidated variable interest entities in the past, Vipshop E-Commerce currently holds the primary licenses necessary to conduct our internet-related operations of our online retail channels in China. We face risks associated with our corporate structure, see “Item 3. Key Information—D. Risk Factors—Risks Relating to Our Corporate Structure” for details.</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128 Dingxin Road, Haizhu District, Guangzhou, Guangdong 510220, People’s Republic of China. Our telephone number at this address is +86 (20) 2233-0025. Our registered office in the Cayman Islands is located at the office of International Corporation Services Ltd, P.O. Box 472, 2nd Floor, Harbour Place, 103 South Church Street, George Town, Grand Cayman KY1-1106, Cayman Islands. Our website is https://www.vip.com. The information on our websites should not be deemed to be part of this annual report. All information filed with the SEC can be obtained over the internet at SEC’s website at https://www.sec.gov.</w:t>
      </w:r>
    </w:p>
    <w:p>
      <w:pPr>
        <w:spacing w:after="0" w:line="15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18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operate as an off-price retailer, offering a broad spectrum of high-quality branded products at deep discounts. Our product offerings include womenswear and menswear, sportswear and sporting goods, baby and children products, shoes and bags, skincare and cosmetics, supermarket and other products, and home goods and other lifestyle products from desirable domestic and international brands. As of December 31, 2025, we had 312.1 million cumulative customers, and promoted and sold products for over 52,000 popular domestic and international brands. Our GMV increased from RMB208.0 billion in 2023 to RMB209.3 billion in 2024, and further increased to RMB213.5 billion in 2025. The total orders were 812.3 million, 757.5 million and 732.4 million in 2023, 2024 and 2025, respectively.</w:t>
      </w:r>
    </w:p>
    <w:p>
      <w:pPr>
        <w:spacing w:after="0" w:line="14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With our dedicated operations in the off-price retailer industry and through our continuous innovations to stimulate customers’ excitement in their shopping experience, we have accumulated a large number of highly engaged and loyal customers. The total number of our active customers was 87.4 million, 84.7 million and 84.8 million in 2023, 2024 and 2025, respectively. Our active Super VIP customers increased from 7.6 million in 2023 to 8.8 million in 2024, and further increased to 9.8 million in 2025.</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are the first company in China to introduce “flash sale,” an online retail format that transforms how off-price products are transacted. Over the years, we have refined our business operations through innovation and commitment to quality. Today, Vipshop has become a byword for quality branded products, value-oriented offerings and reliable service. By integrating value-conscious shopping with quality experiences, we have created a contemporary approach to quality living, making every purchase at Vipshop a practical choice for a better life.</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Merchandising Capability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an established off-price retailer, we have cultivated our unique merchandising capabilities.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Professional Merchandising Team</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merchandising expertise is a key element in exercising our merchandising practices. To implement our merchandising practices in a strict and methodical manner, we established a professional merchandising team in 2008. As of December 31, 2025, our merchandising team consisted of over 900 specialists. Our merchandising team is responsible for sourcing authentic high-quality branded products at deep discounts in alignment with our selection guidelines, while constantly adapting to shifting consumer and market trends. Our merchandising team demonstrates deep expertise in identifying emerging trends, managing price volatility, and executing comprehensive category planning, product selection, and pricing strategies. Their sharp market intuition and analytical capabilities allow them to anticipate shifts in consumer behavior and optimize procurement decisions accordingly.</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optimize organizational structure of our professional merchandising team from time to time to stay abreast of market trends. To foster innovation and agility, we have designed a decentralized structure that grant our merchandising specialists significant operational autonomy to respond swiftly to local demand and seize opportunities driven by value. To source globally, we have established a global division with merchandising specialists deployed across Europe, North America, and Asia. We also unveiled the manifesto of our global merchandising specialists, highlighting the merchandising teams’ commitment to certain core principles in merchandising.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Core Merchandising Strategy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core merchandising strategy is to differentiate through unique offering and superior value.</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Brand Partners and Brand Selection</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cultivated a broad and diverse group of brand partners. Our brand partners primarily include brand owners, and, to a lesser extent, brand distributors and resellers. As of December 31, 2023, 2024 and 2025, we had worked with over 29,000, 30,000, and 32,000 brand partners, respectively. In 2023, 2024 and 2025, none of the brands accounted for more than 3% of our total revenues, ensuring a diversified and resilient supply base.</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Leveraging the industry expertise of our professional merchandising team and our proprietary consumer insights, we carefully select prospective brand partners and work with those that offer high-quality or premium products that are desirable among consumers in China, and that are willing to provide competitive prices and favorable payment and product return terms. In addition to brands that have an established network of offline stores in China, we also proactively introduce new and up-and-coming brands that appeal to younger generations and middle-class consumers, such as trendy and boutique brands, and the prestigious brands that have not been introduced to our platform.</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Once a potential brand partner is identified, we conduct due diligence reviews on its qualifications, including whether it holds the proper business operation licenses, safety, sanitary and quality certifications, trademark registration certificates, and license agreements in relation to the branded products. This review process helps ensure that we maintain a portfolio of brands with high standards and a good reputation that can meet our customers’ expectations.</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Differentiated Merchandise Offering</w:t>
      </w:r>
    </w:p>
    <w:p>
      <w:pPr>
        <w:spacing w:after="0" w:line="22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have been making efforts to differentiate our offering. For example, we collaborate with our brand partners to develop merchandise specifically for our channels, known as “Made for Vipshop,” providing our customers differentiated products that are only available on Vipshop. In 2025, over 250 brands participated in the “Made for Vipshop” program.</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also implement opportunistic buying, wherein we strategically purchase excess inventory directly from brands at reduced prices. Through this outright purchase approach, we acquire full ownership of these authentic branded goods, enabling us to offer them exclusively at discounts. Our professional merchandising team seeks out market dynamics and brand inventory situations worldwide, identifying purchasing opportunities that align with consumer preferences.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Quality Assurance</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merchandising strategy, we have adopted stringent quality assurance and control procedures for products delivered through our logistics network. We have put in place and implemented a comprehensive quality and safety control system across the pre-sale, during-sale, and after-sale stages. We inspect products delivered to our logistics network, rejecting or returning products that do not meet our quality standards or the purchase order specifications. We also inspect products before shipment from our logistics network to our customers. In addition, we take sampling quality inspection from time to time of the products that are allowed to be shipped from the suppliers’ warehouses directly to our customers.</w:t>
      </w:r>
    </w:p>
    <w:p>
      <w:pPr>
        <w:spacing w:after="0" w:line="18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part of our quality assurance framework, we maintain direct sourcing relationships with brand owners and authorized distributors and conduct strict screening of supplier qualifications.</w:t>
      </w:r>
    </w:p>
    <w:p>
      <w:pPr>
        <w:spacing w:after="0" w:line="16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October 2023, we entered into a strategic partnership with China Certification and Inspection Group to collaborate on consumer product quality inspection and certification and corporate social responsibility, among other things. In 2025, we deepened this collaboration by stationing professional authenticators from China Certification and Inspection Group Luxury Goods Authentication Center at our warehouses in Huzhou and Zhengzhou to conduct pre-sale authentication of high-end consumer goods, with the goal of progressively extending individual authentication reports to every item. This marks a transformative shift from traditional post-sale sampling to pre-sale authentication, enhancing consumer trust and setting a new industry benchmark for quality assurance.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Retail Channels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developed diverse online and offline retail channels.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Online Channels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online channels primarily include the Vipshop mobile app, the </w:t>
      </w:r>
      <w:r>
        <w:rPr>
          <w:rFonts w:ascii="Times New Roman" w:cs="Times New Roman" w:eastAsia="Times New Roman" w:hAnsi="Times New Roman"/>
          <w:sz w:val="18"/>
          <w:szCs w:val="18"/>
          <w:i w:val="1"/>
          <w:iCs w:val="1"/>
          <w:color w:val="auto"/>
        </w:rPr>
        <w:t>vip.com</w:t>
      </w:r>
      <w:r>
        <w:rPr>
          <w:rFonts w:ascii="Times New Roman" w:cs="Times New Roman" w:eastAsia="Times New Roman" w:hAnsi="Times New Roman"/>
          <w:sz w:val="18"/>
          <w:szCs w:val="18"/>
          <w:color w:val="auto"/>
        </w:rPr>
        <w:t xml:space="preserve"> website, and the Vipshop WeChat Mini-Program, each of which is owned and operated by us. We offer a curated selection of products and services through our online channels for shoppers of varying age groups and income levels throughout China. In 2023, 2024 and 2025, we generated more than 96% of our net revenues from our online channels (i.e., from our vip.com segment).</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Vipshop mobile app, available on mainstream mobile operating systems including iOS and Android since 2011, is our top online portal in terms of GMV generated and the numbers of registered members. We have been upgrading the Vipshop mobile app, adding new features from time to time to increase our customer stickiness and engagement. In 2023, 2024 and 2025, GMV generated by our Vipshop mobile app users accounted for approximately 90% of our total online GMV.</w:t>
      </w:r>
    </w:p>
    <w:p>
      <w:pPr>
        <w:spacing w:after="0" w:line="178"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vip.com</w:t>
      </w:r>
      <w:r>
        <w:rPr>
          <w:rFonts w:ascii="Times New Roman" w:cs="Times New Roman" w:eastAsia="Times New Roman" w:hAnsi="Times New Roman"/>
          <w:sz w:val="18"/>
          <w:szCs w:val="18"/>
          <w:color w:val="auto"/>
        </w:rPr>
        <w:t xml:space="preserve"> website has been with us since our inception. It is an integral part of our online channels by providing an alternative access point for customers to browse and purchase our merchandise, alongside our Vipshop mobile app and Vipshop WeChat Mini-Program.</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Vipshop WeChat Mini-Program, which we launched in 2017, offers key features of our Vipshop mobile app and allows users to access our platform directly through the WeChat App, either through the Mini-Program interface or the WeChat Pay and Services interface.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Below is a screenshot of the main interface of our Vipshop mobile app solely for illustrative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161925</wp:posOffset>
            </wp:positionV>
            <wp:extent cx="6172200" cy="60261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72200" cy="602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Flash Sales</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online channels feature “flash sales,” an innovative online retail format that we introduced in China in 2008. Flash sales combine online retail with discounted sales by offering a limited quantity of high-quality branded products at deep discounts for a short period of time. Before each flash sales event, our professional merchandising team analyzes historical patterns, fashion trends, seasonality, and customer feedback to curate a balanced and diverse product mix. We leverage consumer insights from our business intelligence systems to enhance the timeliness and relevance of our offerings, enabling us to select appealing products, negotiate favorable terms, and occasionally secure items available exclusively on Vipshop. Flash sales embody characteristics of value, quality, and convenience that are well suited for brand-conscious Chinese consumers. We host new sales events twice a day at 10 a.m. and 8 p.m. Beijing time, respectively, presenting curated selections of popular branded merchandise through our prime traffic portals Fengqiang and Kuangmiao. The products we offer on Fengqiang are generally apparel-related products with a discount level of 70% or more off the market retail price. Kuangmiao, on the other hand, generally distributes standardized products, such as skincare and cosmetics, home goods, and other lifestyle products, with a discount level ranging from 10% to 90% off the market retail price. Each item is available in limited quantity and remains on sale only while supplies last, with purchase quantity limited to provide more customers with the opportunity to access these featured discounted products.</w:t>
      </w:r>
    </w:p>
    <w:p>
      <w:pPr>
        <w:spacing w:after="0" w:line="18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enhance our customer shopping experience by optimizing our signature sales events, including Super Product Category Day, Super Brand Day, and Today’s Top Brands. These events serve as effective touchpoints for customer acquisition and retention. To help customers discover products easily, we organize our merchandise through various product category channels covering womenswear and menswear, sportswear and sporting goods, baby and children products, shoes and bags, skincare and cosmetics, supermarket and other products, and home goods and other lifestyle products. We have also developed specialized channels such as Everyday Low Prices for value-conscious customers, while our Luxury and Outlet channels cater to customers who desire new, trendy, premium designers and luxury brands at affordable prices.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Features and Functions</w:t>
      </w:r>
    </w:p>
    <w:p>
      <w:pPr>
        <w:spacing w:after="0" w:line="22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online channels are designed to deliver an online shopping environment that blends convenience with personalization. Our online channels offer many features that enhance customer experience, including AI-powered searches, personalized recommendations, AI customer service agent, and other innovative functions that simulate “in-store” shopping experience.</w:t>
      </w:r>
    </w:p>
    <w:p>
      <w:pPr>
        <w:spacing w:after="0" w:line="174" w:lineRule="exact"/>
        <w:rPr>
          <w:sz w:val="20"/>
          <w:szCs w:val="20"/>
          <w:color w:val="auto"/>
        </w:rPr>
      </w:pPr>
    </w:p>
    <w:p>
      <w:pPr>
        <w:ind w:left="680" w:right="220" w:hanging="321"/>
        <w:spacing w:after="0" w:line="261"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AI-powered search engine</w:t>
      </w:r>
      <w:r>
        <w:rPr>
          <w:rFonts w:ascii="Times New Roman" w:cs="Times New Roman" w:eastAsia="Times New Roman" w:hAnsi="Times New Roman"/>
          <w:sz w:val="18"/>
          <w:szCs w:val="18"/>
          <w:color w:val="auto"/>
        </w:rPr>
        <w:t>: An AI-powered search engine has been embedded in our online channels. Our AI-powered 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 can understand customer intent, recognizing search patterns and product associations to deliver relevant results even with limited input. Our AI-powered search engine learns from customer interactions, refining its capabilities to anticipate shoppers’ needs with increasing accuracy.</w:t>
      </w:r>
    </w:p>
    <w:p>
      <w:pPr>
        <w:spacing w:after="0" w:line="179" w:lineRule="exact"/>
        <w:rPr>
          <w:rFonts w:ascii="Times New Roman" w:cs="Times New Roman" w:eastAsia="Times New Roman" w:hAnsi="Times New Roman"/>
          <w:sz w:val="18"/>
          <w:szCs w:val="18"/>
          <w:color w:val="auto"/>
        </w:rPr>
      </w:pPr>
    </w:p>
    <w:p>
      <w:pPr>
        <w:ind w:left="680" w:right="140" w:hanging="321"/>
        <w:spacing w:after="0" w:line="258"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Personalized recommendations</w:t>
      </w:r>
      <w:r>
        <w:rPr>
          <w:rFonts w:ascii="Times New Roman" w:cs="Times New Roman" w:eastAsia="Times New Roman" w:hAnsi="Times New Roman"/>
          <w:sz w:val="18"/>
          <w:szCs w:val="18"/>
          <w:color w:val="auto"/>
        </w:rPr>
        <w:t>: Supported by the experience that we have amassed from our operations, we are able to garner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insights into evolving market preferences and construct an understanding of each individual customer by analyzing individual shopping histories, browsing patterns, and preference indicators. These insights, processed through our data analytics and AI-powered recommendation engines, allow us to update our brand mix and product offerings on a timely basis to better catch market trends and curate tailored product suggestions.</w:t>
      </w:r>
    </w:p>
    <w:p>
      <w:pPr>
        <w:spacing w:after="0" w:line="183" w:lineRule="exact"/>
        <w:rPr>
          <w:rFonts w:ascii="Times New Roman" w:cs="Times New Roman" w:eastAsia="Times New Roman" w:hAnsi="Times New Roman"/>
          <w:sz w:val="18"/>
          <w:szCs w:val="18"/>
          <w:color w:val="auto"/>
        </w:rPr>
      </w:pPr>
    </w:p>
    <w:p>
      <w:pPr>
        <w:ind w:left="680" w:hanging="321"/>
        <w:spacing w:after="0" w:line="267"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customer service agent</w:t>
      </w:r>
      <w:r>
        <w:rPr>
          <w:rFonts w:ascii="Times New Roman" w:cs="Times New Roman" w:eastAsia="Times New Roman" w:hAnsi="Times New Roman"/>
          <w:sz w:val="18"/>
          <w:szCs w:val="18"/>
          <w:color w:val="auto"/>
        </w:rPr>
        <w:t>: Powered by AI, our AI customer service agent is designed to enhance shopping experience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efficiency. Leveraging advanced technologies, our AI customer service agent assists pre-sales consultation, provides smart recommendation, and handles after-sales inquiries.</w:t>
      </w:r>
    </w:p>
    <w:p>
      <w:pPr>
        <w:spacing w:after="0" w:line="173" w:lineRule="exact"/>
        <w:rPr>
          <w:rFonts w:ascii="Times New Roman" w:cs="Times New Roman" w:eastAsia="Times New Roman" w:hAnsi="Times New Roman"/>
          <w:sz w:val="18"/>
          <w:szCs w:val="18"/>
          <w:color w:val="auto"/>
        </w:rPr>
      </w:pPr>
    </w:p>
    <w:p>
      <w:pPr>
        <w:ind w:left="680" w:right="460" w:hanging="321"/>
        <w:spacing w:after="0" w:line="267"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innovative functions</w:t>
      </w:r>
      <w:r>
        <w:rPr>
          <w:rFonts w:ascii="Times New Roman" w:cs="Times New Roman" w:eastAsia="Times New Roman" w:hAnsi="Times New Roman"/>
          <w:sz w:val="18"/>
          <w:szCs w:val="18"/>
          <w:color w:val="auto"/>
        </w:rPr>
        <w:t>: On top of these features, our online channels also incorporate other innovative functions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from time to time. For example, we developed and launched an AI virtual try-on feature called “Try it on,” which provides customers with real-time outfit visualization effects utilizing image AI algorithms.</w:t>
      </w:r>
    </w:p>
    <w:p>
      <w:pPr>
        <w:spacing w:after="0" w:line="17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Furthermore, we are actively integrating AIGC (AI-Generated Content) to streamline content creation and enrich the customer journey. This includes generating diverse and realistic AI-powered model photography to showcase products, creating compelling product highlights efficiently, and automatically synthesizing customer feedback into concise, easy-to-digest summaries of product reviews. These applications allow us to present products more vividly and help customers make more informed purchasing decisions.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Offline Channels</w:t>
      </w:r>
    </w:p>
    <w:p>
      <w:pPr>
        <w:spacing w:after="0" w:line="22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online channels, we operate a nationwide offline network consisting of 22 Shan Shan Outlets and a number of other offline retail stores as of December 31, 2025. Complementary to our online channels, these offline stores offer popular branded products at discounts, capturing the consumers who prefer to try on and physically interact with products.</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Shan Shan Outlets</w:t>
      </w:r>
    </w:p>
    <w:p>
      <w:pPr>
        <w:spacing w:after="0" w:line="22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July 2019, we acquired Shan Shan Outlets, which has since evolved under our management into a significant player in China’s outlet groups. Shan Shan Outlets is dedicated to the development and operation of high-quality outlet complexes. With years of deep industry experience, Shan Shan Outlets absorbs management practices from international outlet industries while adapting to Chinese consumer characteristics and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125730</wp:posOffset>
            </wp:positionV>
            <wp:extent cx="6172200" cy="41230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72200"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Shan Shan Outlets has introduced an “Outlets +” concept that goes beyond traditional retail, positioning its outlet malls as “daycation destination” that integrate entertainment experiences, family interactive spaces, dining, and diverse business formats alongside its core “brand + discount” retail offering. Shan Shan Outlets partners with premium international and domestic brands to offer quality branded products at significant discounts. The product categories primarily include luxury international brands, sports and outdoor brands, and well-known domestic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operate Shan Shan Outlets primarily through joint operation and leasing models. Under the joint operation model, we provide venue and unified management to brands and charge brands based on contractually agreed deduction rates applied to actual sales revenue. We are responsible for organizing marketing planning and providing unified payment settlement and customer services, among other key functions of the outlets. The leasing model employs three pricing mechanisms: fixed rental rates, percentage-based rent calculated on brands’ sales turnover, or the higher of fixed rent or percentage rent. Under both models, we charge property management fees, data management fees, and promotional service fees to maintain outlet operations and support marketing activities.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Vipshop Offline Stores</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also directly operate our Vipshop offline stores to sell off-price products to offline consumers. The offline stores serve as an extension and complements to our online business, sharing brand resources and reinforcing the “off-price retail” positioning in consumers’ minds. As of December 31, 2025, we had 46 directly-operated Vipshop offline stores nationwide, including in Guangzhou, Wuhan, Chongqing, Chengdu, and Beijing, among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an engaged and loyal customer base. We provide shoppers with a curated assortment of authentic high-quality branded products at discounts, bringing a “treasure-hunting” shopping experience on our platform. We had active customers of 87.4 million, 84.7 million and 84.8 million in 2023, 2024, and 2025, respectively.</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Super VIP Members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rolled out our Super VIP Membership (SVIP), a dedicated membership program, that entitles paid members to enjoy premium services alongside their shopping experience. Our active SVIP customers increased from 7.6 million in 2023 to 8.8 million in 2024, and further increased to 9.8 million in 2025. They tend to possess strong purchasing power and are more willing to make frequent purchases of high-value items on our platform.</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SVIP members constitute a customer segment with demonstrated willingness to invest in annual membership fees in exchange for exclusive membership privileges. These exclusive membership privileges available to our SVIP members include, but are not limited to, unlimited free shipping, exclusive discounts, private special sales, and 24/7 VIP customer service. We also offer our SVIP members a wide variety of popular lifestyle benefits, covering local services, entertainment, and leisure, among others. The standard list price of our SVIP membership is typically at RMB199 for one year. We also offer discounted price for membership package subscriptions that are automatically renewed. Furthermore, we also offer joint memberships from time to time with selected popular entertainment platforms and lifestyle brand, to further promote our SVIP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131445</wp:posOffset>
            </wp:positionV>
            <wp:extent cx="6172200" cy="5854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72200" cy="585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Procurement and Inventory Management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Procurement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build long-term relationships with qualified brand partners. We generally enter into agreements with brand partners based on our standard form, in which brand partners grant us authorization to market and sell certain brands products on our online channels. In most cases, we enter into annual framework agreements with our brand partners, with supplemental purchase orders for sales events. We implement a variety of flexible procurement practices, coupled with our fulfillment solutions.</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regularly communicate with our brand partners to discuss the schedules and product offerings for specific sales events. In addition, we require our brand partners that contract with us to comply with the anti-bribery and anti-corruption provisions specifically included in such agreement.</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typically do not pay any deposit on the products we purchase. We generally settle with our brand partners every 10 to 30 days for purchases made within a certain period of time net of customer returns.</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generally have the right to return unsold items within a period of time after the end of a sales event. For certain types of products such as certain sporting goods, beauty products, and cross-border products, we typically do not have the right to return unsold items to brand partners. For these unreturnable products, we have been able to leverage our strong marketing expertise regarding customer preferences to achieve quick inventory turnover. Additionally, we can continue to sell any excess inventory through our Vipshop offline stores.</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implemented an inventory management system to manage the information relating to our procurement plan, quality control upon receipt, stock maintenance, stock deliveries, sales invoicing, and sales recording. We use a big data business analysis system to monitor and actively track sales data. This system helps us make timely adjustments to our procurement plan and minimize excess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Fulfillment, and Return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229"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We provide our customers with the flexibility to choose from a number of payment options. Our payment options include our Vipshop Payment service and payment through third-party channels. We have obtained the requisite Payment Business License to provide our Vipshop Payment service. All of our online orders are collected through online payment services.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Fulfillment</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a logistics network and warehousing capacity with nationwide coverage. We have adopted a flexible logistics model supported by our robust and advanced warehouse management system. We work with top delivery companies with nationwide coverage.</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Logistics Network and Warehouse Management System</w:t>
      </w:r>
    </w:p>
    <w:p>
      <w:pPr>
        <w:spacing w:after="0" w:line="22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maintain seven regional distribution centers to facilitate the distribution of standardized and frequently purchased products and several bonded warehouses in China.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proprietary automated warehouse management system enables us to closely monitor each step of the fulfillment process, from when a purchase order is confirmed with a brand partner, to when the products are stocked in our logistics network, and eventually when the product is packaged and picked up for shipment to the customer. We have continually focused on implementing new initiatives to refine our automated warehouse management system throughout our operations. For example, we have implemented the honeycomb system, an automated goods-to-person warehousing system well-suited for handling large quantities with high access speeds, in our South China, Southwest China, and East China regional distribution centers to improve picking efficiency and accuracy of consumers’ orders. As we offer a curated selection of brands and products for each daily sale, our logistics network and inventory management systems are also specifically designed to support the frequent sales events on our flash sales platform and a large volume of inventory turnover.</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2023, 2024 and 2025, substantially all of the logistics services used either “just-in-time” model or “just-in-time X” model. The “just-in-time” model allows some of our suppliers to load inventories to our warehouses only within a period of time after being notified when orders have been generated. Compared to the traditional bulk load-in and bulk load-out model, the “just-in-time” model enables us and our suppliers to increase the number of products offered on our platform and further diversify our product offerings. The “just-in-time X” model, which is an upgrade from the “just-in-time” model, allows single-supplier orders from certain reliable brand partners to be shipped directly from the suppliers’ warehouses to the end customers, further improving our logistic efficiency.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Delivery Services</w:t>
      </w:r>
    </w:p>
    <w:p>
      <w:pPr>
        <w:spacing w:after="0" w:line="227" w:lineRule="exact"/>
        <w:rPr>
          <w:sz w:val="20"/>
          <w:szCs w:val="20"/>
          <w:color w:val="auto"/>
        </w:rPr>
      </w:pPr>
    </w:p>
    <w:p>
      <w:pPr>
        <w:ind w:right="400" w:firstLine="194"/>
        <w:spacing w:after="0" w:line="281" w:lineRule="auto"/>
        <w:rPr>
          <w:sz w:val="20"/>
          <w:szCs w:val="20"/>
          <w:color w:val="auto"/>
        </w:rPr>
      </w:pPr>
      <w:r>
        <w:rPr>
          <w:rFonts w:ascii="Times New Roman" w:cs="Times New Roman" w:eastAsia="Times New Roman" w:hAnsi="Times New Roman"/>
          <w:sz w:val="17"/>
          <w:szCs w:val="17"/>
          <w:color w:val="auto"/>
        </w:rPr>
        <w:t>We deliver orders placed on our online channels to all areas in China through reputable third-party delivery companies with nationwide coverage, such as SF Express. We have entered into a strategic business cooperation agreement with SF Holding (which operates the SF Express business) to enhance cooperation and utilize its delivery services to optimize the efficiency of our logistics operations, improve operating leverage in our fulfillment expenses, and provide our customers with quality delivery services.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luxury goods orders, we deliver the products with an “anti-tampering lock” device to further enhance customer trust.</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leverage our large-scale operations and reputation to obtain favorable contractual terms from third-party delivery companies. To reduce the risk of reliance on any single delivery company, we work with most of the major delivery companies in China. We regularly monitor and review the delivery companies’ service quality and their compliance with our contractual terms.</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Return and Exchange Policy</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generally offer our customers the right to return or exchange products purchased from our online channels within seven days of receipt of the products as long as the products are unused, unwashed, unworn, undamaged, and in their original packaging and original condition. To facilitate the return or exchange, and to enhance customer experience, we provide door-to-door collection and free return or exchange services without charging any service or warehousing fee. For the return of luxury products, the anti-tampering lock on the product must remain intact. For purchases through our offline channels, we generally offer our customers the right to return or exchange products within 15 days of purchases. We believe that our hassle-free return and exchange policies help increase customer spending and enhance customer loyalty.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Price Assurance</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To enhance the shopping experience of our customers, we have established a price assurance policy to allow qualified customers to receive compensation for price differences in the event that the price of the product at our platform experiences a decrease within a certain period of time after the purchase. We post our price assurance policy, including its applicable exceptions, on our platform and label the qualified products accordingly to make sure our customers are well informed of our price assurance arrangements.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emphasis on customer service enhances our ability to maintain a large and loyal customer base and create a positive customer experience, encouraging repeat visits and purchases. We have a dedicated customer service team responsible for handling general customer inquiries and requests, assisting customers with their ordering process, investigating the status of orders, shipments, and payments, resolving customer complaints, and providing other after-sales services. Our customers can contact customer service representatives through our customer service hotline, real-time online chat, or our customer service e-mail. Our Super VIP members enjoy 24/7 customer service support. We also engage certain high-quality third-party service centers to undertake certain customer services for us. As of December 31, 2025, we had over 1,800 customer service personnel, including independent contractors.</w:t>
      </w:r>
    </w:p>
    <w:p>
      <w:pPr>
        <w:spacing w:after="0" w:line="18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With a specialized team dedicated to effectively tackling customer concerns, we strive to align closely with customer expectations and sentiments. We maintain service quality by carefully selecting personnel, providing our customer service representatives with extensive training, and regularly monitoring and evaluating the performance of each representative. Each new customer service representative is required to complete a mandatory training program in Guangzhou, conducted by experienced managers, covering product knowledge, complaint handling, service attitude, and communication skills. To facilitate timely resolution of customer complaints, we also train and delegate our customer service representatives to resolve complaints and remedy situations within a specified authorized amount without having to get approval from their supervisors. We have also developed AI customer service agents to provide intelligent customer service to our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business model and associated value propositions help us build a large base of active customers. We continue to enhance the engaging and discovery-driven nature of our customer shopping experience to promote word-of-mouth referrals and repeat customer purchases through on our online channels.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leverage various marketing channels, especially digital marketing channels, to strengthen our brand awareness, acquire new customers, and retain existing customers. We utilize our big data analytics and insights from our large customer base and business intelligence system to refine our targeted marketing initiatives. For example, we launched social campaigns, such as SVIP special sessions to give customers more benefits and increase customer interaction. In addition, we proactively expanded targeted marketing, and adopted various marketing campaigns such as advertising in TV series and reality shows and marketing on new media channels to keep customers informed of our latest promotional offerings and our Vipshop brand. Furthermore, we encourage our customers to share their shopping experiences through an “easy-to-share” function on social media platforms in China, such as WeChat, which can increase their customer stickiness while also serving as a means to attract new customers. Moreover, some of our offline stores are making efforts to utilize private domain traffic by operating their own WeChat groups and provide direct marketing to consumers.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technological capabilities play an important role in the success of our business, and enable us to enhance operating efficiency and site scalability. We rely on a combination of our internally developed proprietary technologies, open-source solutions, and licensed technologies to optimize every aspect of our operations for the benefit of our customers and brand partners.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Technology-driven Analytical Capabilities</w:t>
      </w:r>
    </w:p>
    <w:p>
      <w:pPr>
        <w:spacing w:after="0" w:line="229"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We have accumulated a large customer base and observed customer behavior and performance throughout our operations. Our big data analytics and business intelligence systems enable us to use our proprietary transaction information to further analyze and study customer behavior and customer preferences. We regularly use this information in planning our marketing initiatives for upcoming events and making profile-based personalized recommendations to enhance our customers’ shopping experiences. For instance, the customer profiles allow us to provide personalized product recommendations to customers that are within their price range, suit their brand preference, and are within their categories of interest. We also use customer profiles in various scenarios for our sales initiatives to interact with its customers, such as notification via push method, text messages, e-mails, and sales events on our WeChat Mini-Program and other social media platforms. In addition, we have developed a real-time customer-intent identification system, which employs proprietary algorithm technologies with recent and real time customer behavioral data to provide recommendations to customers based on the different intentions of customers visiting our platform. Furthermore, our business intelligence system is built with our proprietary cloud computing infrastructure, providing insights for many aspects of our business operations and site functionalities.</w:t>
      </w:r>
    </w:p>
    <w:p>
      <w:pPr>
        <w:sectPr>
          <w:pgSz w:w="11900" w:h="16838" w:orient="portrait"/>
          <w:cols w:equalWidth="0" w:num="1">
            <w:col w:w="9900"/>
          </w:cols>
          <w:pgMar w:left="980" w:top="513" w:right="1019"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System Infrastructure</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systems can be divided into front-end, mid-end, and back-end modules, all built on a foundational infrastructure platform that integrates cutting-edge technologies, such as cloud computing, big data analytics, and AI. Together, they form a reliable technology ecosystem that optimizes customer experiences and supports efficient business operations.</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front-end modules, which refer to modules supporting the customer-interfaces of our online channels, mainly include customer account management, SVIP membership program, product display, category browsing, AI-powered product search and recommendation, promotion management, online shopping cart, order processing functions, payment, chatbots, and customer support functions. The front-end modules are supported by our multi-IDC (internet data center) cloud platform and deployed across data centers, providing our customers with quick access to the product display they are interested in and facilitating a smooth online shopping experience. Please see “—Payment, Fulfillment, and Return—Fulfillment” for details.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mid-end modules, which refer to modules supporting the merchant platform that we have launched to equip our brand partners with refined analysis and insights as well as all-round operating capacities, deepen the synergies between our brand partners and us, and further improve operating performance. The merchant platform is an output of our proprietary big data analytics and business intelligence capacities. It enables our brand partners to establish their own data analytics infrastructure and diversify their operations monitoring metrics, through which they can fine tune the marketing and branding strategies tailored for target customer groups, optimize their operating strategies, establish additional touchpoints to effectively direct customer traffic, and set up membership programs to further enhance customer loyalty. The merchant platform allows our brand partners and ourselves to simultaneously focus on improving customer growth and experience while optimizing each other’s business operations, in turn serving as an additional value proposition that we offer to our brand partners. With such simultaneous development, we strengthen our relationships with the brand partners and open up more opportunities to pursue further in-depth collaborations.</w:t>
      </w:r>
    </w:p>
    <w:p>
      <w:pPr>
        <w:spacing w:after="0" w:line="19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back-end modules, which refer to modules supporting our business operations, mainly include customer service, supply chain management, ERP, warehouse and logistics management, product information management, business intelligence, and administration management systems. Our customer service system integrates intelligent customer service robot to provide sentiment analysis and intelligent query handling. Our supply chain management system integrates business operations with brand partners on contract management, procurement, product management, inventory management and order fulfillment mainly consists of our customer relationship management system. Our ERP system acts as the core of our financial operations, efficiently managing accounting, fiscal management, and seamless financial workflow integration. Our operations system for warehouse and logistics management primarily consists of our warehouse management system, automating our warehouse and logistics operations and allowing us to efficiently manage our inventories, track our products, and deliver the orders to our customers in a timely fashion. We have designed our product information management system to perform a variety of functions. Other than basic product information management, it also offers category, pricing, and sales inventory management, and facilitates product lifecycle management for our online and offline businesses. These systems enhance the efficiency of our operations.</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w:t>
      </w:r>
    </w:p>
    <w:p>
      <w:pPr>
        <w:spacing w:after="0" w:line="229" w:lineRule="exact"/>
        <w:rPr>
          <w:sz w:val="20"/>
          <w:szCs w:val="20"/>
          <w:color w:val="auto"/>
        </w:rPr>
      </w:pPr>
    </w:p>
    <w:p>
      <w:pPr>
        <w:jc w:val="both"/>
        <w:ind w:right="280" w:firstLine="324"/>
        <w:spacing w:after="0" w:line="312" w:lineRule="auto"/>
        <w:rPr>
          <w:sz w:val="20"/>
          <w:szCs w:val="20"/>
          <w:color w:val="auto"/>
        </w:rPr>
      </w:pPr>
      <w:r>
        <w:rPr>
          <w:rFonts w:ascii="Times New Roman" w:cs="Times New Roman" w:eastAsia="Times New Roman" w:hAnsi="Times New Roman"/>
          <w:sz w:val="17"/>
          <w:szCs w:val="17"/>
          <w:color w:val="auto"/>
        </w:rPr>
        <w:t>We leverage AI capabilities to serve customers and brand partners. We apply AI technology to multiple scenarios, with a primary focus on improving customer experiences, serving our brand partners, driving business growth, and increasing operational efficiency.</w:t>
      </w:r>
    </w:p>
    <w:p>
      <w:pPr>
        <w:spacing w:after="0" w:line="14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AI technology supports our search engine and personalized recommendations to improve their relevance and accuracy, helping us to better understand customer behavior patterns and transaction decision processes. Through customer stratification and differentiated product offering, AI optimizes search efficiency and experience while enhancing recommendation diversity. We have also incorporated AI-generated content (AIGC), such as product highlights, photos and videos across our platform to enhance the overall shopping experience. In addition, we use AI to produce outfit recommendation content that provides personalized shopping suggestions, as well as virtual try-on optimizations. Furthermore, with the assistance of AI, our intelligent customer service systems have refined conversational capabilities in pre-sale consultations, product recommendations, and after-sales support. We also leverage AI to enhance marketing efficiency through intelligent product selection and creative strategy generation for advertising placement channels.</w:t>
      </w:r>
    </w:p>
    <w:p>
      <w:pPr>
        <w:spacing w:after="0" w:line="192"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Our AI tools empower us with data-driven in-depth insights into customer behavior and business management, enabling us to uncover critical business trends and patterns and provide our brand partners with quality service and value. As we progress, we will continue exploring opportunities to incorporate AI technology throughout our ecosystem.</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Safety and Scalability</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have developed disaster tolerant systems for our key business modules, which include real-time data mirroring, daily data back-up, and system redundancy solutions. We also adopted a “DevOps” software development methodology that automates and integrates software development and IT operations, which enables us to respond quickly towards business requests, significantly decreasing our development cost and improving our time-to-market. Our site is built upon real event processing platforms, and it leverages service-oriented architecture supported by internally developed cloud solutions. This enables us to achieve internal efficiency. Cybersecurity is another key aspect of site operations. Leveraging the real-time event processing systems that keep our site running smoothly, we have improved our protection against online and offline fraud and potential cyber-attacks.</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module-based systems are highly scalable, which enables us to quickly expand system capacity and add new features and functionality to our systems in response to the evolving needs of both our business and our customers without affecting the operation of existing modules.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committed to protecting our customers’ personal information and privacy. During our ordinary course of business, we may collect and use customer data, which could include personal information (such as mobile phone number, gender, and age), transactional information (such as purchase records and orders on our platform), and device information. We collect the personal information and data necessary for the use of our platform and use the collected information and data solely for the stated purposes disclosed to the customers or in accordance with the applicable laws and regulations. We notify customers and obtain their prior consent about how we collect and use their personal information and data in compliance with the requirements of the applicable laws and regulations. We have established and implemented internal policies on all aspects of data lifecycle management, including data collection, processing, and usage, to secure and protect data over its entire use to our business and services.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To ensure the confidentiality and integrity of our data, we maintain comprehensive and rigorous data security policies and measures. We take technological measures to ensure the secure processing, transmission, and use of data. These technological measures include encryption of confidential personal information and data masking for de-identification, for example, replacing certain digits in a data field with special symbols. We have also established stringent internal protocols under which we grant classified access to confidential personal data only to limited number of employees with access authorization. We maintain data storage servers across multiple provinces and cities in mainland China, including Guangdong, Beijing, Jiangsu, Zhejiang, Hubei, Tianjin, Liaoning, Shaanxi, and Sichuan. We also have servers in Hong Kong and Singapore. In particular, servers located in Hong Kong are used to support overseas employees’ operations and cross-border network routing without storing personal information, whereas servers located in Singapore are used to facilitate overseas e-commerce operations.</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built a backup system that runs on different servers to minimize the risk of data loss. Our back-end security system handles malicious attacks to safeguard the security of our data. See “Risk Factors—Risks Relating to Our Business and Industry—Our business is subject to complex and developing laws and regulations regarding cybersecurity and data privacy. Any failure to comply with these laws and regulations could result in claims, changes to our business practices, negative publicity, increased cost of operation, or declines in customer growth or engagement, or otherwise harm our business.”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store data generated from domestic business on our local servers within the PRC. We transfer personal information of users, such as delivery details, to overseas merchants and customs clearance service providers to facilitate cross-border services. This falls under the exemption scenario outlined in Article 5 of the Provisions on Promoting and Regulating Cross-Border Data Flows, which states that the provision of personal information to overseas recipients is exempt from the requirements of conducting a data export security assessment, entering into standard contractual clauses, or obtaining personal information protection certification if it is necessary for the conclusion or performance of a contract to which the individual is a party, such as in the case of cross-border shopping or international mail delivery. See “Item 4. Information on the Company—B. Business Overview—Regulation—Regulations Relating to Information Security” for cross-border data transfer regulations of the PRC.</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had not experienced any leakage of personal information, nor had we been subject to any claims by customers or received any regulatory inquiries, investigations, notices, warnings, penalties, litigations or other legal proceedings related to personal information protection laws, which, individually or in the aggregate, have had or are reasonably likely to have a material and adverse impact on our business, financial condition or results of operations.</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are committed to promoting corporate social responsibility and sustainable development as well as integrating these principles into all major aspects of our business operations. In 2025, we scored 60 on S&amp;P Global’s Corporate Sustainability Assessment, placing us in the 95th percentile of our industry. We have been included in the S&amp;P Global Sustainability Yearbook (China Edition) for four consecutive years. Moreover, we bagged the titles of China’s Best Employer of the Year and China’s Most Sustainable Employer of the Year in 2022, and the Most Popular Employer Among Employees in 2024, in the selection by Forbes China and Russell Reynolds Associates, a global search and leadership advisory firm.</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established a three-tiered governance structure that includes (i) our board of directors, (ii) an ESG committee under the board of directors, consisting of Mr. Eric Ya Shen, Mr. Authur Xiaobo Hong, and Mr. Frank Lin, and (iii) an ESG Task Force. The ESG committee is responsible for defining ESG related strategy, targets, and action plans, assessing and evaluating proposals from the ESG Task Force, and coordinating the resources required to progress with ESG topics. The ESG Task Force is headed by the main person responsible for each department or division, including our compliance and legal departments, asset protection department, and corporate social responsibility department. The ESG Task Force is responsible for making proposals to the ESG committee as well as the implementation and execution of ESG work.</w:t>
      </w:r>
    </w:p>
    <w:p>
      <w:pPr>
        <w:spacing w:after="0" w:line="18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define our ESG strategy with the goal of “co-creation of a new sustainable life” to explore a path of sustainable development across five core areas: New Sustainable Choices, Happy Consumption, Proactive Inclusivity, Beautiful Society, and Dependable Compliance.</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regard environmental protection as an important corporate responsibility and are committed to carbon mitigation measures and will continue to explore ways to further improve energy efficiency. We have formulated carbon neutrality goal and action path planning, committing to making our own operations carbon neutral no later than 2030, and achieve a 50% reduction in the intensity of scope 3 greenhouse gas emissions no later than 2030 using 2022 as the baseline year.</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2025, we advanced a series of carbon reduction initiatives, resulting in a 41% reduction in scope 1 and 2 carbon emissions and a 2.5% decrease in total carbon emissions. In addition, we have conducted climate scenario analysis utilizing scenarios published by the Intergovernmental Panel on Climate Change (IPCC) and the International Energy Agency (IEA) to systematically evaluate climate-related risks and opportunities across our business and value chain, and are in the process of formulating corresponding measures to address them.</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creating positive social impact through our resources and capabilities. We continue to support public welfare initiatives focused on women empowerment, rural vitalization, and assistance for disadvantaged social groups, with cumulative investment in such programs exceeding RMB861 million as of December 31, 2025.</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also continued to strengthen our corporate governance through dedicated efforts in integrity education, compliance culture, information security, risk management, and product quality.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regard our trademarks, service marks, domain names, trade secrets, proprietary technologies, and similar intellectual property as critical to our success, and we rely on trademark, copyright, and trade secret protection laws in China and other jurisdictions, as well as confidentiality procedures and contractual provisions with our employees, partners, service providers, suppliers, and other parties to protect our proprietary rights. As of December 31, 2025, we had been granted 415 patents and submitted 1,167 patent applications in China. We also had 2,294 registered trademarks in China and 132 registered trademarks outside China, 291 copyrights (including copyrights to 253 software products in China that we develop relating to various aspects of our operations), and six registered domain names that are material to our business, including </w:t>
      </w:r>
      <w:r>
        <w:rPr>
          <w:rFonts w:ascii="Times New Roman" w:cs="Times New Roman" w:eastAsia="Times New Roman" w:hAnsi="Times New Roman"/>
          <w:sz w:val="18"/>
          <w:szCs w:val="18"/>
          <w:i w:val="1"/>
          <w:iCs w:val="1"/>
          <w:color w:val="auto"/>
        </w:rPr>
        <w:t>vip.com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vipshop.com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leading player in the off-price retailer industry, we face competition from other major off-price retailers who compete directly with us for brands and customers. We also compete with other online or offline retail businesses for customers’ wallet share. As a result, we face significant competition from a wide array of existing and potential competitors.</w:t>
      </w:r>
    </w:p>
    <w:p>
      <w:pPr>
        <w:sectPr>
          <w:pgSz w:w="11900" w:h="16838" w:orient="portrait"/>
          <w:cols w:equalWidth="0" w:num="1">
            <w:col w:w="9840"/>
          </w:cols>
          <w:pgMar w:left="980" w:top="513" w:right="1079" w:bottom="1440" w:gutter="0" w:footer="0" w:header="0"/>
        </w:sectPr>
      </w:pP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we compete primarily on the basis of, among other things:</w:t>
      </w:r>
    </w:p>
    <w:p>
      <w:pPr>
        <w:spacing w:after="0" w:line="225" w:lineRule="exact"/>
        <w:rPr>
          <w:sz w:val="20"/>
          <w:szCs w:val="20"/>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curate an attractive and differentiated product selection;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reliable capabilities across the supply chain;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refine customer experiences and services;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multi-channel operation that covers diverse online and offline scenarios;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R&amp;D and technological capabilities.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early-mover advantage and strong market position help us compete effectively against our competitors. However, some of our current and potential competitors may have longer operating histories, larger customer bases, better brand recognition, stronger platform management and fulfillment capabilities, and greater financial, technical, and marketing resources than we do. See “Item 3. Key Information—D. Risk Factors—Risks Relating to Our Business and Industry—If we do not compete effectively against existing or new competitors, we may lose market share and customers.”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section sets forth a summary of the most significant laws and regulations that affect our business in China.</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Foreign Investments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Investment activities in China by foreign investors are principally governed by the Industry Guidelines of Encouraged Foreign Investment and the Special Administrative Measures (Negative List) for Foreign Investment Access, which were promulgated and are amended from time to time by the Ministry of Commerce and the NDRC, and together with the PRC Foreign Investment Law and its respective implementation rules and ancillary regulations. The industry guidelines and the negative list lay out the basic framework for foreign investments in China, classifying businesses into three categories with regard to foreign investments: “encouraged,” “restricted,” and “prohibited.” Industries not listed in the industry guidelines or the negative list are generally deemed as falling into a fourth category “permitted” unless specifically restricted by other PRC laws.</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December 15, 2025, the Ministry of Commerce and the NDRC released the Industry Guidelines of Encouraged Foreign Investment (2025 Version), which came into effect on February 1, 2026 and replaced the previous version of the Industry Guidelines of Encouraged Foreign Investment. On September 6, 2024, the Ministry of Commerce and the NDRC promulgated the Special Administrative Measures (Negative List) for Foreign Investment Access (2024 Version), or the 2024 Negative List, which became effective on November 1, 2024 and replaced the previous version of the Special Administrative Measures (Negative List) for Foreign Investment Access.</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March 15, 2019, the National People’s Congress approved the PRC Foreign Investment Law, which came into effect on January 1, 2020 and replaced three then existing laws on foreign investments in China, namely, the PRC Sino-foreign Equity Joint Venture Enterprise Law, the PRC Sino-foreign Cooperative Joint Venture Enterprise Law, and the PRC Wholly Foreign-invested Enterprise Law. The PRC Foreign Investment Law embodies an expected PRC regulatory trend to rationalize its foreign investment regulatory regime in line with prevailing international practice and the legislative efforts to unify the corporate legal requirements for both foreign- and domestic-invested enterprises in China. The PRC Foreign Investment Law establishes the basic framework for the access to and the promotion, protection, and administration of foreign investments in view of investment protection and fair competition.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According to the PRC Foreign Investment Law, foreign investments should enjoy pre-entry national treatment, except for those foreign-invested entities that operate in industries deemed to be either “restricted” or “prohibited” in the “negative list.” While foreign investors should refrain from investing in any of the foreign “prohibited” industries, foreign-invested entities operating in foreign “restricted” industries are required to obtain market entry clearance and other approvals from the PRC governmental authorities. The PRC Foreign Investment Law does not comment on the concept of “</w:t>
      </w:r>
      <w:r>
        <w:rPr>
          <w:rFonts w:ascii="Times New Roman" w:cs="Times New Roman" w:eastAsia="Times New Roman" w:hAnsi="Times New Roman"/>
          <w:sz w:val="18"/>
          <w:szCs w:val="18"/>
          <w:i w:val="1"/>
          <w:iCs w:val="1"/>
          <w:color w:val="auto"/>
        </w:rPr>
        <w:t>de facto control</w:t>
      </w:r>
      <w:r>
        <w:rPr>
          <w:rFonts w:ascii="Times New Roman" w:cs="Times New Roman" w:eastAsia="Times New Roman" w:hAnsi="Times New Roman"/>
          <w:sz w:val="18"/>
          <w:szCs w:val="18"/>
          <w:color w:val="auto"/>
        </w:rPr>
        <w:t>” or contractual arrangements with variable interest entities, however, it has a catch-all provision under the definition of “foreign investment” to include investments made by foreign investors in China through means stipulated by laws, administrative regulations, or other methods prescribed by the State Council. Therefore, it still leaves leeway for future laws, administrative regulations, or provisions to provide for contractual arrangements as a form of foreign investment. Furthermore, the PRC Foreign Investment Law provides that foreign-invested enterprises established according to the said three existing laws regulating foreign investments may maintain their structure and corporate governance within five years after the implementation of the PRC Foreign Investment Law.</w:t>
      </w:r>
    </w:p>
    <w:p>
      <w:pPr>
        <w:spacing w:after="0" w:line="19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December 26, 2019, the State Council promulgated the Regulations for Implementing the PRC Foreign Investment Law, which came into effect on January 1, 2020. The implementation rules further clarified that the state encourages and promotes foreign investments, protects the lawful rights and interests of foreign investors, regulates foreign investment administration, continues to optimize foreign investment environment, and advances a higher-level opening.</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December 30, 2019, the Ministry of Commerce and the SAMR jointly promulgated the Measures for Information Reporting on Foreign Investment, which became effective on January 1, 2020. Pursuant to the Measures for Information Reporting on Foreign Investment, where a foreign investor carries out investment activities in China directly or indirectly, the foreign investor or the foreign-invested enterprise must submit the investment information to the competent commerce department.</w:t>
      </w:r>
    </w:p>
    <w:p>
      <w:pPr>
        <w:spacing w:after="0" w:line="1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December 2020, the NDRC and the Ministry of Commerce promulgated the Measures for the Security Review of Foreign Investment, which came into effect on January 18, 2021. Pursuant to such measures, the NDRC establishes a working mechanism office in charge of the security review of foreign investment, which is led by the NDRC and the Ministry of Commerce. Such measures also define foreign investments as direct or indirect investments by foreign investors in China, including (i) investments in new onshore projects or establishment of wholly foreign owned onshore enterprises or joint ventures with other investors; (ii) acquiring equity or assets of onshore companies by merger and acquisition; and (iii) onshore investments by and through any other means. Foreign investments in certain key areas with national security concerns, such as important transport services, important cultural products and services, important information technology and internet products and services, important financial services, and key technologies, which results in the acquisition of de facto control of the invested companies, must be filed with the working mechanism office prior to the implementation of such investments. Failure to make such filing may subject the foreign investor to rectification within a prescribed period, and the foreign investor will be negatively recorded in the national credit information system, which would then subject such investor to joint punishment as provided by the rules. If such investor fails to or refuses to undertake such rectification, it would be ordered to dispose of the equity or assets and to take any other necessary measures so as to restore to the status before the implementation of the investment and to erase the impact to national security.</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Foreign Investments in Value-added Telecommunications Businesses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Provisions on Administration of Foreign-invested Telecommunications Enterprises which were promulgated by the State Council on December 11, 2001, and amended on September 10, 2008, February 6, 2016, and March 29, 2022, the ultimate foreign equity ownership in a value-added telecommunications services provider may not exceed 50%. Before the most recent amendment to the Provisions on Administration of Foreign-invested Telecommunications Enterprises on March 29, 2022, a foreign investor who plans to acquire any equity interest in value-added telecommunication business in China must satisfy a number of stringent performance and operational experience requirements, including demonstrating good track records and experience in operating value-added telecommunication business overseas. However, according to the most recent amendment to the Provisions on Administration of Foreign-invested Telecommunications Enterprises made by the State Council on March 29, 2022, which came into effect on May 1, 2022, requirements of experience in providing value-added telecommunications services overseas and maintenance of good track record for the main foreign investor of a foreign funded telecommunications enterprise operating value-added telecommunications businesses have been removed.</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June 19, 2015, the Ministry of Industry and Information Technology issued the Circular on Removing the Restrictions on Equity Ratio Held by Foreign Investors in Online Data Processing and Transaction Processing (Operating E-commerce) Business, allowing foreign investors to own more than 50% of equity interest in an operator of “operating e-commerce” business. The 2024 Negative List further provides that foreign investors are allowed to hold more than 50% equity interests in a value-added telecommunications service provider engaging in e-commerce, domestic multiparty communication, storage-and-forward, and call center businesses, while foreign investors are still prohibited from holding more than 50% of equity interest in a provider of other subcategories of value-added telecommunications services.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April 8, 2024, the Ministry of Industry and Information Technology of China promulgated the Notice of the Ministry of Industry and Information Technology on the Pilot Program for Expanding the Opening up of Value-added Telecommunications Services to the Outside World, providing that in regions approved to carry out the pilot program, the restrictions on the foreign equity ratios for internet data centers (IDC), content delivery networks (CDN), internet service providers (ISP), online data processing and transaction processing, information releasing platforms and delivery services included in information services (excluding the operation of internet news information, online publishing, online audio and video, and internet culture), as well as information protection and processing services, will be removed.</w:t>
      </w:r>
    </w:p>
    <w:p>
      <w:pPr>
        <w:spacing w:after="0" w:line="189"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The Circular on Strengthening the Administration of Foreign Investment in and Operation of Value-added Telecommunications Business issued by the Ministry of Information Industry in July 2006 reiterates the regulations on foreign investments in telecommunications businesses, which require foreign investors to set up foreign-invested enterprises and obtain value-added telecommunication business operating licenses to operate any value-added telecommunications business in China. Under this circular, a PRC domestic company that holds a Value-added Telecommunication License, is prohibited from leasing, transferring, or selling the Value-added Telecommunication Licenses to foreign investors in any form, and from providing any assistance, including providing resources, sites, or facilities, to foreign investors that conduct value-added telecommunications business illegally in China. The circular further requires each Value-added Telecommunication License holder to have the necessary facilities for its approved business operations and to maintain such facilities in the regions covered by its license. In addition, all value-added telecommunications service providers are required to maintain network and information security in accordance with the standards set forth under the PRC regulations.</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Licenses and Permits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Value-added Telecommunication Licenses</w:t>
      </w:r>
    </w:p>
    <w:p>
      <w:pPr>
        <w:spacing w:after="0" w:line="225" w:lineRule="exact"/>
        <w:rPr>
          <w:sz w:val="20"/>
          <w:szCs w:val="20"/>
          <w:color w:val="auto"/>
        </w:rPr>
      </w:pPr>
    </w:p>
    <w:p>
      <w:pPr>
        <w:ind w:right="60" w:firstLine="324"/>
        <w:spacing w:after="0" w:line="251" w:lineRule="auto"/>
        <w:rPr>
          <w:sz w:val="20"/>
          <w:szCs w:val="20"/>
          <w:color w:val="auto"/>
        </w:rPr>
      </w:pPr>
      <w:r>
        <w:rPr>
          <w:rFonts w:ascii="Times New Roman" w:cs="Times New Roman" w:eastAsia="Times New Roman" w:hAnsi="Times New Roman"/>
          <w:sz w:val="18"/>
          <w:szCs w:val="18"/>
          <w:color w:val="auto"/>
        </w:rPr>
        <w:t>The PRC Telecommunications Regulations promulgated by the State Council and its related implementation rules, including the Catalog of Classification of Telecommunications Business initially issued by the Ministry of Industry and Information and most recently amended by the Ministry of Industry and Information Technology on June 6, 2019, categorize various types of telecommunications and telecommunications-related activities into basic or value-added telecommunications services. Under the PRC Telecommunications Regulation, commercial operators of value-added telecommunications services must first obtain a Value-added Telecommunication License from the Ministry of Industry and Information or its provincial level counterparts. In 2017, the Ministry of Industry and Information Technology promulgated the latest Administrative Measures on Telecommunications Business Operating Permit, which set forth more specific provisions regarding the different types of Value-added Telecommunication Licenses required to operate different value-added telecommunications services, the qualifications and procedures for obtaining such different types of Value-added Telecommunication Licenses. Pursuant to the Administrative Measures on Internet Information Services, promulgated on September 25, 2000 and amended on December 6, 2024 by the State Council, commercial internet information services providers, which refer to providers of information or services to internet users with charge through internet, must obtain a Value-added Telecommunication License with the business scope of internet information services, namely the Internet Content Provider License, from competent regulatory authorities before providing any commercial internet content services within China. Pursuant to the Announcement on Launching the Pilot Program of Expanding the Opening-up in Value-added Telecommunications Services, promulgated on April 8, 2024 by the Ministry of Industry and Information Technology, the Pilot Program shall be initially launched in the Comprehensive Demonstration Zone for Expanding Opening-up in the Services Sector in Beijing, the Lingang Special Area of China (Shanghai) Free Trade Zone for Leading Socialist Modernization, the Hainan Free Trade Port, and the Pilot Demonstration Area of Socialism with Chinese Characteristics in Shenzhen. In the approved pilot areas, the restrictions on foreign shareholding percentages for the following value-added telecommunications services shall be lifted: Internet data centers (IDC), content distribution networks (CDN), Internet access services (ISP), online data processing and transaction processing, information release platforms and delivery services (excluding Internet news information, online publishing, online audio-visual services, and Internet-based cultural businesses) within information services, and information protection and processing services.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Food Operating Permit</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China has adopted a licensing system for food supply operations under the Food Safety Law, which was adopted on February 28, 2009 and most recently amended on September 12, 2025, and its implementation rules. Entities or individuals that intend to engage in food production, food distribution, or food service businesses must obtain licenses or permits for such businesses. On June 15, 2023, the SAMR issued the Administrative Measures for Food Operation Licensing and Filing, which was effective as of December 1, 2023. The Administrative Measures for Food Operation Licensing and Filing requires an enterprise engaging in food operating business to obtain a Food Operating Permit.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Record-filing by Third-party Platform Providers for Online Food Trading</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July 13, 2016, the China Food and Drug Administration promulgated the Measures for Investigation and Handling of Illegal Acts Involving Online Food Safety, which were further amended by the SAMR on April 2, 2021 and on March 18, 2025, pursuant to which a third-party platform provider for online food trading in China must file a record with the competent office of the SAMR at the provincial level and obtain a filing number.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Record-filing for Operation of Medical Devices</w:t>
      </w:r>
    </w:p>
    <w:p>
      <w:pPr>
        <w:spacing w:after="0" w:line="225"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Pursuant to the Regulations on Supervision and Administration of Medical Devices which were issued by the State Council in 2000 and further amended in March 2014, May 2017, February 2021, and December 2024, medical devices are divided into three types based on their risk levels. On July 30, 2014, the China Food and Drug Administration promulgated the Measures on the Supervision and Administration of the Business Operations of Medical Devices, which became effective on October 1, 2014 and were amended on November 17, 2017 and March 10, 2022. Pursuant to the Regulations on Supervision and Administration of Medical Devices and the Measures on the Supervision and Administration of the Business Operations of Medical Devices, any entities that engage in the business operation of Type II medical devices must file a record with the local department responsible for the drug supervision and administration.</w:t>
      </w:r>
    </w:p>
    <w:p>
      <w:pPr>
        <w:spacing w:after="0" w:line="171" w:lineRule="exact"/>
        <w:rPr>
          <w:sz w:val="20"/>
          <w:szCs w:val="20"/>
          <w:color w:val="auto"/>
        </w:rPr>
      </w:pPr>
    </w:p>
    <w:p>
      <w:pPr>
        <w:jc w:val="both"/>
        <w:ind w:right="300" w:firstLine="324"/>
        <w:spacing w:after="0" w:line="258" w:lineRule="auto"/>
        <w:rPr>
          <w:sz w:val="20"/>
          <w:szCs w:val="20"/>
          <w:color w:val="auto"/>
        </w:rPr>
      </w:pPr>
      <w:r>
        <w:rPr>
          <w:rFonts w:ascii="Times New Roman" w:cs="Times New Roman" w:eastAsia="Times New Roman" w:hAnsi="Times New Roman"/>
          <w:sz w:val="18"/>
          <w:szCs w:val="18"/>
          <w:color w:val="auto"/>
        </w:rPr>
        <w:t>Furthermore, according to the Measures for the Administration and Supervision of Online Sales of Medical Devices, which were promulgated by the China Food and Drug Administration on December 20, 2017 and became effective on March 1, 2018, enterprises engaged in online sales of medical devices must be medical device operation enterprises that have obtained medical device operation licenses or record-filings and must fill in the table of information of online sales of medical devices and file the information with the competent food and drug administration.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Record-filing by Third-party Platforms Providers for Medical Device Online Trading Services</w:t>
      </w:r>
    </w:p>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Pursuant to the Measures for the Administration and Supervision of Online Sales of Medical Devices, a provider of a third-party platform for online trading services for medical devices must obtain the Internet Drug Information Service Qualification Certificate and must complete filing procedures with the competent provincial food and drug administrative department.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Internet Drug Information Service Qualification Certificate</w:t>
      </w:r>
    </w:p>
    <w:p>
      <w:pPr>
        <w:spacing w:after="0" w:line="22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Pursuant to the Administrative Measures on Internet Drug Information Service which were promulgated by the China Food and Drug Administration on July 8, 2004 and most recently amended on November 17, 2017, an internet information service operator that provides information regarding drugs (including medical equipment) must obtain an Internet Drug Information Service Qualification Certificate from the competent food and drug administration.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Payment Business License</w:t>
      </w:r>
    </w:p>
    <w:p>
      <w:pPr>
        <w:spacing w:after="0" w:line="22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December 9, 2023, the State Council issued the Regulations on the Supervision and Administration of Non-Bank Payment Institutions, which came into effect on May 1, 2024, and on July 9, 2024, the People’s Bank of China issued the Implementation Rules for the Regulations on the Supervision and Management of Non-Bank Payment Institutions. Under these rules, a non-financial institution must obtain a Payment Business License to provide payment services and qualifies as a paying institution. With the Payment Business License, a non-financial institution may serve as an intermediary between payees and payers and provide some or all of the following services: online payment, issuance and acceptance of prepaid card, bank card acceptance, and other payment services as specified by the People’s Bank of China.</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Registration and Record-filing of E-commerce Livestream Platform</w:t>
      </w:r>
    </w:p>
    <w:p>
      <w:pPr>
        <w:spacing w:after="0" w:line="171"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Pursuant to Notice of National Radio and Television Administration on Strengthening the Administration of Livestream Shows and E-commerce Livestream promulgated by the State Administration of Radio and Television on November 12, 2020, platforms providing live streaming services for online shows and e-commerce activities should effectively implement their responsibilities as subjects, strive to improve various management systems, responsibility systems, content security systems, and human resources and material allocation for webcast services, actively participate in the development of industry ethics and industry self-discipline, so as to jointly promote the standardized, orderly, and sound development of live streaming of online shows and e-commerce activities. The aforesaid platforms should register and file the information of business operators and business development information in the Information Management System for National Online Audio-visual Platforms by November 30, 2020. As of the date of this annual report, we have submitted an application for the record-filing in the Information Management System for National Online Audio-visual Platforms for the live streaming service we offered to brands and the application is currently under review by the competent authorities.</w:t>
      </w:r>
    </w:p>
    <w:p>
      <w:pPr>
        <w:spacing w:after="0" w:line="14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on December 18, 2025, the State Administration for Market Regulation and the Cyberspace Administration of China jointly promulgated the Measures for the Supervision and Administration of Livestreaming E-commerce, which came into effect on February 1, 2026, which focus on four key entities—livestreaming e-commerce platform operators, livestream room operators, livestream marketing personnel, and livestream marketing personnel service agencies—and seek to regulate business conduct and improve the regulatory framework by defining their respective responsibilities and obligations. Under the new measures, livestreaming e-commerce platform operators are subject to heightened obligations. Key requirements include conducting strict qualification verification, implementing tiered and classified management of anchors, establishing credit evaluation systems, and maintaining dynamic control over livestreaming activities. The measures explicitly authorize regulatory bodies to enforce traffic-based regulatory mechanisms. Upon receiving notifications of violations from the competent market regulation authorities or cyberspace administration authorities, platform operators are required to impose prompt penalties on the infringing entities, including but not limited to issuing warnings, restricting platform functions or user traffic, suspending or terminating livestreaming sessions, closing accounts, prohibiting re-registration, and adding the violators to blacklists.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Permits for Spreading Audio-video Program via Information Network</w:t>
      </w:r>
    </w:p>
    <w:p>
      <w:pPr>
        <w:spacing w:after="0" w:line="171"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On December 20, 2007, the Ministry of Industry and Information Technology and the National Radio and Television Administration jointly issued the Administrative Provisions on the Internet Audio-video Program Service, which came into effect on January 31, 2008 and were amended on August 28, 2015. These administrative provisions define “internet audio-video program services” as activities of producing, editing, and integrating audio-video programs, supplying audio-video programs to the general public via the internet, and providing audio-video programs uploading and transmission services to other people. Entities providing internet audio-video programs services must obtain Permits for Spreading Audio-video Program via Information Network. Applicants for the Permits for Spreading Audio-video Program must be state-owned or state-controlled entities unless the Permits for Spreading Audio-video Program have been obtained prior to the effectiveness of the Administrative Provisions on the Internet Audio-video Program Service in accordance with the then-in-effect laws and regulations. In addition, according to the 2024 Negative List, foreign-invested enterprises are not allowed to engage in the internet audio-video program services. According to the Administrative Provisions on the Internet Audio-video Program Service and other laws and regulations, audio-video programs provided by the entities supplying internet audio-video program services should not contain any illegal content or other content prohibited by the laws and regulations, such as any content against the basic principles in the PRC Constitution, any content that jeopardizes the sovereignty of the country or national security, and any content that disturbs social order or undermines social stability. A full copy of any audio-video program that has already been broadcasted must be retained for at least 60 days. Movies, television programs, and other media content used as internet audio-video program services must comply with applicable administrative regulations on radio, movie, and television programs. Internet audio-video program service providers must immediately remove the audio-video programs violating laws and regulations, keep the records, report to the authorities, and implement other regulatory requirements.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Categories of the Internet Audio-video Program Services (for Trial Implementation) promulgated by the National Radio and Television Administration on March 17, 2010 and amended on March 10, 2017, classify internet audio-video programs into four categories: (I) Category I, internet audio-video program service in the form of radio station or television station; (II) Category II, internet audio-video program service, including (a) re-broadcasting service of current political audio-video news programs; (b) hosting, interviewing, reporting, and commenting service of arts, entertainment, technology, finance and economics, sports, education, and other specialized audio-video programs; (c) producing (interviewing not included) and broadcasting service of arts, entertainment, technology, finance and economics, sports, education, and other specialized audio-video programs; (d) producing and broadcasting service of internet films/dramas; (e) aggregating and broadcasting service of audio-video programs such as films, television dramas, and cartoons;</w:t>
      </w:r>
    </w:p>
    <w:p>
      <w:pPr>
        <w:spacing w:after="0" w:line="1" w:lineRule="exact"/>
        <w:rPr>
          <w:sz w:val="20"/>
          <w:szCs w:val="20"/>
          <w:color w:val="auto"/>
        </w:rPr>
      </w:pPr>
    </w:p>
    <w:p>
      <w:pPr>
        <w:ind w:firstLine="8"/>
        <w:spacing w:after="0" w:line="252" w:lineRule="auto"/>
        <w:tabs>
          <w:tab w:leader="none" w:pos="2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aggregating and broadcasting service of arts, entertainment, technology, finance and economics, sports, education, and other specialized audio-video programs; and (g) live audio-video broadcasting service of cultural activities of common social organizations, sport events, or other organization activities; (III) Category III, internet audio-video program service, including (a) aggregating service of online audio-video content, and (b) re-broadcasting service of the audio-video programs uploaded by internet users; and (IV) Category IV, internet audio-video program service, including (a) re-broadcasting service of the radio or television program channels; (b) re-broadcasting service of internet audio-video program channels; and (c) re-broadcasting service of online live audio- video program.</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Radio and Television Program Production and Operation License</w:t>
      </w:r>
    </w:p>
    <w:p>
      <w:pPr>
        <w:spacing w:after="0" w:line="17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July 19, 2004, the State Administration of Radio, Film and Television (currently known as the National Radio and Television Administration) promulgated the Regulations on the Administration of Production and Operation of Radio and Television Programs, or the Radio and TV Programs Regulations, which came into effect on August 20, 2004 and was amended on August 2015, October 2020 and June 2025 respectively. Pursuant to the Radio and TV Programs Regulations, entities engaging in the production of radio and television programs must obtain a License for Production and Operation of Radio and TV Programs from the National Radio and Television Administration or its counterparts at the provincial level. Holders of such licenses must conduct their business operations strictly in compliance within the approved scope as provided in the licenses. As of the date of this annual report, we hold a valid License for Production and Operation of Radio and TV Programs as required by the Radio and TV Programs Regulations.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Network Cultural Business License</w:t>
      </w:r>
    </w:p>
    <w:p>
      <w:pPr>
        <w:spacing w:after="0" w:line="17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Pursuant to the Interim Administrative Provisions on Internet Culture, which was issued by the Ministry of Culture on May 10, 2003 and most recently amended on December 15, 2017, the enterprises engaged in operational internet culture activities must obtain the Network Cultural Business License. Operational internet culture activities mean the activities of providing internet culture products and services to obtain benefits by charging fees from users accessing the internet or by electronic commerce, advertisement, and financial supports, among others, for the purpose of making profits.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Record-filing of Issuers of Single-purpose Commercial Prepaid Cards</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September 21, 2012, the Ministry of Commerce issued the Administrative Measures on Single-purpose Commercial Prepaid Cards (for Trial Implementation), which came into effect on November 1, 2012 and were amended on August 18, 2016. Under these measures, among other things and subject to implementing rules adopted by the local branch of the Ministry of Commerce, the issuer of single-purpose commercial prepaid cards, which are defined as the prepaid cards that can only be redeemed by the card issuer, the group companies under the same ultimate control of the card issuer, or the franchise entities under one single brand which is the same as the card issuer, must (i) complete the record-filing procedures with the Ministry of Commerce or its local branches within 30 days after it starts offering such single-purpose commercial prepaid cards, and (ii) adopt sufficient measures to control risks, by means of controlling the total balance of the single-purpose commercial prepaid cards and providing advance deposit, guarantee insurance, bank guarantee, or other types of commercial guarantee as required.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Record-filing and Registration of Foreign Trade Operators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then effective PRC Foreign Trade Law promulgated by the Standing Committee of the National People’s Congress, as amended, and the Measures for Record-filing and Registration of Foreign Trade Business Operators promulgated by the Ministry of Commerce on June 25, 2004 and most recently amended on May 10, 2021, foreign trade business operators engaging in import or export of goods must go through record-filing and registration formalities with the Ministry of Commerce or authorities entrusted by the Ministry of Commerce, unless otherwise stipulated by laws, administrative regulations, and the Ministry of Commerce. On December 30, 2022, the Standing Committee of the National People’s Congress released the Decision of the Standing Committee of the National People’s Congress on Revising the PRC Foreign Trade Law, which removes the record-filing and registration requirements for foreign trade business operators. However, the Measures for Record-filing and Registration of Foreign Trade Business Operators promulgated by the Ministry of Commerce have not been revised and the record-filing and registration requirements for foreign trade business operators thereunder have not been canceled.</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Record-filing of a Customs Declaration Entity</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Pursuant to the Administrative Provisions of the Customs of the People’s Republic of China on the Registration of Customs Declaration Entities promulgated by the General Administration of Customs on March 13, 2014 and most recently amended on May 29, 2018, in completing customs declaration formalities, any customs declaration entity must go through the application registration formalities with the Customs in accordance with the provisions, unless otherwise required by the laws, administrative regulations or rules of the Customs. The Administrative Provisions of the Customs of the People’s Republic of China on the Registration of Customs Declaration Entities was replaced by the Administrative Provisions of the Customs of the People’s Republic of China on Record-filing of Customs Declaration Entities, which were promulgated by the General Administration of Customs on November 19, 2021 and came into effect on January 1, 2022. Pursuant to the Administrative Provisions of the Customs of the People’s Republic of China on Record-filing of Customs Declaration Entities, in order to conduct customs declaration business in China, customs declaration entities must go through the record-filing formalities with the Customs in accordance with such provisions and the record-filing of customs declaration entities will remain valid permanently unless revoked.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Record-filing with the Immigration Inspection and Quarantine Agency</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Law on Import and Export Commodity Inspection promulgated by the Standing Committee of the National People’s Congress on February 21, 1989 and most recently amended on April 29, 2021, and the Implementing Regulations of the Law on Import and Export Commodity Inspection promulgated by the State Council on August 31, 2005 and most recently amended on March 29, 2022, the consignees or the consignors of imported and exported commodities may complete declaration formalities for inspection on its own or entrust a declaration agent enterprise to complete declaration formalities for inspection and must complete filing formalities with the immigration inspection and quarantine agency in accordance with the law.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Record-filing of Internet Information Service Algorithm</w:t>
      </w:r>
    </w:p>
    <w:p>
      <w:pPr>
        <w:spacing w:after="0" w:line="225"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On December 31, 2021, the CAC, the Ministry of Industry and Information Technology, the Ministry of Public Security, and the SAMR jointly issued the Administrative Provisions on Algorithm Recommendation of Internet Information Services, which became effective on March 1, 2022. These administrative provisions stipulate that algorithm recommendation service provider with public opinion attribute or social mobilization ability must, within ten working days from the date of provision of services, fill in information such as the service provider’s name, service form, application field, algorithm type, algorithm assessment report, and content to be disclosed via the internet information service algorithm record-filing system to go through record-filing formalities.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Record-filing of Mobile Internet Applications</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July 21, 2023, the Ministry of Industry and Information Technology issued the Notice on the Record-filing of Mobile Internet Applications, which requires any mobile application sponsor that engages in internet information services in China to go through the record-filing formalities in accordance with the Law of the People’s Republic of China Against Telecommunications and Internet Frauds, the Administrative Measures on Internet Information Services, and other regulations. Any mobile application sponsor that fails to complete the record-filing formalities should not engage in internet information services through mobile apps.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Information Security</w:t>
      </w:r>
    </w:p>
    <w:p>
      <w:pPr>
        <w:spacing w:after="0" w:line="227" w:lineRule="exact"/>
        <w:rPr>
          <w:sz w:val="20"/>
          <w:szCs w:val="20"/>
          <w:color w:val="auto"/>
        </w:rPr>
      </w:pPr>
    </w:p>
    <w:p>
      <w:pPr>
        <w:ind w:right="140" w:firstLine="324"/>
        <w:spacing w:after="0" w:line="270" w:lineRule="auto"/>
        <w:rPr>
          <w:sz w:val="20"/>
          <w:szCs w:val="20"/>
          <w:color w:val="auto"/>
        </w:rPr>
      </w:pPr>
      <w:r>
        <w:rPr>
          <w:rFonts w:ascii="Times New Roman" w:cs="Times New Roman" w:eastAsia="Times New Roman" w:hAnsi="Times New Roman"/>
          <w:sz w:val="17"/>
          <w:szCs w:val="17"/>
          <w:color w:val="auto"/>
        </w:rPr>
        <w:t>The Decision Regarding the Safeguarding of Internet Security, enacted by the Standing Committee of the National People’s Congress on December 28, 2000, and amended with immediate effect on August 27, 2009, specifies that certain types of acts conducted through the internet are subject to criminal liabilities if such acts constitute criminal offense, including but not limited to: (i) gaining improper entry into a computer information system relating to state affairs, national defense, or cutting-edge science and technology;</w:t>
      </w:r>
    </w:p>
    <w:p>
      <w:pPr>
        <w:spacing w:after="0" w:line="3" w:lineRule="exact"/>
        <w:rPr>
          <w:sz w:val="20"/>
          <w:szCs w:val="20"/>
          <w:color w:val="auto"/>
        </w:rPr>
      </w:pPr>
    </w:p>
    <w:p>
      <w:pPr>
        <w:ind w:right="40" w:firstLine="8"/>
        <w:spacing w:after="0" w:line="255"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disseminating harmful information, inciting secession, or sabotaging national unity; (iii) stealing or leaking state secrets, intelligence, or military secrets; (iv) undermining the commercial goodwill and product reputation of other people; or (v) infringing intellectual property rights of other people.</w:t>
      </w:r>
    </w:p>
    <w:p>
      <w:pPr>
        <w:spacing w:after="0" w:line="18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Administrative Measures for the Security Protection of International Connections to Computer Information Network, issued by the Ministry of Public Security on December 16, 1997, and amended on January 8, 2011, prohibit use of the internet to harm the national security, divulge state secrets, infringe on legal rights and interests of the state, society, or citizens, or engage in any illegal or criminal activities. Any inter-connected organizations, node network organizations, legal persons, and other organizations which use international connections to computer information networks must go through the filing procedures with the authorities within thirty days of the official connection of the network.</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July 1, 2015, the Standing Committee of the National People’s Congress promulgated the PRC National Security Law, which came into effect on the same day. This law provides that the state must safeguard the sovereignty, security, and development interests of cyberspace in the state, and that the state must establish a national security review and supervision system to review, among other things, foreign investment, specific items and key technologies, network information technology products and services, and other important activities that impact or are likely to impact the national security of China.</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November 2016, the Standing Committee of the National People’s Congress promulgated the Cybersecurity Law, which was amended on October 28, 2025 and came into effect on January 1, 2026. In accordance with the Cybersecurity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 Additionally, the amended Cybersecurity Law imposes heavier penalties on platform operators for violations of their cybersecurity management obligations and expressly requires them to promptly address unlawful online activities. It also proposed to enhance the punishment against personal information infringement by referencing to the punishment under applicable laws, including those under the Personal Information Protection Law and the Data Security Law.</w:t>
      </w:r>
    </w:p>
    <w:p>
      <w:pPr>
        <w:spacing w:after="0" w:line="194"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On December 28, 2021, the CAC and other PRC authorities promulgated the Cybersecurity Review Measures, which came into effect on February 15, 2022, and further restate and expand the applicable scope of the cybersecurity review in effect.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The Cybersecurity Review Measures further stipulates that network platform operators holding personal information of over one million users must apply to the Cybersecurity Review Office for a cybersecurity review before an overseas listing.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For the further purposes of regulating data processing activities, safeguarding data security, promoting data development and utilization, protecting the lawful rights and interests of individuals and organizations, and maintaining national sovereignty, security, and development interests, on June 10, 2021, the Standing Committee of the National People’s Congress published the Data Security Law, which came into effect on September 1, 2021. The Data Security Law requires data processing, which includes the collection, storage, use, processing, transmission, provision, publication of data, to be conducted in a legitimate and proper manner. The Data Security Law provides for data security and privacy obligations on entities and individuals carrying out data activities. The Data Security Law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risk assessments of its data processing activities, and file the risk assessment reports with the competent authorities. State core data, i.e., data having a bearing on national security, the lifelines of national economy, people’s key livelihood, and major public interests, should be subject to stricter management systems. Moreover, the Data Security Law provides a national security review procedure for those data activities which affect or may affect national security and imposes export restrictions on certain data and information. In addition, the Data Security Law also provides that any organization or individual within the PRC territory should not provide any foreign judicial body and law enforcement body with any data without the approval of the competent PRC governmental authorities.</w:t>
      </w:r>
    </w:p>
    <w:p>
      <w:pPr>
        <w:spacing w:after="0" w:line="19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July 6, 2021, certain PRC regulatory authorities issued Opinions on Strictly Cracking Down on Illegal Securities Activities, which, among others, provide for improving the laws and regulations on data security, cross-border data transmission, and confidential information management. These opinions provided that efforts would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September 24, 2024, the State Council of China published the Regulations on Network Data Security Administration, which became effective on January 1, 2025. The Regulations on Network Data Security Administration provides that data processing operators engaging in data processing activities that affect or may affect national security must be subject to network data security review by the relevant cyberspace administration of the PRC. Network data processing activities refers to the collection, retention, use, processing, transmission, provision, disclosure, deletion, and other activities of network data.</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July 30, 2021, the State Council issued the Regulations on Protection of Critical Information Infrastructure. Pursuant to these regulations, critical information infrastructure should mean the important network facilities or information systems of key industries or fields such as public communication and information service, energy, transportation, water conservancy, finance, public services, e-government affairs, and national defense science, technology, and industry, and important network facilities or information systems which may seriously endanger national security, people’s livelihood, and public interest once there occur damage, malfunctioning, or data leakage to them. The Regulations on Protection of Critical Information Infrastructure provide that no individual or organization may carry out any illegal activity of intruding into, interfering with, or sabotaging any critical information infrastructures, or endanger the security of any critical information infrastructures. These regulations also require that critical information infrastructure operators should establish a cybersecurity protection system and accountability system, and that the main responsible person of a critical information infrastructure operator should take full responsibility for the security protection of the critical information infrastructures operated by it. In addition, the administration departments of each important industry and sector should be responsible for formulating the rule of critical information infrastructure determination applicable to their respective industry or sector, and determine the critical information infrastructure operators in their industry or sector.</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July 12, 2021, the Ministry of Industry and Information Technology and two other authorities jointly issued the Provisions on the Administration of Security Vulnerabilities of Network Products. These provisions state that, no organization or individual may abuse the security vulnerabilities of network products to engage in activities that endanger network security, or to illegally collect, sell, or publish the information on such security vulnerabilities. Anyone who is aware of the aforesaid offences should not provide technical support, advertising, payment settlement, and other assistance to the offenders. According to the Provisions on the Administration of Security Vulnerabilities of Network Products, network product providers, network operators, and platforms collecting network product security vulnerabilities should establish and improve channels for receiving network product security vulnerability information and keep such channels available, and retain network product security vulnerability information reception logs for at least six months. These provisions also ban provision of undisclosed vulnerabilities to overseas organizations or individuals other than to the product providers.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July 7, 2022, the CAC issued the Measures for the Security Assessment of Cross-border Data Transfer, which became effective on September 1, 2022. These measures apply to the security assessment conducted by data processors where they provide overseas parties with important data and personal information collected and generated during the operation in China. Based on the these measures, data processors must apply for the security assessment of data cross-border transfer to the national cyberspace administration through the provincial cyberspace administration in the place where they operate if they provide data outside China under any of the following circumstances: (i) outbound transfer of important data by a data processor; (ii) outbound transfer of personal information by a critical information infrastructure operator or a personal information processor who has processed the personal information of more than one million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and (iv) other circumstances where an application for the security assessment of an outbound data transfer is required as prescribed by the national cyberspace administration authority.</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March 22, 2024, the CAC issued the Provisions on Promoting and Regulating Cross-Border Data Flows, establishing a multi-tiered approach for cross-border data provisions. Depending on the types of data operators and the nature and amount of data involved, different approaches may apply, which may require the data processors to undergo data export security assessments, enter into standard contractual clauses, or obtain personal information protection certifications. For example, the following data processors must undergo data export security assessments for their provision of information to overseas recipients: (i) where a critical information infrastructure operator provides personal information or important data to overseas recipients, and (ii) where data operators other than the critical information infrastructure operators provide important data to overseas recipients, or where data operators other than the critical information infrastructure operators cumulatively provide personal information (excluding sensitive personal information) of more than one million individuals or cumulatively provide sensitive personal information of more than ten thousand individuals since January 1 of a given year. The Provisions on Promoting and Regulating Cross-Border Data Flows also provide the circumstances where data processor providing personal information to overseas recipients may be exempted from undergoing data export security assessments, entering into standard contractual clauses, or obtaining personal information protection certifications, which include, among other things, cross-border transfer of personal information that is necessary for the conclusion or performance of a contract to which the individual is a party, cross-border transfer of personal information that is necessary for the implementation of cross-border human resources management in accordance with lawfully formulated labor regulations and lawfully concluded collective contracts, or in the event that a data processor other than a critical information infrastructure operator cumulatively provides personal information (excluding sensitive personal information) of not more than 100,000 individuals since January 1 of a given year.</w:t>
      </w:r>
    </w:p>
    <w:p>
      <w:pPr>
        <w:spacing w:after="0" w:line="193"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Furthermore, the Provisions on Technological Measures for Internet Security Protection, promulgated by the Ministry of Public Security in December 2005 and became effective in March 2006, require all internet service providers to keep records of certain information about its users (including user registration information, log-in and log-out time, IP address, content and time of posts by users) for at least 60 days. In addition, any user registration information should not be publicized or divulged without users’ approval, unless it is otherwise required by laws or regulations. The Decision on Strengthening Network Information Protection, which was promulgated by the National People’s Congress in December 2012, states that internet service providers must request identity information from users when information publication services are provided to the users. If internet service providers come across prohibited information, they must immediately cease the transmission of such information, take disposal measures such as elimination, keep the records, and report to the government authorities.</w:t>
      </w:r>
    </w:p>
    <w:p>
      <w:pPr>
        <w:spacing w:after="0" w:line="18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October 21, 2019, the Supreme People’s Court and the Supreme People’s Procuratorate jointly issued the Interpretations on Certain Issues Regarding the Applicable of Law in the Handling of Criminal Case Involving Illegal Use of Information Networks and Assisting Committing Internet Crimes, which came into effect on November 1, 2019, and further clarify the meaning of internet service provider and the severe situations of the crimes.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Internet Privacy</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PRC Constitution states that PRC law protects the freedom and privacy of communications of citizens and prohibits infringement of these rights. In recent years, the PRC government authorities have enacted legislation on the internet use to protect personal information from any unauthorized disclosure. Under the Several Provisions on Regulating the Market Order of Internet Information Services which were promulgated by the Ministry of Industry and Information Technology on December 29, 2011, an internet content provider may not collect any user personal information or provide any such information to third parties without the consent of a user, unless otherwise stipulated by laws and administrative regulations. An internet content provider must expressly inform the users of the method, content, and purpose of the collection and processing of such user personal information and may only collect such information necessary for the provision of its services. An internet content provider is also required to properly keep the user personal information, and in case of any leak or likely leak of the user personal information, the internet content provider must take immediate remedial measures and, in severe circumstances, to make an immediate report to the telecommunication regulatory authority.</w:t>
      </w:r>
    </w:p>
    <w:p>
      <w:pPr>
        <w:spacing w:after="0" w:line="19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the Decision on Strengthening Network Information Protection, which was promulgated by the Standing Committee of the National People’s Congress on December 28, 2012, provides that electronic information that is able to identify personal identities of citizens or is concerned with personal privacy of citizens is protected by law and should not be unlawfully obtained or provided. Internet content providers collecting or using personal electronic information of citizens must specify purposes, manners, and scopes of information collection and use, obtain the consent of citizens concerned, and strictly keep confidential personal information collected. Internet content providers are prohibited from disclosing, tampering with, damaging, selling, or illegally providing others with personal information collected. Technical and other measures are required to be taken by internet content providers to prevent personal information collected from unauthorized disclosure, damage, or being lost. Internet content providers are subject to legal liability, including warnings, fines, confiscation of illegal gains, revocation of licenses or filings, closing of websites concerned, public security administration punishment, criminal liabilities, or civil liabilities, if they violate the provisions on internet privacy.</w:t>
      </w:r>
    </w:p>
    <w:p>
      <w:pPr>
        <w:spacing w:after="0" w:line="194"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On February 12, 2025, the CAC published the Administrative Measures for the Compliance Audit of Personal Information Protection, or the Compliance Audit Measures, which took effect on May 1, 2025. According to the Compliance Audit Measures, compliance audit of personal information protection refers to the supervision activities in which the personal information processing activities of personal information processors are examined and evaluated regarding their compliance with laws and administrative regulations. The Compliance Audit Measures further provides, among other things, that personal information processors that process personal information of more than 10 million individuals shall conduct at least one personal information protection compliance audit every two years.</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Pursuant to the Order for the Protection of Telecommunication and Internet User Personal Information which was promulgated by the Ministry of Industry and Information Technology on July 16, 2013, any collection and use of users’ personal information must be subject to the consent of the users, abide by the principles of legality, rationality, and necessity, and be within the specified purposes, methods, and scopes. Pursuant to the Ninth Amendment to the PRC Criminal Law which was issued by the Standing Committee of the National People’s Congress on August 29, 2015 and became effective on November 1, 2015, any internet service provider that fails to fulfill obligations to manage information and network security as required by applicable laws and refuses to rectify upon orders from government authorities, will be subject to the criminal penalty if such failure (i) causes dissemination of illegal information in large scale; (ii) causes user information leaks resulting in severe consequences; (iii) causes serious loss of evidence to criminal investigations; or (iv) implicates other severe circumstances.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To further regulate cybersecurity and privacy protection, the Standing Committee of the National People’s Congress promulgated the Cybersecurity Law on November 7, 2016, which was amended on October 28, 2025 and came into effect on January 1, 2026. The Cybersecurity Law provides that subject to certain exceptions, (i) to collect and use personal information, network operators must follow the principles of legitimacy, rightfulness, and necessity, disclose their rules of data collection and use, clearly express the purposes, means, and scope of collecting and using the information, and obtain the consent of the persons whose data is gathered; (ii) network operators can neither gather personal information unrelated to the services they provide, nor gather or use personal information in violation of the provisions of laws and administrative regulations or the scopes of consent given by the persons whose data is gathered, and must dispose of personal information they have saved in accordance with the provisions of laws and administrative regulations and agreements reached with users; (iii) network operators cannot divulge, tamper with, or damage the personal information they have collected, and cannot provide the personal information to others without the consent of the persons whose data is collected. Additionally, the amended Cybersecurity Law imposes heavier penalties on platform operators for violations of their cybersecurity management obligations and expressly requires them to promptly address unlawful online activities. It also proposed to enhance the punishment against personal information infringement by referencing to the punishment under applicable laws, including those under the Personal Information Protection Law and the Data Security Law.</w:t>
      </w:r>
    </w:p>
    <w:p>
      <w:pPr>
        <w:spacing w:after="0" w:line="197"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On June 28, 2016, the CAC issued the Administrative Provisions on Mobile Internet Applications Information Services (2016), which has been replaced by the Administrative Provisions on Mobile Internet Applications Information Services (2022) effective from August 1, 2022, to further strengthen the regulation of the mobile app information services. Pursuant to these provisions, application providers should process personal information by following the principles of legitimacy, rightfulness, necessity, and good faith, have clear and reasonable purposes, disclose processing rules, comply with the provisions on the scope of necessary personal information, regulate personal information processing activities, and take necessary measures to ensure the security of personal information. Application providers should not, for any reason, force users to consent to personal information processing, or refuse users to use the basic functions and services on the reason that users do not agree to provide unnecessary personal information.</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May 8, 2017, the Supreme People’s Court and the Supreme People’s Procuratorate issued the Interpretations of the Supreme People’s Court and the Supreme People’s Procuratorate on Several Issues Concerning the Application of Law in the Handling of Criminal Cases Involving Infringement of Citizens’ Personal Information, which became effective on June 1, 2017. These interpretations provide more practical conviction and sentencing criteria for the infringement of citizens’ personal information and marks a milestone for the criminal protection of citizens’ personal information. Pursuant to these interpretations and the Notice of the Supreme People’s Court, the Supreme People’s Procuratorate, and the Ministry of Public Security on Legally Punishing Criminal Activities Infringing upon the Personal Information of Citizens, issued on April 23, 2013, the following activities may constitute the crime of infringing upon a citizen’s personal information: (i) providing a citizen’s personal information to specified persons or releasing a citizen’s personal information online or through other methods in violation of the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spacing w:after="0" w:line="187"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7"/>
          <w:szCs w:val="17"/>
          <w:color w:val="auto"/>
        </w:rPr>
        <w:t>On January 23, 2019, the Office of the Central Cyberspace Affairs Commission and other three authorities jointly issued the Circular on the Special Campaign of Correcting Unlawful Collection and Usage of Personal Information via Apps. Pursuant to this circular,</w:t>
      </w:r>
    </w:p>
    <w:p>
      <w:pPr>
        <w:spacing w:after="0" w:line="1" w:lineRule="exact"/>
        <w:rPr>
          <w:sz w:val="20"/>
          <w:szCs w:val="20"/>
          <w:color w:val="auto"/>
        </w:rPr>
      </w:pPr>
    </w:p>
    <w:p>
      <w:pPr>
        <w:ind w:right="20" w:firstLine="8"/>
        <w:spacing w:after="0" w:line="253" w:lineRule="auto"/>
        <w:tabs>
          <w:tab w:leader="none" w:pos="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 operators are prohibited from collecting any personal information irrelevant to their services; (ii) information collection and usage policy should be presented in a simple and clear way, and such policy should be consented by the users voluntarily, and (iii) authorization from users should not be obtained by coercing users with default or bundling clauses or making consent a condition of service. App operators violating these rules can be ordered by authorities to correct their non-compliance within a given period of time, be publicly reported, or ordered to quit its operation or cancel its business license or operational permits.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April 10, 2019, the Ministry of Public Security promulgated the Guidelines for Internet Personal Information Security Protection, which establish the management mechanism, security technical measures, and business workflows for personal information security protection. On August 22, 2019, the CAC promulgated the Provisions on the Cyber Protection of Children’s Personal Information which require, among others, that network operators who collect, store, use, transfer, and disclose personal information of children under the age of 14 must establish special rules and user agreements for the protection of children’s personal information, inform the children’s guardians in a noticeable and clear manner, and must obtain the consent of the children’s guardians.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7"/>
          <w:szCs w:val="17"/>
          <w:color w:val="auto"/>
        </w:rPr>
        <w:t>On November 28, 2019, the CAC, the Ministry of Industry and Information Technology, the Ministry of Public Security, and the SAMR jointly promulgated the Measures for the Determination of the Collection and Use of Personal Information by Apps in Violation of Laws and Regulations, which provide guidance for the regulatory authorities to identify the illegal collection and use of personal information through mobile apps, and for the app operators to conduct examination and correction and social supervision by netizens.</w:t>
      </w:r>
    </w:p>
    <w:p>
      <w:pPr>
        <w:spacing w:after="0" w:line="16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May 28, 2020, the National People’s Congress approved the Civil Code, which came into effect on January 1, 2021. Pursuant to the Civil Code, the personal information of a natural person must be protected by the law. Any organization or individual that needs to obtain personal information of others must obtain such information legally and ensure the safety of such information, and should not illegally collect, use, process, or transmit personal information of others, or illegally purchase or sell, provide, or make public personal information of others.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Personal Information Protection Law, which integrates the scattered rules with respect to personal information rights and privacy protection and came into effect on November 1, 2021. The Personal Information Protection Law requires, among others, that (i) the processing of personal information should have a clear and reasonable purpose which should be directly relating to the processing purpose and should be conducted in a method that has the minimum impact on personal rights and interests, and (ii) the collection of personal information should be limited to the minimum scope as necessary to achieve the processing purpose and avoid the excessive collection of personal information. Personal information processors must adopt necessary measures to safeguard the security of the personal information they handle. The offending entities could be ordered to correct, or to suspend or terminate the provision of services, and face confiscation of illegal income, fines, or other penalties.</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February 6, 2023, the Ministry of Industry and Information Technology promulgated the Circular of the Ministry of Industry and Information Technology on Further Improving Mobile Internet Application Service Capabilities, which reiterates the principles of legality, justification, and necessity. The circular provides that engaging in personal information processing activities must have clear and reasonable purposes, and users must not be compelled to consent to personal information processing beyond the scope or that is irrelevant to the service scenarios, solely for the sake of service experience, product development, algorithmic recommendation, and risk control, among others. When a user refuses to provide personal information that is not necessary for the current services, it must not impact the user’s basic functions of the service.</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on Algorithm Recommendations</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On September 17, 2021, the CAC and eight other PRC governmental authorities jointly promulgated the Guiding Opinions on Strengthening the Comprehensive Governance of Algorithms Related Internet Information Services, which provide that, among others, enterprises must establish an algorithm security responsibility system and a science and technology ethical review system, improve the algorithm security management organization, strengthen risk prevention and control as well as potential danger investigation and governance, and improve the capacity and level to respond to algorithm security emergencies. Enterprises must also strengthen their sense of responsibility and assume the main responsibility for the results arising from the application of algorithms.</w:t>
      </w:r>
    </w:p>
    <w:p>
      <w:pPr>
        <w:spacing w:after="0" w:line="18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On December 31, 2021, the CAC, the Ministry of Industry and Information Technology, the Ministry of Public Security, and the SAMR jointly issued the Administrative Provisions on Algorithm Recommendation of Internet Information Services, which became effective on March 1, 2022. These administrative provisions stipulate that algorithm recommendation service providers must (i) fulfill their responsibilities for algorithm security, (ii) establish and improve management systems and technical measures for algorithm mechanism examination, scientific and technological ethics review, user-registration, information release review, data security and personal information protection, anti-telecommunications and internet fraud, security assessment and monitoring, and security incidents emergency response, among others, and (iii) formulate and disclose the rules for algorithm recommendation services, and be equipped with professional staff and technical support appropriate to the scale of the algorithm recommendation service. Algorithm recommendation service providers should not take advantage of algorithm recommendation services to (i) engage in any illegal activity which may endanger national security and social public interest, disturb economic and social order, or infringe others’ legitimate rights and interest, or (ii) disseminate any information prohibited by laws and regulations.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color w:val="auto"/>
        </w:rPr>
        <w:t>On November 25, 2022, the CAC, the Ministry of Industry and Information Technology, and the Ministry of Public Security jointly issued the Administrative Provisions on the Deep Synthesis of Internet Information Services, which came into effect on January 10, 2023. According to these provisions, no organization or individual may use deep synthesis services to produce, reproduce, release, or disseminate information prohibited by laws and administrative regulations, or to engage in activities that endanger the national security and interests, damage the national image, infringe upon social public interests, disrupt the economic and social order, or undermine the legitimate rights and interests of others. Specifically, the providers of deep synthesis services should, among other things, establish and maintain the management systems for algorithmic mechanism review, data security, and personal information protection.</w:t>
      </w:r>
    </w:p>
    <w:p>
      <w:pPr>
        <w:spacing w:after="0" w:line="171"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On July 10, 2023, seven governmental authorities including the CAC published the Provisional Measures on AI-Generated Content Services, or the AIGC Measures, setting compliance standards for generative AI service providers. The AIGC Measures require generative AI service providers to take responsibility for the content they produce in accordance with the law and ensure information security. Besides, providers of generative AI services that influence public opinion or could mobilize society shall undergo security assessments and follow procedures for registering or updating their algorithms as required by applicable regulations. Non-compliance with the AIGC Measures may subject the providers of generative-AI services to penalties, including warning, public denouncement, rectification orders and suspension of the provision of relevant services. On September 24, 2024, the State Council promulgated the Regulations on Network Data Security Administration, which provides that a network data processor that provides generative artificial intelligence services shall strengthen its security management of training data and processing activities of training data and take effective measures to prevent and address network data security risks.</w:t>
      </w:r>
    </w:p>
    <w:p>
      <w:pPr>
        <w:spacing w:after="0" w:line="194"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March 7, 2025, Cyberspace Administration of China, Ministry of Industry and Information Technology, the Ministry of Public Security and the State Administration of Radio and Television jointly promulgated the Measures for Labeling AI-Generated or Composed Content, which applies to the labeling of AI-generated or composed content by Internet information service providers. According to the Measures for Labeling AI-Generated or Composed Content, Internet information service providers shall add explicit labels to content generated or edited by simulating a natural person through intelligent dialogue and writing. Additionally, they are required to include implicit labels in the file metadata of such generated or composed content. The Measures for Labeling AI-Generated or Composed Content became effective on September 1, 2025.</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December 27, 2025, the Cyberspace Administration of China issued the Interim Administrative Measures for AI-based Anthropomorphic Interactive Services (Draft for Comments), which are intended to apply to the provision of AI-driven interactive services that simulate human characteristics, such as AI companions and digital human customer service. According to this draft, providers of such services are required to implement technical measures, including negative sampling and adversarial training, to ensure the safety and compliance of the generated content. Furthermore, they are required to submit a renewed security assessment report to the competent cyberspace administration authorities if there are significant modifications to the underlying algorithmic models or the interactive services provided. As these measures have not been formally adopted as of the date of this annual report, substantial uncertainties exist with respect to their final provisions, formal enactment timetable, and ultimate interpretation and enforcement.</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E-commerce</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March 18, 2025, the SAMR promulgated the Measures for the Supervision and Administration of Online Transactions (2025), which came into effect on May 1, 2025. Under these measures, online transaction operators engaging in business activities should follow the principles of voluntariness, equality, fairness, and good faith, comply with laws, regulations, rules, business ethics, public order, and good morals, participate in market competition fairly, earnestly perform statutory obligations, actively assume subject responsibilities, and accept supervision from all sectors of the society. Online transaction platform operators should require business operators that are applying to sell goods or provide services on their platforms to provide authentic information such as information relating to identity, address, contact, and administrative license, verify and register such information, establish registration files, and verify and update such information at least once every six months. In addition, online transaction platform operators should establish an inspection and monitoring system relating to information of business operators on their platforms and relating to goods and services such business operators advertise. Where an online transaction platform operator identifies any information relating to goods and services on its platforms that is in violation of laws, regulations, or rules on market supervision and administration, damages national or public interests, or is detrimental to public order or good morals, it must take necessary measures to dispose such information in accordance with the law, maintain the records, and report the same to the administration for market regulation.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March 24, 2016, the State Taxation Administration, the Ministry of Finance, and the General Administration of Customs jointly issued the Circular on Tax Policy for Cross-border E-commerce Retail Imports, which came into effect on April 8, 2016. Pursuant to this circular, goods imported through the cross-border e-commerce retail are subject to the tariff, import value-added tax, and consumption tax based on the types of goods. Individuals purchasing any goods imported through cross-border e-commerce retail are taxpayers, while e-commerce companies, companies operating e-commerce transaction platforms or logistic companies should be the withholding agents regarding such taxes.</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To further regulate the e-commerce industry, on August 31, 2018, the Standing Committee of the National People’s Congress promulgated the E-commerce Law, which came into effect on January 1, 2019, providing that e-commerce operators must comply with the principles of voluntariness, equality, fairness, and good faith, abide by laws, observe business ethics, equally participate in market competition, perform obligations regarding the protection of consumers’ rights and interests, environmental protection, intellectual property protection, and the protection of cybersecurity and personal information, take charge of the quality of products and services, and receive the supervision of the government and the general public. For example, an operator of an e-commerce platform must (i) comply with the requirements for the protection of personal safety and property security and the requirements for environmental protection regarding its sales of goods or provisions of services; (ii) disclose information of goods or services fully, truthfully, accurately, and promptly, and protect consumers’ right to know and right to choose; (iii) deliver goods or services to a consumer in accordance with the method and deadline committed or agreed with the consumer, and bear the risks and liability for transportation of goods, except where the consumer separately selects a courier service provider.</w:t>
      </w:r>
    </w:p>
    <w:p>
      <w:pPr>
        <w:spacing w:after="0" w:line="192" w:lineRule="exact"/>
        <w:rPr>
          <w:sz w:val="20"/>
          <w:szCs w:val="20"/>
          <w:color w:val="auto"/>
        </w:rPr>
      </w:pPr>
    </w:p>
    <w:p>
      <w:pPr>
        <w:ind w:right="540" w:firstLine="324"/>
        <w:spacing w:after="0" w:line="261" w:lineRule="auto"/>
        <w:rPr>
          <w:sz w:val="20"/>
          <w:szCs w:val="20"/>
          <w:color w:val="auto"/>
        </w:rPr>
      </w:pPr>
      <w:r>
        <w:rPr>
          <w:rFonts w:ascii="Times New Roman" w:cs="Times New Roman" w:eastAsia="Times New Roman" w:hAnsi="Times New Roman"/>
          <w:sz w:val="18"/>
          <w:szCs w:val="18"/>
          <w:color w:val="auto"/>
        </w:rPr>
        <w:t>On June 12, 2019, the State Post Bureau and the Ministry of Commerce promulgated the Guiding Opinions on Regulating the Interconnection and Sharing of Data between Express Delivery and E-commerce Industries, which provide that if e-</w:t>
      </w:r>
    </w:p>
    <w:p>
      <w:pPr>
        <w:spacing w:after="0" w:line="252" w:lineRule="auto"/>
        <w:rPr>
          <w:sz w:val="20"/>
          <w:szCs w:val="20"/>
          <w:color w:val="auto"/>
        </w:rPr>
      </w:pPr>
      <w:r>
        <w:rPr>
          <w:rFonts w:ascii="Times New Roman" w:cs="Times New Roman" w:eastAsia="Times New Roman" w:hAnsi="Times New Roman"/>
          <w:sz w:val="18"/>
          <w:szCs w:val="18"/>
          <w:color w:val="auto"/>
        </w:rPr>
        <w:t>commerce participants agree to deliver commodities through express delivery, an e-commerce operator will be supported in providing the necessary delivery data to an express delivery service provider through the agreed means of data transmission. The e-commerce platform operator cannot, by restricting the interconnection and sharing of data, hinder the e-commerce participants from freely choosing the express delivery service. When collecting and sharing user information, e-commerce operators and enterprises engaged in express delivery business must abide by the provisions of laws and administrative regulations on information protection, and cannot be used for purposes unrelated to the delivery service they provide.</w:t>
      </w:r>
    </w:p>
    <w:p>
      <w:pPr>
        <w:spacing w:after="0" w:line="19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March 24, 2025, the SAMR promulgated the Interim Measures for the Administration of Data Submission on Compliance for Online Transactions, which came into effect on April 25, 2025. Under these measures, platform operators must, on a semi-annual basis, report to the relevant provincial-level market regulation authorities the identity information of all online business operators hosted on their platforms. In particular, for individual sellers operating without a business license, the platform is mandated to identify those whose annual transaction volume exceeds RMB 100,000.</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Internet Finance</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July 18, 2015, ten PRC governmental authorities jointly issued the Guidance on Promoting the Healthy Development of Internet Finance. This guidance refers to internet finance as a new financial business model in which traditional financial institutions and internet companies provide financing, payment, investment, and information intermediary services by using internet technologies and information and communication technologies. In accordance with this guidance, internet finance is part of the finance sector, and internet finance business operators are still required to comply with the regulations in relation to the provision of each sub-category of specific financial services they provide.</w:t>
      </w:r>
    </w:p>
    <w:p>
      <w:pPr>
        <w:spacing w:after="0" w:line="187"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On April 12, 2016, the General Office of the State Council issued the Implementing Proposals for the Special Rectification of Internet Financial Risks. This notice aims to, among others, impose stricter market entry regulation on internet finance, strengthen monitoring of funds, encourage whistleblowers with rewards and enhance penalties for violations, and curb unfair competition.</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May 4, 2008, the People’s Bank of China and China Banking Regulatory Commission jointly promulgated the Guidance on the Pilot Establishment of Microcredit Companies, which allowed provincial governments to approve the establishment of microcredit companies on a trial basis. Many governmental authorities at the provincial or equivalent level, including Shanghai, issued local implementing rules on the administration of microcredit companies pursuant to this guidance. The specific local authority that supervises microcredit business in each administrative region may vary, and usually is the financial office of the local government. Any entities intend to engage in microcredit business in certain administrative region must obtain an approval from the local authority that supervises over the microcredit business in such administrative region, and a microcredit company is not permitted to conduct microcredit business outside the administrative region where it is approved to conduct the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November 2, 2020, the China Banking and Insurance Regulatory Commission and the People’s Bank of China released the Interim Measures for the Administration of Online Microcredit Business (Draft for Comments), which provide that a microcredit company that intends to engage in online microcredit business must obtain the legal approval of the competent regulator and a microcredit company that intends to engage in online microcredit business across provincial-level administrative regions must obtain the legal approval of the banking regulator under the State Council. In addition, the aforesaid draft sets out the statutory qualified requirements for an online microcredit company.</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December 31, 2024, the National Financial Regulatory Administration issued the Interim Measures for the Supervision and Administration of Small Loan Companies. The Measures regulate the operating behavior of small loan companies and strengthen corporate governance and risk management. Meanwhile, the Measures refine the protection of consumer rights and interests and further clarify the supervisory responsibilities of local financial management institutions.</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Commercial Factoring Services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June 27, 2012, the Ministry of Commerce issued the Notice on the Pilot Launch of Commercial Factoring which launched a commercial factoring pilot program in the Shanghai Pudong New Area and the Tianjin Binhai New Area. The Ministry of Commerce further expanded the list of commercial factoring pilot areas to include Chongqing Liangjiang New Area and certain other areas in August 2013. Pursuant to the notices of Ministry of Commerce, the local government of those pilot areas promulgated its own rules to implement the pilot program. Under these notices and local implementing rules, commercial factoring companies may be established in these areas upon the approval of the local counterpart of the Ministry of Commerce or other competent authority. The business scope of a commercial factoring company may include the services of trade financing, management of sales ledgers, investigation and assessment of client credit standings, management and collection of accounts receivable, and credit risk guarantee. A commercial factoring company is not allowed to conduct other financial business, such as taking deposits and lending loans or to specialize in or carry out debt collection.</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October 18, 2019, the General Office of the China Banking and Insurance Regulatory Commission issued the Notice of Strengthening the Supervision and Administration of Commercial Factoring Enterprises, which was amended on June 21, 2021. It provides that commercial factoring enterprises must conduct business operations in accordance with laws and regulations, and may not commit any of the following conduct or provide any of the following services: (i) absorbing, or absorbing in any disguised form, public deposits, (ii) borrowing funds through online lending information intermediary institutions, various local trading places, asset management institutions, privately offered investment funds and other institutions; (iii) borrowing funds from other commercial factoring enterprises or doing so in any disguised form; (iv) providing loans for its account or for the account of another party; (v) engaging in the collection of accounts receivable or debts irrelevant to commercial factoring in a specialized manner or conducting the same on behalf of another party; (vi) factoring financing based on any illegal underlying transaction contract, consignment contract, accounts receivable with disputable ownership, or a claim for payment arising from any bill or other negotiable securities; and (vii) other activities prohibited by the state.</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Product Quality and Consumer Protection</w:t>
      </w:r>
    </w:p>
    <w:p>
      <w:pPr>
        <w:spacing w:after="0" w:line="227"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The Product Quality Law, which was promulgated by the Standing Committee of the National People’s Congress on February 22, 1993 and most recently amended on December 29, 2018, applies to all production and sale activities in China. Pursuant to this law, products offered for sale must satisfy the quality and safety standards. Enterprises may not produce or sell counterfeit products in any fashion, including forging brand labels or giving false information regarding a product’s manufacturer. Violations of state or industrial standards for health and safety and any other related violations may result in civil liabilities and administrative penalties, such as compensation for damages, fines, suspension or shutdown of business, as well as confiscation of products illegally produced and sold and the proceeds from such sales.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17"/>
          <w:szCs w:val="17"/>
          <w:color w:val="auto"/>
        </w:rPr>
        <w:t>The Consumer Rights and Interests Protection Law, which was promulgated by the Standing Committee of the National People’s Congress on October 31, 1993 and most recently amended on October 25, 2013, sets out the obligations of business operators and the rights and interests of the consumers in China. Pursuant to this law, business operators must guarantee that the commodities they sell satisfy the requirements for personal or property safety, provide consumers with authentic information about the commodities, and guarantee the quality, function, usage, and term of validity of the commodities. The Consumer Rights and Interests Protection Law was amended in October 2013 and became effective in March 2014. The amended Consumer Rights and Interests Protection Law further strengthens the protection of consumers and imposes more stringent requirements and obligations on business operators, especially on the business operators through the internet. The consumers whose interests have been damaged due to their purchase of goods or acceptance of services on online marketplace platforms may claim damages from sellers or service providers. Where the providers of the online marketplace platforms are unable to provide the real names, addresses, and valid contact details of the sellers or service providers, the consumers may also claim damages from the providers of the online marketplace platforms. Providers of online marketplace platforms that know or should have known that sellers or service providers use their platforms to infringe upon the legitimate rights and interests of consumers but fail to take necessary measures must bear joint and several liabilities with the sellers or service providers.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March 15, 2024, the State Council promulgated the Implementing Regulations of the Consumer Rights and Interests Protection Law, which came into effect on July 1, 2024. The Implementing Regulations of the Consumer Rights and Interests Protection Law provide detailed provisions on business operators’ obligations, including protection of consumers’ personal and property safety, the handling of defective products, avoidance of fraudulent advertisement, promotion of price transparency, assurance of quality guarantee, and protection of consumers’ personal information. These regulations also refine provisions regarding online consumption and stipulated operators’ obligations concerning prepaid consumption. Specifically, business operators are prohibited from using technological means to forcibly or indirectly compel consumers to purchase goods or receive services, or excluding or limiting consumers’ choices of goods or services provided by other operators.</w:t>
      </w:r>
    </w:p>
    <w:p>
      <w:pPr>
        <w:spacing w:after="0" w:line="19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addition, the Civil Code provides that if a network service provider knows or should know that a network user is committing infringing activities through its network services and fails to take necessary measures, it should be jointly liable with the said network user for such infringement. If a network service provider receives any notice from the infringed party on any infringing activities, the network service provider should take necessary measures, including deleting, blocking, and unlinking the infringing content, in a timely manner. Otherwise, it will be held jointly liable with the network user for the extended damages.</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Leasing</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Pursuant to the Interim Regulations of the People’s Republic of China Concerning the Assignment and Transfer of the Land Use Right of the State-owned Land in the Urban Areas promulgated by the State Council on May 19, 1990 and most recently amended on November 29, 2020, the lease of the allocated land use rights and of the buildings or houses erected on such land should be subject to the approval of the real estate administration department.</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Law on Administration of Urban Real Estate, which was promulgated on July 5, 1994 and most recently amended on August 26, 2019 by the Standing Committee of the National People’s Congress, when leasing premises, the lessor and lessee are required to enter into a written lease contract, containing such provisions as the leasing term, use of the premises, rental and repair liabilities, and other rights and obligations of both parties. The Law on Administration of Urban Real Estate further provides that where the owner of a building leases the building on state-owned land of which the land use right is granted to such owner by way of allocation for the purpose of profit- making, the gains on land included in the rental should be turned over to the state.</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addition, the Administrative Measures on Leasing of Commodity Housing, issued by the Ministry of Housing and Urban-rural Development on December 1, 2010 and became effective on February 1, 2011, provide that the lessor and lessee are also required to register the lease with the competent real estate administration department within 30 days upon the execution of the lease agreement. If the lessor and lessee fail to go through the registration procedures, the competent authorities may urge the lessor and lessee to make corrections within a specified time limit and impose a fine ranging from RMB1,000 to RMB10,000 for each non-registered lease agreement if the lessor and lessee fail to make corrections within the specified time limit.</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According to the Civil Code, the lessee may sublease the leased premises to a third party, subject to the consent of the lessor. Where the lessee subleases the premises, the lease contract between the lessee and the lessor remains valid. In addition, in the event of change of ownership of the leased premises, the lease contract between the lessee and the lessor will still remain effective. The Civil Code further provides that where the leased property has been leased and transferred for possession before the creation of the mortgage, the established leasehold relationship will not be affected by the mortgage.</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Overseas Listing and M&amp;A</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August 8, 2006, six PRC governmental and regulatory agencies, including the Ministry of Commerce and the CSRC, jointly promulgated the Regulations on Mergers and Acquisitions of Domestic Enterprises by Foreign Investors, a regulation with respect to the mergers and acquisitions of domestic enterprises by foreign investors that became effective on September 8, 2006 and were revised on June 22, 2009. Foreign investors must comply with these regulations when they purchase equity interests of a domestic company or subscribe for the increased capital of a domestic company, and thus changing the nature of the domestic company into a foreign-invested enterprise; or when the foreign investors establish a foreign-invested enterprise in China for the purpose of purchasing the assets of a domestic company and operating the assets; or when the foreign investors purchase the assets of a domestic company and establish a foreign-invested enterprise by injecting such assets, and operate the assets. The Regulations on Mergers and Acquisitions of Domestic Enterprises by Foreign Investors, among other things, purports to require that an offshore special purpose vehicle, or a special purpose vehicle, formed for listing purposes and controlled directly or indirectly by PRC companies or individuals, to obtain the approval of the CSRC prior to the listing and trading of such special purpose vehicle’s securities on an overseas stock exchange.</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General Office of the State Council promulgated the Circular of the General Office of the State Council on the Establishment of Security Review System for the Merger and Acquisition of Domestic Enterprises by Foreign Investors, that became effective on March 3, 2011. This circular officially established a security review system for mergers and acquisitions of domestic enterprises by foreign investors. Furthermore, the Ministry of Commerce promulgated the Rules of the Ministry of Commerce on Implementation of Security Review System for the Merger and Acquisition of Domestic Enterprises by Foreign Investors, effective on September 1, 2011, to implement such circular. Under this circular, security review is required for mergers and acquisitions by foreign investors having “national defense and security” concerns and mergers and acquisitions by which foreign investors may acquire the “de facto control” of domestic enterprises with “national security” concerns. Under the Rules of the Ministry of Commerce on Implementation of Security Review System for the Merger and Acquisition of Domestic Enterprises by Foreign Investors, the Ministry of Commerce will focus on the substance and actual impact of the transaction when deciding whether a specific merger or acquisition is subject to security review. If the Ministry of Commerce decides that a specific merger or acquisition is subject to a security review, the Ministry of Commerce will submit it to the Inter-ministerial Panel, an authority established pursuant to the Circular of the General Office of the State Council on the Establishment of Security Review System for the Merger and Acquisition of Domestic Enterprises by Foreign Investors and is initiated by the NDRC and the Ministry of Commerce under the leadership of the State Council, to carry out security review. These rules prohibit foreign investors from bypassing the security review by structuring transactions through holding shares on behalf of others, trusts, multi-tier re-investments, leases, loans, control through contractual arrangements or offshore transactions.</w:t>
      </w:r>
    </w:p>
    <w:p>
      <w:pPr>
        <w:spacing w:after="0" w:line="19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On December 19, 2020, the NDRC and the Ministry of Commerce promulgated the Measures for the Security Review of Foreign Investment, which came into effect on January 18, 2021. Pursuant to such measures, the NDRC establishes a working mechanism office in charge of the security review of foreign investment, which is led by the NDRC and the Ministry of Commerce. Such measures also define foreign investments as direct or indirect investments by foreign investors in China, including (i) investments in new onshore projects or establishment of wholly foreign owned onshore enterprises or joint ventures with other investors; (ii) acquiring equity or assets of onshore companies by merger and acquisition; and (iii) onshore investments by and through any other means. Foreign investments in certain key areas with national security concerns, such as important transport services, important cultural products and services, important information technology and internet products and services, important financial services, and key technologies, which results in the acquisition of de facto control of the invested companies, must be filed with the working mechanism office prior to the implementation of such investments. Failure to make such filing may subject the foreign investor to rectification within a prescribed period, and the foreign investor will be negatively recorded in the national credit information system, which would then subject such investor to joint punishment as provided by the rules. If such investor fails to or refuses to undertake such rectification, it would be ordered to dispose of the equity or assets and to take any other necessary measures so as to restore to the status before the implementation of the investment and to erase the impact to national security.</w:t>
      </w:r>
    </w:p>
    <w:p>
      <w:pPr>
        <w:spacing w:after="0" w:line="19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July 6, 2021, the PRC government authorities issued the Opinions on Strictly and Lawfully Cracking Down Illegal Securities Activities. These opinions emphasized the need to strengthen the administration over illegal securities activities and the supervision on overseas listings by China-based companies and proposed to take effective measures, such as promoting the construction of the regulatory systems to deal with the risks and incidents faced by overseas-listed China-based companies.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September 6, 2024, the NDRC and the Ministry of Commerce jointly issued the 2024 Negative List, which came into effect on November 1, 2024. Pursuant to the 2024 Negative List, if a domestic company engaging in the prohibited business stipulated in the 2024 Negative List seeks an overseas offering and listing, it must obtain the approval from the competent governmental authorities. Besides, the foreign investors of the company should not be involved in the company’s operation and management, and their</w:t>
      </w:r>
    </w:p>
    <w:p>
      <w:pPr>
        <w:spacing w:after="0" w:line="3"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shareholding percentage should be subject to, mutatis mutandis, the regulations on the domestic securities investments by foreign investors.</w:t>
      </w:r>
    </w:p>
    <w:p>
      <w:pPr>
        <w:spacing w:after="0" w:line="181"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February 17, 2023, the CSRC promulgated the Overseas Offering and Listing Measures, which came into effect on March 31, 2023. On the same day, the CSRC also published a series of guidance rules and Q&amp;As in connection with the implementation of the Overseas Offering and Listing Measures. The Overseas Offering and Listing Measures establish a new filing-based regime to regulate overseas offerings and listings by PRC domestic companies. According to the Overseas Offering and Listing Measures, an overseas offering of securities (including shares, depository receipts, corporate bonds convertible into shares, and other securities in nature of equity) and listing by a PRC domestic company, whether directly or indirectly, are required to fulfill the filing procedures with, and to report the information to, the CSRC. Specifically, the examination and determination of an indirect offering and listing will be conducted on a substance-over-form basis, and an offering and listing will be considered as an indirect overseas offering and listing by a PRC domestic company if the issuer meets both of the following conditions: (i) any of the operating revenue, total profit, total assets, or net assets of the PRC domestic enterprise(s) of the issuer in the most recent fiscal year accounts for more than 50% of the corresponding item in the issuer’s audited consolidated financial statements for the same period; and (ii) the main parts of the issuer’s operation activities are conducted in China, or the principal operation premises are located in China, or the majority of senior management personnel in charge of its business operations and management are PRC citizens or have habitual residences located in China. On the same day, the CSRC also held a press conference for the release of the Overseas Offering and Listing Measures and issued the Notice on Administration for the Filing of Overseas Offering and Listing by Domestic Companies, which, among others, clarifies that PRC domestic companies that have already been listed overseas on or before the effective date of the Overseas Offering and Listing Measures (i.e., March 31, 2023) can be deemed as Existing Issuers. Existing Issuers are not required to complete the filling procedures immediately for their historical offerings and listing, and they may be required to file with the CSRC when they conduct subsequent financing activities. The Guideline No. 2 (the Content and Format of Filing Materials) on the Application of Regulatory Rules on Overseas Securities Offerings and Listings, as one of the supporting guidelines for the Overseas Offering and Listing Measures, provides that the filing documents submitted to the CSRC must specify, among other things: (i) whether the PRC laws, administrative regulations, or provisions restrict or prohibit the PRC domestic companies from conducting business and/or holding licenses or qualifications for the issuers through contractual arrangements; and (ii) whether the PRC domestic operating entities that have contractual arrangements with the issuers fall into the industries in which foreign investments are restricted or prohibited. The officials from the CSRC have also confirmed that for the PRC domestic companies that seek to list overseas with variable interest entity structure, the CSRC will solicit opinions from the regulatory authorities and complete the filing procedures for the overseas offering and listing of PRC domestic companies with variable interest entity structure which duly meet the compliance requirements.</w:t>
      </w:r>
    </w:p>
    <w:p>
      <w:pPr>
        <w:spacing w:after="0" w:line="20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Overseas Offering and Listing Measures also set forth certain regulatory red lines for overseas offerings and listings by PRC domestic enterprises. According to the Overseas Offering and Listing Measures, an overseas offering and listing of securities by a PRC domestic company under any of the following circumstances is prohibited: (i) such securities offering and listing is explicitly prohibited by provisions in laws, administrative regulations, and the state rules; (ii) the proposed securities offering and listing may endanger national security as reviewed and determined by competent authorities under the State Council in accordance with law; (iii) the PRC domestic company proposing to conduct the securities offering and listing, or its controlling shareholder(s) and the actual controller, have committed crimes such as corruption, bribery, embezzlement, misappropriation of property, or undermining the order of the socialist market economy during the past three years; (iv) the PRC domestic company proposing to make the securities offering and listing is currently under investigations for suspicion of criminal offenses or major violations of laws and regulations, and no conclusion has been made thereof; or (v) there are material ownership disputes over equity held by the PRC domestic company’s controlling shareholder(s) or by other shareholder(s) that are controlled by the controlling shareholder(s) and/or actual controller.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Furthermore, the Overseas Offering and Listing Measures also provide that (i) where a PRC domestic company seeks to indirectly offer and list securities in overseas markets, the issuer should designate a major PRC domestic operating entity, which should, as the domestic responsible entity, fulfill the filing procedures with the CSRC; (ii) a filing relating to an initial public offering and listing must be made with the CSRC within three business days after the application is submitted overseas; (iii) a filing relating to subsequent securities offerings of an issuer in the same overseas market where it has previously offered and listed securities must be made with the CSRC within three business days after the offering is completed; (iv) a filing relating to subsequent securities offerings and listings of an issuer in overseas markets other than where it has offered and listed must be made pursuant to provisions as stipulated for initial public offerings and listings. Where a PRC domestic company fails to fulfill the filing procedure, withholds any material fact, or makes false statements in its filing documents that are material, such PRC domestic company may be subject to administrative penalties, such as orders to rectify, warnings, fines, and its controlling shareholders, actual controllers, the person directly in charge, and other directly liable persons may also be subject to administrative penalties, such as warnings and fines.</w:t>
      </w:r>
    </w:p>
    <w:p>
      <w:pPr>
        <w:spacing w:after="0" w:line="19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PRC Securities Law, which came into effect in March 2020, provides that no overseas securities regulator is allowed to directly conduct investigation or evidence collection activities within the territory of China.</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February 24, 2023, the CSRC and certain other PRC regulatory authorities promulgated the Provisions on Strengthening Confidentiality and Archives Administration of Overseas Securities Offering and Listing by Domestic Companies, which came into effect on March 31, 2023. Pursuant to these provisions, a PRC domestic enterprise that seeks overseas offering and listing, whether in a direct or indirect manner, must strictly abide by applicable PRC laws and regulations, enhance legal awareness of keeping state secrets and strengthening archives administration, institute a sound confidentiality and archives administration system, and take necessary measures to fulfill confidentiality and archives administration obligations. Where a PRC domestic company, either directly or through its overseas listed entity, publicly discloses or provides to any individuals or entities including securities companies, securities service providers, and overseas regulators, any documents and materials that contain state secrets or working secrets of government agencies, it must first obtain approval from competent authorities according to law, and file with the secrecy administrative department at the same level. In the event that such documents and materials, if leaked, will be detrimental to national security or public interest, the PRC domestic company must strictly fulfill the procedures stipulated by applicable national regulations. Where a PRC domestic company, after fulfilling the procedures, provides to securities companies, securities service providers, and other entities with any documents and materials that contain state secrets or working secrets of government agencies, or any other documents and materials that will be detrimental to national security or public interest if leaked, a non-disclosure agreement must be signed between the provider and receiver of such information according to the PRC laws and regulations, which must specify, among other things, the obligations and liabilities on confidentiality held by such securities companies and securities service providers. Specifically, when a PRC domestic company provides accounting archives or copies of accounting archives to any entities including securities companies, securities service providers, and overseas regulators and individuals, it must fulfill due procedures in compliance with applicable national regulations.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Anti-monopoly</w:t>
      </w:r>
    </w:p>
    <w:p>
      <w:pPr>
        <w:spacing w:after="0" w:line="22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PRC Anti-monopoly Law, which was promulgated by the Standing Committee of the National People’s Congress on August 30, 2007 and effective from August 1, 2008, prohibits monopolistic conduct such as entering into monopoly agreements, abuse of dominant market position, and concentration of undertakings that have the effect of eliminating or restricting competition. On June 24, 2022, the Standing Committee of the National People’s Congress adopted the Decision of the Standing Committee of the National People’s Congress on Amending the PRC Anti-monopoly Law, which became effective on August 1, 2022. This decision increased the fines on business operators for illegal concentration to no more than ten percent of the preceding year’s sales revenue of the business operators if the concentration of business operators has or may have an effect of excluding or limiting competition, or a fine of up to RMB5 million if the concentration of business operators does not have an effect of excluding or limiting competition; the anti-monopoly enforcement agency may also order the business operators to cease the implementation of the concentration, to dispose of shares, assets, and the business within a period of time, or to take other necessary measures to restore to the status before the concentration if the concentration of the business operators has or may have an effect of excluding or limiting competition. In addition, according to this decision, where a concentration of business operators does not meet the filing threshold set by the State Council, but there is evidence that the concentration has or may have the effect of excluding or limiting competition, the anti-monopoly law enforcement agency may order the operators to file the concentration of business operators. The dominant market position refers to a market position where an operator may manipulate the price, volume, and other trade conditions of commodities on a relevant market, or may obstruct or otherwise affect the entrance of other operators into relevant markets. An operator who holds the dominant market position is prohibited from engaging in such practices which may be classified as an abuse of said position as: (a) selling commodities at unfairly high or buying commodities at unfairly low prices, (b) selling commodities at prices lower than cost without justified reasons; (c) refusing to trade with a trading counterparty without justified reasons; (d) restricting a trading counterparty to trade exclusively with it or trade exclusively with the operators designated by it without justifiable reasons; (e) conducting tie-in sales or adding other unreasonable conditions on a deal without justified reasons, (f) discriminating among trading counterparties of the same qualifications with regard to trade price, among others, without justified reasons, or (g) other practices recognized by the enforcement authorities as abuse of dominant market position. Furthermore, where an operator violates the provisions of the Anti-monopoly Law by abusing dominant market position, the enforcement authorities will order such operator to stop the illegal activities, confiscate the illegal earnings, and impose a fine of 1% to 10% of the previous year’s sales revenue.</w:t>
      </w:r>
    </w:p>
    <w:p>
      <w:pPr>
        <w:spacing w:after="0" w:line="20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March 2018, the SAMR was formed to take over, among other things, the anti-monopoly enforcement functions from the relevant departments under the Ministry of Commerce, the NDRC, and the State Administration for Industry and Commerce, respectively. Since its inception, the SAMR has continued to strengthen its anti-monopoly enforcement. The SAMR issued the Notice on Anti-monopoly Enforcement Authorization on December 28, 2018, which grants authorizations to the SAMR’s provincial branches for anti-monopoly enforcement within their respective jurisdictions, and further issued the Anti-monopoly Compliance Guideline for Operators on September 11, 2020, which was amended on April 25, 2024, for establishing an anti-monopoly compliance management system and preventing anti-monopoly compliance risks.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August 3, 2008, the State Council promulgated the Rules of the State Council on Declaration Threshold for Concentration of Undertakings. The Rules of the State Council on Declaration Threshold for Concentration of Undertakings require that transactions which are deemed concentrations and involve parties with specified turnover thresholds must be cleared by the anti-monopoly enforcement agency of the State Council before they can be completed. The Rules of the State Counsel on Declaration Threshold for Concentration of Undertakings, amended by the State Council on January 22, 2024, set forth the latest filing threshold for concentration of undertaking, which is, during the previous fiscal year, (i) the total global turnover of all operators participating in the transaction exceeds RMB12 billion in the preceding fiscal year and at least two of these operators each has a turnover of more than RMB800 million within China in the preceding fiscal year, or (ii) the total turnover within China of all the operators participating in the concentration exceeds RMB4 billion in the preceding fiscal year, and at least two of these operators each has a turnover of more than RMB800 million within China in the preceding fiscal year.</w:t>
      </w:r>
    </w:p>
    <w:p>
      <w:pPr>
        <w:spacing w:after="0" w:line="194" w:lineRule="exact"/>
        <w:rPr>
          <w:sz w:val="20"/>
          <w:szCs w:val="20"/>
          <w:color w:val="auto"/>
        </w:rPr>
      </w:pPr>
    </w:p>
    <w:p>
      <w:pPr>
        <w:ind w:right="120" w:firstLine="324"/>
        <w:spacing w:after="0" w:line="277" w:lineRule="auto"/>
        <w:rPr>
          <w:sz w:val="20"/>
          <w:szCs w:val="20"/>
          <w:color w:val="auto"/>
        </w:rPr>
      </w:pPr>
      <w:r>
        <w:rPr>
          <w:rFonts w:ascii="Times New Roman" w:cs="Times New Roman" w:eastAsia="Times New Roman" w:hAnsi="Times New Roman"/>
          <w:sz w:val="17"/>
          <w:szCs w:val="17"/>
          <w:color w:val="auto"/>
        </w:rPr>
        <w:t>On February 7, 2021, the Anti-monopoly Committee of the State Council promulgated the Anti-monopoly Guidelines for the Platform Economy Sector, aiming to improve anti-monopoly administration on online platforms. The Anti-monopoly Guidelines for the Platform Economy Sector, operating as the compliance guidance under the existing PRC anti-monopoly regulatory regime for platform economy operators, specifically prohibits certain acts of the platform economy operators that may have the effect of eliminating or limiting market competition, such as forcing the users to choose the product or service of one operator exclusively from the other.</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March 10, 2023, the SAMR released four regulations supporting the Anti-monopoly Law, namely the Review Measures of Concentration of Undertakings, the Provisions on the Prohibition of Monopoly Agreements, the Provisions on the Prohibitions of Acts of Abuse of Dominant Market Positions, and the Provisions on Curbing the Abuse of Administrative Power to Exclude or Restrict Competition, all of which came into effect on April 15, 2023. Subsequently, the Provisions on the Prohibition of Monopoly Agreements and the Provisions on Curbing the Abuse of Administrative Power to Exclude or Restrict Competition were further amended by the SAMR on December 9, 2025 and December 18, 2025 respectively, both of which became effective on February 1, 2026. The supporting regulations have, among other things, elaborated the specific requirements under the Anti-Monopoly Law, optimized the regulatory and enforcement procedures, and imposed more stringent legal responsibilities on the relevant parties. Specifically, the Review Measures of Concentration of Undertakings clarified the factors to be considered for the recognition of “control” and “implementation of concentration” under the review mechanism of concentration of undertakings, and elaborated the implementation rules regarding the suspension of review. According to the Review Measures of Concentration of Undertakings, where a concentration of undertakings does not meet the threshold for declaration but there is evidence that the concentration of undertakings has or may have the effect of excluding or limiting competition, the SAMR may order the operators to file the concentration of undertakings.</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January 10, 2024, the Anti-monopoly and Anti-unfair Competition Committee of the State Council issued the Anti-monopoly Guidelines for Industry Associations. The guidelines clarify prohibited practices for industry associations in organizing horizontal and vertical monopoly agreements, explicitly forbid interference with market pricing mechanisms, and specify corresponding legal liabilities for violations. On June 6, 2024, the State Council issued the Fair Competition Review Regulation. It is the first administrative regulation to comprehensively and systematically stipulate fair competition review, standardizing the review criteria for policy measures. On October 13, 2024, the SAMR issued the Work Rules for Handling Reports on Fair Competition Review. It clarifies the report handling mechanism and safeguards the public’s right to report policies and measures suspected of violating the fair competition review regulations. On February 28, 2025, the SAMR promulgated the Implementing Measures for the Fair Competition Review Regulations, which elaborate and refine the general requirements, departmental responsibilities, review standards, review mechanisms, review procedures, and supervisory and safeguard measures for the fair competition review regime. On November 4, 2024, the SAMR issued the Anti-monopoly Guidelines for Standard Essential Patents. It introduces ex-ante and interim supervision mechanisms, encourages best practices, and details monopolistic behaviors related to standard essential patents, clarifying their typical types and identification factors. On December 10, 2024, the SAMR issued the Guidelines for the Review of Horizontal Concentrations of Undertakings. It clarifies the review criteria for business operator concentrations with different market, focuses on dynamic competitive impacts, and removes the data protection clause. The Guidelines for the Review of Non-Horizontal Concentrations were promulgated and implemented by SAMR on December 15, 2025. These guidelines primarily outline the analytical framework used by anti-monopoly enforcement agencies when reviewing non-horizontal relationships in concentrations of undertakings. Pursuant to the Guidelines, non-horizontal concentrations include both vertical concentrations and conglomerate concentrations.</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Anti-unfair Competition</w:t>
      </w:r>
    </w:p>
    <w:p>
      <w:pPr>
        <w:spacing w:after="0" w:line="22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Competition among business operators is generally governed by the PRC Anti-unfair Competition Law, which was promulgated by the Standing Committee of the National People’s Congress on September 2, 1993, and amended on November 4, 2017, April 23, 2019 and June 27, 2025. The amended Anti-unfair Competition Law came into effect on October 15, 2025. According to the amended Anti-unfair Competition Law, business operators must abide by the principles of voluntariness, equality, fairness, and good faith, and observe laws and business ethics. In particular, business operators are prohibited from any of the following unfair activities: (i) committing acts of confusion; (ii) seeking transaction opportunities or competitive advantages by bribing entities or individuals with property or by any other means; (iii) conducting commercial promotions for the performance, function, quality, sales status, user evaluation, honor received concerning its products in a false or misleading manner; (iv) infringing trade secrets; (v) premium campaign in contravention to the Anti-unfair Competition Law; and (vi) fabricating or disseminating false or misleading information to undermine the goodwill or commodity reputation of any competitors. The amended Anti-unfair Competition Law further intensified the regulation of unfair competition in the data economy area by explicitly prohibiting business operators from abusing platform rules for activities like fake transactions or malicious reviews or using data, algorithms, or technology to disrupt or interfere with the legitimate network services of other operators. The amended Anti-unfair Competition Law further provides that the regulatory authority may interview the responsible person, require him/her to explain the situation and propose corrective measures for the violation.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380" w:firstLine="324"/>
        <w:spacing w:after="0" w:line="261" w:lineRule="auto"/>
        <w:rPr>
          <w:sz w:val="20"/>
          <w:szCs w:val="20"/>
          <w:color w:val="auto"/>
        </w:rPr>
      </w:pPr>
      <w:r>
        <w:rPr>
          <w:rFonts w:ascii="Times New Roman" w:cs="Times New Roman" w:eastAsia="Times New Roman" w:hAnsi="Times New Roman"/>
          <w:sz w:val="18"/>
          <w:szCs w:val="18"/>
          <w:color w:val="auto"/>
        </w:rPr>
        <w:t>On October 29, 2020, the SAMR issued the Interim Provisions on Regulating Promotional Activities, which came into effect on December 1, 2020. Among other things, these interim provisions are designed to promote consumer protection and prohibit false or misleading commercial information used in promotional activities. Failure to comply with these provisions may subject the business operators to penalties or other administrative actions by the regulatory authorities.</w:t>
      </w:r>
    </w:p>
    <w:p>
      <w:pPr>
        <w:spacing w:after="0" w:line="180"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On March 16, 2022, the Supreme People’s Court promulgated the Interpretation of the Supreme People’s Court on Several Issues Concerning the Application of the Anti-unfair Competition Law, which came into effect on March 20, 2022, setting out more detailed standards to apply the Anti-unfair Competition Law.</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May 6, 2024, the SAMR issued the Interim Provisions on Anti-Unfair Competition on the Internet, which prohibit business operators from using data, algorithms, and other technical means to commit traffic hijacking, interference, malicious incompatibility, and other improprieties to influence user choices or hinder or damage the normal operation of network products or services offered by other business operators.</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Advertising</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PRC government regulates advertising, including online advertising, principally through the SAMR. The PRC Advertising Law, as promulgated on October 27, 1994 and most recently amended on April 29, 2021 by the Standing Committee of the National People’s Congress, outlines the general regulatory framework for advertising. According to the Advertising Law, advertisers, advertising service providers, and advertising publishers are required to ensure that the contents of the advertisements they prepare or distribute are true and in full compliance with applicable laws and regulations. For example, advertisements must not contain terms such as “the state-level,” “the highest grade,” “the best,” or such similar wording. In addition, the use of internet to distribute advertisements must not affect the normal use of the internet by users. Where internet information service providers are aware or ought to be aware that illegal advertisements are being published or distributed using their services, they are obliged to prevent such distribution.</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February 25, 2023, the SAMR published the Administrative Measures for Internet Advertising, which came into effect on May 1, 2023. These administrative measures aim to regulate various kinds of commercial advertising activities conducted within the territory of China to directly or indirectly promote a product or service through text, images, audio, video, or any other form, using any website, web page, web application, or other online media. According to these administrative measures, internet advertising operators and publishers should establish, improve, and implement systems for receipt, registration, review, and filing management of the internet advertising businesses according to the regulations, and should examine, verify, and register the identity information of advertisers, such as their names, addresses, and valid contact details, set up registration files and check and update them on a regular basis. Relevant files should be kept for no less than three years from the date of termination of the advertisement release. Internet advertising operators and publishers are required to have advertisement reviewers who are familiar with advertising laws and regulations or establish a special department responsible for the review of internet advertisements. Where an internet advertisement is published by means such as algorithmic recommendation, the rules and records of such algorithmic recommendation must be included in the advertising files. In addition, the advertisers and advertising publishers are required to set prominent buttons in the internet advertisements, including</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pop-up advertisements, to ensure the closure of such advertisements can be done by one click. The Administrative Measures for Internet Advertising further clarify that product sellers or service providers promoting products or services through online live streaming that constitutes commercial advertisements should assume the responsibilities and obligations of an advertiser.</w:t>
      </w:r>
    </w:p>
    <w:p>
      <w:pPr>
        <w:spacing w:after="0" w:line="18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Violation of the foregoing laws and regulations may subject the operators to civil liabilities and penalties, including fines, confiscation of advertising income, orders to stop dissemination of the advertisements, and orders to publish an advertisement correcting the misleading information. In case of serious violations, the SAMR or its local branches may force the violators to terminate its advertising operation or revoke its business license.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Pricing</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According to the PRC Pricing Law, as promulgated on December 29, 1997 and effective on May 1, 1998 by the Standing Committee of the National People’s Congress, business operators must, as required by the government departments in charge of pricing, mark the prices explicitly and indicate the name, origin of production, specifications, and other related particulars clearly. Business operators may not sell products at a premium or charge any fees that are not explicitly indicated. Business operators must not commit the specified unlawful pricing activities, such as colluding with others to manipulate the market price, using false or misleading prices to deceive consumers to purchase, or conducting price discrimination against other business operators. Failure to comply with the Pricing Law may subject business operators to administrative sanctions such as warning, stopping unlawful activities, confiscating illegal gains, and fines. The business operators may be ordered to suspend business for rectification, or have their business licenses revoked if the circumstances are severe.</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Intellectual Property Rights</w:t>
      </w:r>
    </w:p>
    <w:p>
      <w:pPr>
        <w:spacing w:after="0" w:line="22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China has adopted comprehensive legislation governing intellectual property rights, including copyrights, patents, trademarks, and domain names.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Copyright</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Copyright in China, including copyrighted software, is principally protected under the PRC Copyright Law which was promulgated by the Standing Committee of the National People’s Congress on September 7, 1990 and of which the most recent amendment came into effect as of June 1, 2021. Under the Copyright Law, PRC citizens, legal persons, or other organizations enjoy copyright over their works which refer to original intellectual achievements in the fields of literature, art, and science which can be expressed in a certain form including written works, oral works, computer software, and other intellectual achievements which comply with the characteristics of the works, whether published or not. The term of protection for copyrighted software is 50 years.</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the Regulations on the Protection of Rights to Information Network Communication, which were promulgated by the State Council on May 18, 2006 and amended on January 30, 2013, provide specific rules on fair use, statutory license, and a safe harbor for use of copyrights and copyright management technology and specify the liabilities of various entities for violations, including copyright holders, libraries, and internet service providers. The Computer Software Copyright Registration Procedures, which were promulgated by the State Copyright Bureau on February 20, 2002, apply to software copyright registration, license contract registration, and transfer contract registration.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Patent</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According to the PRC Patent Law, which was promulgated by the Standing Committee of the National People’s Congress on March 12, 1984 and most recently amended on October 17, 2020, patent protection is divided into three categories, namely, invention patents, utility model patents, and design patents. Invention patents are valid for twenty years from the date of application, while design patents and utility patents are valid for fifteen years and ten years from the date of application, respectively. To be patentable, invention or utility models must meet three criteria: novelty, inventiveness, and practicability. Once an invention patent, or an utility model patent is granted, unless otherwise permitted by law, no individual or entities are permitted to engage in the manufacture, use, sale, or import of the product protected by such patent or otherwise engage in the manufacture, use, sale, or import of the product directly derived from applying the production technology or method protected by such patent, without consent of the patent holder, otherwise, the use will constitute an infringement of the patent rights.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Trademark</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Registered Trademarks are protected by the Trademark Law which was adopted by the Standing Committee of the National People’s Congress on August 23, 1982 and most recently amended on April 23, 2019 as well as the Implementation Regulation of the PRC Trademark Law which was adopted by the State Council on August 3, 2002 and amended on April 29, 2014. The Trademark Office of the National Intellectual Property Administration under the SAMR handles trademark registrations and grants a term of ten years to registered trademarks which may be renewed for consecutive ten-year periods upon request by the trademark owner. For licensed use of a registered trademark, the licensor must file record of the licensing of the said trademark with the Trademark Office, otherwise it may not defend against a bona fide third party. The PRC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PRC law, any of the following acts will be deemed as an infringement to the exclusive right to use a registered trademark:</w:t>
      </w:r>
    </w:p>
    <w:p>
      <w:pPr>
        <w:spacing w:after="0" w:line="27" w:lineRule="exact"/>
        <w:rPr>
          <w:sz w:val="20"/>
          <w:szCs w:val="20"/>
          <w:color w:val="auto"/>
        </w:rPr>
      </w:pPr>
    </w:p>
    <w:p>
      <w:pPr>
        <w:ind w:left="220" w:hanging="212"/>
        <w:spacing w:after="0"/>
        <w:tabs>
          <w:tab w:leader="none" w:pos="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 trademark that is the same as a registered trademark for identical goods without the permission of the trademark registrant;</w:t>
      </w:r>
    </w:p>
    <w:p>
      <w:pPr>
        <w:spacing w:after="0" w:line="9" w:lineRule="exact"/>
        <w:rPr>
          <w:rFonts w:ascii="Times New Roman" w:cs="Times New Roman" w:eastAsia="Times New Roman" w:hAnsi="Times New Roman"/>
          <w:sz w:val="18"/>
          <w:szCs w:val="18"/>
          <w:color w:val="auto"/>
        </w:rPr>
      </w:pPr>
    </w:p>
    <w:p>
      <w:pPr>
        <w:ind w:right="40" w:firstLine="8"/>
        <w:spacing w:after="0" w:line="250" w:lineRule="auto"/>
        <w:tabs>
          <w:tab w:leader="none" w:pos="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 trademark that is similar to a registered trademark for identical goods, or use of a trademark that is the same as or similar to a registered trademark for similar goods which may lead to confusion, without the permission of the trademark registrant; (iii) sale of any goods that have infringed the exclusive right to use any registered trademark; (iv) counterfeit or unauthorized production of the label of another’s registered trademark, or sale of any such label that is counterfeited or produced without authorization; (v) change of any trademark of a registrant without the registrant’s consent, and selling goods bearing such replaced trademark on the market;</w:t>
      </w:r>
    </w:p>
    <w:p>
      <w:pPr>
        <w:spacing w:after="0" w:line="1" w:lineRule="exact"/>
        <w:rPr>
          <w:rFonts w:ascii="Times New Roman" w:cs="Times New Roman" w:eastAsia="Times New Roman" w:hAnsi="Times New Roman"/>
          <w:sz w:val="18"/>
          <w:szCs w:val="18"/>
          <w:color w:val="auto"/>
        </w:rPr>
      </w:pPr>
    </w:p>
    <w:p>
      <w:pPr>
        <w:ind w:right="280" w:firstLine="8"/>
        <w:spacing w:after="0" w:line="255" w:lineRule="auto"/>
        <w:tabs>
          <w:tab w:leader="none" w:pos="3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facilitate infringement of other’s exclusive right to use trademarks, and assisting others in implementation of infringement of exclusive right to use trademarks; or (vii) other acts that have caused any other damage to another’s exclusive right to use a registered trademark.</w:t>
      </w:r>
    </w:p>
    <w:p>
      <w:pPr>
        <w:spacing w:after="0" w:line="1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According to the PRC Trademark Law, in the event of any of the foregoing acts, the infringing party will be ordered to stop the infringement immediately and may be imposed a fine; the counterfeit goods will be confiscated. The infringing party may also be held liable for the right holder’s damages, which will be equal to the losses suffered by the right holder as a result of the infringement, including reasonable expenses incurred by the right holder for stopping the infringement, or the gains obtained by the infringing party if the losses are difficult to be ascertained.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Domain Names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Domain names are protected under the Administrative Measures on the Internet Domain Names which were promulgated by the Ministry of Industry and Information Technology on August 24, 2017 and became effective on November 1, 2017, and its implementing rules. The Ministry of Industry and Information Technology is the major regulatory body responsible for the administration of the PRC internet domain names, under supervision of which the China Internet Network Information Center is responsible for the daily administration of.cn domain names and Chinese domain names. The China Internet Network Information Center adopts the “first-to-file” principle with respect to the registration of domain names. On November 27, 2017, the Ministry of Industry and Information Technology promulgated the Notice of the Ministry of Industry and Information Technology on Regulating the Use of Domain Names in Providing Internet-based Information Services, which became effective on January 1, 2018. Pursuant to the notice, the domain name used by an internet-based information service provider in providing internet-based information services must be registered and owned by such provider in accordance with the law. If the internet-based information service provider is an entity, the domain name registrant must be the entity (or any of the entity’s shareholders), or the entity’s principal or senior manager.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Foreign Currency Exchange and Dividend Distribution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Foreign Exchange</w:t>
      </w:r>
    </w:p>
    <w:p>
      <w:pPr>
        <w:spacing w:after="0" w:line="225"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which were promulgated by the State Council on January 29, 1996 and most recently amended on August 5, 2008. Under the Foreign Exchange Administration Regulations, payments of current account items, such as profit distributions and trade- and service-related foreign exchange transactions, may be made in foreign currencies without prior approval from SAFE, by complying with certain procedural requirements. By contrast, approval from or registration with appropriate government authorities or banks is required where RMB is to be converted into foreign currency and remitted out of China to pay capital expenses such as the repayment of foreign currency denominated loans or foreign currency is to be remitted into China under the capital account, such as a capital increase or foreign currency loans to our PRC subsidiaries.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March 30, 2015, SAFE promulgated the Circular on Reforming the Management Approach Regarding the Foreign Exchange Capital Settlement of Foreign-invested Enterprises, which came into effect as of June 1, 2015 and was partially amended on December 30, 2019 and March 23, 2023. This circular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converted from their foreign exchange capitals for expenditure beyond their business scopes.</w:t>
      </w:r>
    </w:p>
    <w:p>
      <w:pPr>
        <w:spacing w:after="0" w:line="18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On June 9, 2016, SAFE promulgated the Circular on Reforming and Regulating Policies on the Control over Foreign Exchange Settlement of Capital Accounts, which came into effect on the same date and was partially amended on December 4, 2023. Pursuant to this circular, foreign-invested enterprises (excluding financial institutions) may go through foreign exchange settlement formalities for their foreign debts at their discretion. Violations of such circulars of SAFE could result in severe monetary or other penalties.</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October 23, 2019, SAFE issued SAFE Circular 28, pursuant to which foreign-invested enterprises whose approved business scope does not include equity investments are allowed to use their capital funds obtained from foreign exchange settlement to make domestic equity investments in China, provided that such investments do not violate the Negative List and the target investment projects are genuine and in compliance with laws.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PBOC Notice No. 9, issued by the People’s Bank of China on January 12, 2017, provides that within a transition period of one year from January 12, 2017, the foreign-invested enterprises may adopt the current cross-border financing management mechanism or the mechanism as provided in PBOC Notice No. 9 at their own discretion. PBOC Notice No. 9 also provides that enterprises may conduct independent cross-border financing in RMB or foreign currencies in accordance with PBOC Notice No. 9. According to PBOC Notice No. 9, the outstanding cross-border financing of an enterprise should be calculated using a risk-weighted approach and should not exceed the specified upper limit, and as of the date hereof, the upper limit of risk-weighted outstanding cross-border financing of a PRC enterprise is 200% of its net assets. As of the date of this annual report, neither the People’s Bank of China nor SAFE has promulgated and made public any further rules, regulations, notices, or circulars in this regard. It is uncertain which mechanism will be adopted by the People’s Bank of China and SAFE in the future and what statutory limits will be imposed on us when providing loans to our PRC subsidiary.</w:t>
      </w:r>
    </w:p>
    <w:p>
      <w:pPr>
        <w:spacing w:after="0" w:line="19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November 2012, SAFE promulgated the Circular of Further Improving and Adjusting Foreign Exchange Administration Policies on Foreign Direct Investment, which was most recently amended in December 2019. Pursuant to this circular, the opening of various special purpose foreign exchange accounts, such as pre-establishment expenses accounts, foreign exchange capital accounts, and guarantee accounts, the reinvestment of RMB proceeds by foreign investors in China,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addition, SAFE promulgated the Circular on Printing and Distributing the Provisions on Foreign Exchange Administration over Domestic Direct Investment by Foreign Investors and the Supporting Documents in May 2013, which was further revised in 2018 and 2019, specifies that the administration by SAFE or its local branches over direct investment by foreign investors in China should be conducted by way of registration and banks should process foreign exchange business relating to the direct investment in China based on the registration information provided by SAFE and its branches.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January 26, 2017, SAFE promulgated the Circular on Further Improving Reform of Foreign Exchange Administration and Optimizing Genuineness and Compliance Verification, which came into effect on the same day. This circular sets out various measures to tighten genuineness and compliance verification of cross-border transactions and cross-border capital flow, which include without limitation requiring banks to verify board resolutions, tax filing form, and audited financial statements before wiring foreign-invested enterprises’ foreign exchange profit distribution above US$50,000, and strengthening genuineness and compliance verification of foreign direct investments.</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April 10, 2020, SAFE issued the Notice of SAFE on Optimizing Foreign Exchange Administration to Support the Development of Foreign-related Business. This circular provides that under the condition that the use of the funds is genuine and compliant with current administrative provisions on use of income relating to capital account, enterprises are allowed to use income under capital account such as capital funds, foreign debts and overseas listings for domestic payment, without submission to the bank prior to each transaction of materials evidencing the veracity of such payment.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Dividend Distribution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principal regulations governing distribution of dividends of the foreign-invested enterprises include the PRC Foreign Investment Law, the Implementing Regulation of the Foreign Investment Law, and the PRC Company Law which was issued on December 29, 1993 and most recently amended on December 29, 2023.</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Under these laws and regulations, WFOEs in China may pay dividends only out of their accumulated after-tax profits, if any, determined in accordance with PRC accounting standards and regulations. In addition, WFOEs in China are required to allocate at least 10% of their respective accumulated profits each year, if any, to fund certain reserve funds until these reserves have reached 50% of the registered capital of the enterprises. These reserves are not distributable as cash dividends.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Offshore Financing</w:t>
      </w:r>
    </w:p>
    <w:p>
      <w:pPr>
        <w:spacing w:after="0" w:line="22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SAFE promulgated SAFE Circular 37 on July 4, 2014. SAFE Circular 37 requires PRC residents to register with local branches of SAFE in connection with their direct or indirect offshore investment activities. Under SAFE Circular 37, (i) a “special purpose vehicle” refers to an offshore entity directly established or indirectly controlled by PRC residents for the purpose of seeking offshore equity financing or making offshore investment, using legitimate domestic or offshore assets or interests owned by such PRC residents;</w:t>
      </w:r>
    </w:p>
    <w:p>
      <w:pPr>
        <w:spacing w:after="0" w:line="3" w:lineRule="exact"/>
        <w:rPr>
          <w:sz w:val="20"/>
          <w:szCs w:val="20"/>
          <w:color w:val="auto"/>
        </w:rPr>
      </w:pPr>
    </w:p>
    <w:p>
      <w:pPr>
        <w:ind w:firstLine="8"/>
        <w:spacing w:after="0" w:line="251"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 trip investment” refers to the direct investment in China by such PRC residents through the special purpose vehicle, including, without limitation, establishing foreign-invested enterprises and using such foreign-invested enterprises to purchase or control onshore assets through contractual arrangements; and (iii) “control” is broadly defined as the operation rights, beneficiary rights or decision-making rights acquired by the PRC residents in the offshore special purpose vehicles or PRC companies by such means as acquisition, trust, proxy, voting rights, repurchase, convertible bonds, or other arrangements. SAFE Circular 37 requires PRC residents to complete a foreign exchange registration of overseas investment with the competent local branches of SAFE before making capital contribution into a special purpose vehicle. SAFE Circular 37 further requires the filing of amendment to the registration in the event of any changes with respect to the special purpose vehicle, including basic information changes such as changes in a PRC resident individual shareholder, name of special purpose vehicle, or operation period, and significant changes such as changes in the capital contributed by PRC residents, share transfer or exchange, merger, division, or other material events. On February 13, 2015, SAFE promulgated a Notice on Further Simplifying and Improving Foreign Exchange Administration Policy on Direct Investment, which became effective on June 1, 2015 and was amended on December 30, 2019. After this notice becomes effective, application for foreign exchange registration of inbound foreign direct investment and outbound overseas direct investment, including those required under SAFE Circular 37, will be filed with qualified banks instead of SAFE. The qualified banks will directly examine the applications and accept registrations under the supervision of SAFE. Beneficial owners of the special purpose vehicle who are PRC citizens are also required to make annual filing with the local banks regarding their overseas direct investment status. If any PRC resident shareholder of the special purpose vehicle fails to make the required registration or to update the previously filed registration, the PRC subsidiaries of the special purpose vehicle may be prohibited from distributing their profits or the proceeds from any capital reduction, share transfer, or liquidation to the special purpose vehicle, and the special purpose vehicle may also be prohibited from making additional capital contribution into its PRC subsidiaries.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Foreign Debt</w:t>
      </w:r>
    </w:p>
    <w:p>
      <w:pPr>
        <w:spacing w:after="0" w:line="22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January 5, 2023, the NDRC promulgated the Administrative Measures for Examination and Registration of Medium- and Long-term Foreign Debts of Enterprises, which came into effect on February 10, 2023. For the purpose of these measures, medium- and long-term foreign debts, or foreign debts, refer to debt instruments with a maturity of more than one year that are borrowed from overseas by enterprises within the territory of China and by overseas companies or branches controlled by them, denominated in Renminbi or a foreign currency, and with the principal repaid and interest accrued as agreed. According to these measures, before the borrowing of any foreign debts, enterprises must obtain from the NDRC the Certificate of Examination and Registration of Foreign Debts Borrowed by Enterprises and complete the formalities of examination and registration. The enterprises that have not completed such examination and registration formalities cannot borrow foreign debts. In addition, such enterprise must, within 10 business days after each borrowing of foreign debts, report the information on such borrowing of foreign debts to the NDRC.</w:t>
      </w:r>
    </w:p>
    <w:p>
      <w:pPr>
        <w:spacing w:after="0" w:line="18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Pursuant to these measures, the requirement of the examination and registration formalities also apply to the indirect borrowing of foreign debts overseas by PRC domestic enterprises. These measures also provide that if an enterprise, whose principal business activities are conducted in China, issues bonds or borrows commercial loans overseas in the name of an enterprise registered overseas, based on the equity, assets, earnings or other similar rights and interests of the PRC domestic enterprise, such conduct of the enterprise would be deemed as an indirect borrowing of foreign debts overseas by domestic enterprises. However, substantial uncertainties remain as to the implementation and interpretation of these measures.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December 4, 2023, SAFE promulgated the Circular on Further Deepening the Reform to Facilitate Cross-border Trade and Investment, pursuant to which the pilot policies for facilitating cross-border financing are extended nationwide. Qualified high and new technology enterprises, specialized and sophisticated enterprises that produce new and unique products and core technologies and technology-based small and medium-sized enterprises within 14 provinces can independently borrow foreign debts within the limit of the equivalent of US$10 million, The qualified enterprises within other provinces can borrow foreign debts within the limit of the equivalent of US$5 million.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Stock Incentive Plans</w:t>
      </w:r>
    </w:p>
    <w:p>
      <w:pPr>
        <w:spacing w:after="0" w:line="225"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Pursuant to the Administrative Measures for Individual Foreign Exchange, which were promulgated by the People’s Bank of China on December 25, 2006 and became effective on February 1, 2007, all foreign exchange matters involved in employee share ownership plans and share option plans in which PRC citizens participate require approval from SAFE or its authorized branch. On January 5, 2007, SAFE issued the Detailed Rules on the Implementation of the Administrative Measures for Individual Foreign Exchange, which came into effect on February 1, 2007 and were last amended on March 23, 2023. Such detailed rules, among other things, specify the approval requirements for certain capital account transactions such as a PRC citizen’s participation in the employee stock ownership plans or stock option plans of an overseas publicly-listed company. Pursuant to SAFE Circular 37, PRC residents who participate in share incentive plans in overseas non-publicly-listed companies may submit applications to SAFE or its local branches for the foreign exchange registration with respect to offshore special purpose companies. Pursuant to the Notice on Issues Concerning the Foreign Exchange Administration for Domestic Individuals Participating in Stock Incentive Plan of Overseas Publicly Listed Company, which was promulgated by SAFE on February 15, 2012, PRC residents or non-PRC citizens residing in China for a consecutive period of no less than one year, subject to a few exceptions, who are granted shares or stock options by companies listed on overseas stock exchanges based on the stock incentive plans are required to register with SAFE or its local branches. Pursuant to this notice, PRC residents participating in the stock incentive plans of overseas-listed companies must retain a qualified PRC agent, which could be a PRC subsidiary of such overseas publicly-listed company or another qualified institution selected by such PRC subsidiary, to conduct registration with SAFE and other procedures with respect to the stock incentive plans on behalf of these participants. Such participants must also retain an overseas entrusted institution to handle matters in connection with their exercise of stock options, purchase and sale of corresponding stocks or interests, and fund transfer. In addition, the PRC agents are required to amend the registration with SAFE with respect to the stock incentive plan if there is any material change to the stock incentive plan, the PRC agents, or the overseas entrusted institution, or other material changes. The PRC agents should, on behalf of these individuals who have the right to exercise the employee share options, apply to SAFE or its local branches for an annual quota for the payment of foreign currencies in connection with such individuals’ exercise of the employee share options. The foreign exchange proceeds received by such individuals from the sale of shares under the stock incentive plans granted and dividends distributed by the overseas-listed companies must be remitted into the bank accounts in China opened by the PRC agents before distribution to such individuals.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Under the Circular of the State Taxation Administration on Issues Concerning Individual Income Tax in Relation to Equity Incentives promulgated and became effective on August 24, 2009 and amended on April 18, 2011 by the State Taxation Administration, listed companies and their domestic organizations will, according to the individual income tax calculation methods for “wage and salary income” and stock option income, lawfully withhold and pay individual income tax on such income.</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Tax</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Enterprise Income Tax</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PRC enterprise income tax is calculated based on the taxable income determined under the Enterprise Income Tax Law, which became effective on January 1, 2008 and was most recently amended on December 29, 2018. The Enterprise Income Tax Law imposes a uniform enterprise income tax rate of 25% on all PRC resident enterprises, including foreign-invested enterprises. The Enterprise Income Tax Law and its implementation rules permit “high and new technology enterprises” to benefit from a preferential enterprise income tax rate of 15% subject to these high and new technology enterprises meeting certain qualification criteria.</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Moreover, under the Enterprise Income Tax Law, enterprises organized under the laws of jurisdictions outside China with their “de facto management bodies” located within China may be considered PRC resident enterprises and are therefore subject to PRC enterprise income tax at the rate of 25% on their worldwide income. Though the implementation rules of the Enterprise Income Tax Law define “de facto management bodies” as “establishments that carry out substantial and overall management and control over the manufacturing and business operations, personnel, accounting, and properties, among others, of an enterprise,” the only detailed guidance currently available for the definition of “de facto management body” as well as the determination of offshore incorporated PRC tax resident status and its administration are set forth in STA Circular 82 and STA Bulletin 45, both issued by the State Taxation Administration, which provide guidance on the administration as well as determination of the tax residency status of a Chinese-controlled offshore-incorporated enterprise, defined as an enterprise that is incorporated under the law of a foreign country or territory and that has a PRC company or PRC corporate group as its primary controlling shareholder.</w:t>
      </w:r>
    </w:p>
    <w:p>
      <w:pPr>
        <w:spacing w:after="0" w:line="19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According to STA Circular 82, a Chinese-controlled offshore-incorporated enterprise will be regarded as a PRC tax resident by virtue of having its “de facto management body” in China and will be subject to PRC enterprise income tax on its global income only if all of the following conditions set forth in STA Circular 82 are met: (i) the primary location of the day-to-day operational management and the places where they perform their duties are in China; (ii) decisions relating to the enterprise’s financial and human resource matters are made or are subject to approval of organizations or personnel in China; (iii) the enterprise’s primary assets, accounting books and records, company seals, and board and shareholder resolutions are located or maintained in China; and (iv) 50% or more of voting board members or senior executives habitually reside in China. In addition, STA Bulletin 45 provides clarification on the resident status determination, post-determination administration, and competent tax authorities. It also specifies that when provided with a copy of a PRC resident determination certificate from a resident Chinese-controlled offshore-incorporated enterprise, the payer should not withhold 10% income tax when paying certain PRC-sourced income such as dividends, interest, and royalties to the Chinese-controlled offshore-incorporated enterprise.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Dividend Withholding Tax</w:t>
      </w:r>
    </w:p>
    <w:p>
      <w:pPr>
        <w:spacing w:after="0" w:line="225"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8"/>
          <w:szCs w:val="18"/>
          <w:color w:val="auto"/>
        </w:rPr>
        <w:t>The Enterprise Income Tax Law and the implementation rules provide that an income tax rate of 10% will normally be applicable to dividends payable to investors that are “non-PRC resident enterprises,” and gains derived by such investors, which (i) do not have an establishment or place of business in China or (ii) have an establishment or place of business in China, but the income is not effectively connected with the establishment or place of business to the extent such dividends and gains are derived from sources within China. The State Council or a tax treaty between China and the jurisdictions in which the non-PRC investors reside may reduce such income tax. Pursuant to an Arrangement Between the Mainland China and the Hong Kong Special Administrative Region for the Avoidance of Double Taxation and the Prevention of Fiscal Evasion with respect to Taxes on Income and other applicable PRC laws, if a Hong Kong resident enterprise is determined by the competent PRC tax authority to have satisfied the conditions and requirements, the 10% withholding tax on the dividends the Hong Kong resident enterprise receives from a PRC resident enterprise may be reduced to 5%. However, based on the Notice on Certain Issues with Respect to the Enforcement of Dividend Provisions in Tax Treaties issued by the State Taxation Administration on February 20, 2009, if the PRC tax authorities determine, in their discretion, that a company benefits from such reduced income tax rate due to a structure or arrangement that is primarily tax-driven, such PRC tax authorities may adjust the preferential tax treatment. Based on the Circular on Issues concerning the “Beneficial Owner” in Tax Treaties issued by the State Taxation Administration on February 3, 2018, which became effective on April 1, 2018, a comprehensive analysis should be conducted based on the factors set out in the present article and in combination with the actual conditions of specific cases, and certain factors which will negatively affect the determination of an applicant’s status as a “beneficial owner” are provided, such as the business activities engaged in by the applicant do not constitute substantive business activities. On October 14, 2019, the State Taxation Administration promulgated the Administrative Measures for Non-resident Taxpayers to Enjoy Treatment under Treaties, which became effective on January 1, 2020. These administrative measures provide that non-PRC resident enterprises are not required to obtain pre-approval from the tax authorities in order to enjoy the reduced withholding tax. Instead, non-PRC resident enterprises and their withholding agents may, by self-assessment and on confirmation that the prescribed criteria to enjoy the tax treaty benefits are met, directly apply the reduced withholding tax rate, and include necessary forms and supporting documents in the tax filings, which will be subject to post-tax filing examinations by the tax authorities.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Indirect Transfer of Properties</w:t>
      </w:r>
    </w:p>
    <w:p>
      <w:pPr>
        <w:spacing w:after="0" w:line="22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February 3, 2015, the State Taxation Administration issued STA Public Notice 7. In December 2017, Article 13 and Paragraph 2 of Article 8 of STA Public Notice 7 were abolished by Decision of the State Taxation Administration on Issuing the Lists of Invalid and Abolished Tax Departmental Rules and Taxation Normative Documents effective on December 29, 2017 and the Circular on Issues concerning Withholding of Enterprise Income Tax for Non-PRC Resident Enterprises, or STA Circular 37, effective 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1,2017, which was amended on June 15, 2018, respectively. By promulgating and implementing these notices, the PRC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authorities have enhanced their scrutiny over the direct or indirect transfer of equity interests in a PRC resident enterprise by a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PRC resident enterprise. Pursuant to STA Public Notice 7, as amended, in the event that a non-PRC resident enterprise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equities and other properties of a PRC resident enterprise to evade its obligation of paying enterprise income tax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implementing arrangements that are not for reasonable commercial purpose, such indirect transfer should be re-identified and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direct transfer of equities and other properties of the PRC resident enterprise. STA Public Notice 7, as amended, provides clear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for assessment of reasonable commercial purposes and has introduced safe harbors for internal group restructurings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and sale of equity through a public securities market. STA Public Notice 7 also brings challenges to both offshore transferor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(or another person who is obligated to pay for the transfer) of taxable assets. Where a non-PRC resident enterprise transfers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assets indirectly by disposing of the equity interests of an offshore holding company, which is an indirect transfer, the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PRC resident enterprise as either transferor or transferee, or the PRC entity that directly owns the taxable assets, may report such indirect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to the tax authority. Using a “substance-over-form” principle, the PRC tax authority may disregard the existence of the offshore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 company if it lacks a reasonable commercial purpose and was established for the purpose of reducing, avoiding, or deferring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PRC tax. As a result, gains derived from such indirect transfer may be subject to enterprise income tax, and the transferee or another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who is obligated to pay for the transfer is obligated to withhold the applicable taxes, currently at a rate of 10% for the transfer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in a PRC resident enterprise. Both the transferor and the transferee may be subject to penalties under PRC tax laws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fails to withhold the taxes and the transferor fails to pay the taxes.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Issues concerning the withholding of enterprise income tax of the China-sourced income, which refers to income obtained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within China by non-PRC resident enterprises that (a) do not have an establishment or place of business in China or (b) have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establishment or place of business in China, but the income is not effectively connected with the establishment or place of business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China, should be subject to STA Circular 37. China-sourced income includes income from equity investment such as dividend and bonus,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interest, rental and royalties, income from the property transfer, and other income. Pursuant to STA Circular 37,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PRC resident enterprises must pay enterprise income tax in relation to their China-sourced income, and the entities which have the 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make certain payments to a non-PRC resident enterprise should be the tax withholders for such non-PRC 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The tax withholders must, within seven days of the day on which the withholding obligation occurs, which is the day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payment is made in fact or becomes due, declare and remit the withholding tax to the competent tax authority. When declaring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remitting the withholding tax payable, the tax withholders must complete the Withholding Statement of China for Enterprise Income Tax.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the tax withholder fails to withhold and remit the taxable enterprise income tax for a non-PRC resident enterprise, or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unable to perform its obligation mentioned above, the non-PRC resident enterprise must declare and pay the enterprise income tax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competent tax authority, and complete the Withholding Statement of China for Enterprise Income Tax.</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Value-added Tax</w:t>
      </w:r>
    </w:p>
    <w:p>
      <w:pPr>
        <w:spacing w:after="0" w:line="22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All taxpayers selling goods, services, intangible assets, real property or importing goods in China must pay a value-added tax in accordance with the Value-added Tax Law, which was promulgated by the Standing Committee of the National People’s Congress on December 25, 2024 and became effective on January 1, 2026. The Value-added Tax Law replaces the Provisional Regulations on Value-added Tax, which were issued by the State Council in December 1993 and last amended on November 19, 2017, and provides that VAT rates generally applicable are simplified as 13%, 9% and 6%, and the VAT rate for simplified tax calculation method is 3%. The rate of value-added tax applicable to our PRC subsidiaries and the variable interest entities generally varies up to 13% depending on the product type.</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Regulations Relating to Employment Laws</w:t>
      </w:r>
    </w:p>
    <w:p>
      <w:pPr>
        <w:spacing w:after="0" w:line="22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PRC Labor Law, which became effective on January 1, 1995, and was amended on August 27, 2009 and December 29, 2018, and the PRC Labor Contract Law, which became effective on January 1, 2008 and was amended on December 28, 2012, provide requirements concerning employment contracts between an employer and its employees. Pursuant to the Labor Contract Law, a written labor contract is required when an employment relationship is established between an employer and an employee. An employer is obligated to sign a labor contract with an employee with an indefinite term if the employer continues to employ the employee after two consecutive fixed-term labor contracts. The Labor Contract Law and its implementation rules also require compensation to be paid upon certain terminations. Other labor-related regulations and rules of China stipulate the maximum number of working hours per day and per week as well as the minimum wages. An employer is required to set up occupational safety and sanitation systems, implement the national occupational safety and sanitation rules and standards, educate employees on occupational safety and sanitation, prevent accidents at work, and reduce occupational hazards.</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October 28, 2010, the Standing Committee of the National People’s Congress promulgated the PRC Social Insurance Law, which became effective on July 1, 2011 and was amended on December 29, 2018. In accordance with the PRC Social Insurance Law and other laws and regulations, China establishes a social insurance system including basic pension insurance, basic medical insurance, work-related injury insurance, unemployment insurance, and maternity insurance. An employer must pay the social insurance for its employees in accordance with the rates provided under the regulations and must withhold the social insurance that should be assumed by the employees. The authorities in charge of social insurance may request an employer’s compliance and impose sanctions if such employer fails to pay and withhold social insurance in a timely manner. On July 31, 2025, the PRC Supreme People’s Court promulgated the Supreme People’s Court’s Interpretation (II) on Issues Concerning the Application of Law in the Trial of Labor Dispute Cases, which came into effect on September 1, 2025. Article 19(1) thereof stipulates that if an employer and an employee agree or the employee undertakes that there is no need to pay social insurance contributions, the People’s Court shall determine that such agreement or undertaking is invalid. Furthermore, where an employer fails to pay social insurance contributions in accordance with the law, and the employee seeks to terminate the labor contract and claims economic compensation from the employer pursuant to Article 38(3) of the PRC Labor Contract Law, the People’s Court shall support such claims in accordance with the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the Regulations on the Administration of Housing Fund, which were promulgated on April 3, 1999, and were most recently amended on March 24, 2019, PRC companies must register with applicable housing fund management centers and establish a special housing fund account in an entrusted bank. Both PRC companies and their employees are required to contribute to the housing funds. An enterprise that fails to make housing fund contributions may be ordered to rectify the non-compliance and pay the required contributions within a stipulated deadline; otherwise, an application may be made to a local court for compulsory enforcement.</w:t>
      </w:r>
    </w:p>
    <w:p>
      <w:pPr>
        <w:spacing w:after="0" w:line="183"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Pursuant to the PRC Labor Law and Interim Provisions on Labor Dispatch, which were promulgated by the Ministry of Human Resources and Social Security on January 24, 2014 and became effective on March 1, 2014, labor dispatch employment is a supplemental form which can only be adopted for temporary, auxiliary, or alternative job positions. Temporary positions are positions subsisting for no more than six months; auxiliary positions are positions of non-major business serving for major businesses; and alternative positions are positions that can be held by dispatched laborers for a certain period of time during which the formal laborers are temporarily out of their positions for reasons. An employer is required to strictly control the number of dispatched laborers, which should not exceed 10% of the total number of its labor force.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and the principal consolidated variable interest entity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231890" cy="39090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3189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340" w:hanging="332"/>
        <w:spacing w:after="0" w:line="28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primarily engaged in warehousing, logistics, product procurement, research and development, technology development and consulting businesses.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primarily engaged in product procurement business.</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8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Vipshop E-Commerce is a consolidated variable interest entity that primarily engages in e-commerce platform operation. Shareholders of Vipshop E-Commerce include Eric Ya Shen, our chairman of the board of directors and chief executive officer, and Chan Huang, our employee, holding 66.7% and 33.3% of the total equity interests in Vipshop E-Commerce, respectively.</w:t>
      </w:r>
    </w:p>
    <w:p>
      <w:pPr>
        <w:spacing w:after="0" w:line="13"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Vipshop Information is a consolidated variable interest entity that primarily engages in finance service-related business, which represents a nominal portion of our business. Shareholders of Vipshop Information include Eric Ya Shen and Chan Huang, holding 99.2% and 0.8% of the total equity interests in Vipshop Information, respectively.</w:t>
      </w:r>
    </w:p>
    <w:p>
      <w:pPr>
        <w:spacing w:after="0" w:line="13"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 Jun Tong is a consolidated variable interest entity with no substantive business. Shareholders of Pin Jun Tong include our co-founders and shareholders Eric Ya Shen and Arthur Xiaobo Hong, holding 65% and 35% of the total equity interests in Pin Jun Tong, respectively.</w:t>
      </w:r>
    </w:p>
    <w:p>
      <w:pPr>
        <w:spacing w:after="0" w:line="1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primarily engaged in retail businesses and warehousing services.</w:t>
      </w:r>
    </w:p>
    <w:p>
      <w:pPr>
        <w:spacing w:after="0" w:line="63"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primarily engaged in software development and information technology (including consulting, research, support) services.</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Foreign ownership of internet-based businesses is subject to significant restrictions under current PRC laws and regulations. The PRC government regulates internet access, the distribution of online information, and the conduct of online commerce through strict business licensing requirements and other government regulations. We are a Cayman Islands company and our PRC subsidiaries, including Vipshop China and its subsidiaries, are WFOEs. As a WFOE, Vipshop China is restricted from holding the licenses that are necessary for our online operation in China. To comply with these restrictions, our online retail channels are operated by the consolidated variable interest entities in China. Vipshop E-Commerce currently holds the primary licenses necessary to conduct our internet-related operations in China.</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PRC subsidiaries have entered into three sets of contractual arrangements with the consolidated variable interest entities and their respective shareholders. The one primary set of contractual arrangement that we currently rely on to conduct our main business is entered into by Vipshop China, Vipshop E-Commerce, and shareholders of Vipshop E-Commerce.</w:t>
      </w:r>
    </w:p>
    <w:p>
      <w:pPr>
        <w:spacing w:after="0" w:line="17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other two sets of contractual arrangements include: (i) one set entered into by Vipshop China, Vipshop Information, and shareholders of Vipshop Information; and (ii) one set entered into by Vipshop China, Pin Jun Tong, and shareholders of Pin Jun Tong. The contractual arrangements enable us to:</w:t>
      </w:r>
    </w:p>
    <w:p>
      <w:pPr>
        <w:spacing w:after="0" w:line="176" w:lineRule="exact"/>
        <w:rPr>
          <w:sz w:val="20"/>
          <w:szCs w:val="20"/>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management decisions of the consolidated variable interest entities;</w:t>
      </w:r>
    </w:p>
    <w:p>
      <w:pPr>
        <w:spacing w:after="0" w:line="225" w:lineRule="exact"/>
        <w:rPr>
          <w:rFonts w:ascii="Times New Roman" w:cs="Times New Roman" w:eastAsia="Times New Roman" w:hAnsi="Times New Roman"/>
          <w:sz w:val="18"/>
          <w:szCs w:val="18"/>
          <w:color w:val="auto"/>
        </w:rPr>
      </w:pPr>
    </w:p>
    <w:p>
      <w:pPr>
        <w:ind w:left="680" w:right="240" w:hanging="321"/>
        <w:spacing w:after="0" w:line="26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the consolidated variable interest entities through service fees, which are equal to 100% of the consolidated variable interest entities’ net income and may be adjusted at our PRC subsidiaries’ sole discretion, in consideration for the technical and consulting services provided by our PRC subsidiaries; and</w:t>
      </w:r>
    </w:p>
    <w:p>
      <w:pPr>
        <w:spacing w:after="0" w:line="175" w:lineRule="exact"/>
        <w:rPr>
          <w:rFonts w:ascii="Times New Roman" w:cs="Times New Roman" w:eastAsia="Times New Roman" w:hAnsi="Times New Roman"/>
          <w:sz w:val="18"/>
          <w:szCs w:val="18"/>
          <w:color w:val="auto"/>
        </w:rPr>
      </w:pPr>
    </w:p>
    <w:p>
      <w:pPr>
        <w:ind w:left="680" w:right="78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or designate one or more person(s) to purchase, all of the equity interests in the consolidated variable interest entities to the extent permitted under PRC laws, regulations and legal procedures.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do not have any equity interest in the consolidated variable interest entities. However, as a result of contractual arrangements, we are considered the primary beneficiary of the consolidated variable interest entities, and we treat them as the consolidated variable interest entities under U.S. GAAP. We have consolidated the financial results of the consolidated variable interest entities in our consolidated financial statements included in this annual report in accordance with U.S. GAAP.</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face risks with respect to the contractual arrangements with the consolidated variable interest entities and their shareholders. If the consolidated variable interest entities or their shareholders fail to perform their obligations under the contractual arrangements, our ability to enforce the contractual arrangements may be limited. If we are unable to maintain the contractual arrangements with the consolidated variable interest entities, we would not be able to continue to consolidate their financial results. The revenues generated by our directly owned subsidiaries, apart from revenues earned in respect of the contractual arrangements with the consolidated variable interest entities, are primarily derived from our product promotion activities for brands. In the years ended December 31, 2023, 2024 and 2025, our subsidiaries contributed in aggregate approximately 99.7%, 99.7% and 99.7%, respectively, of our total consolidated net revenues, excluding revenues derived from the consolidated variable interest entities. As of December 31, 2023, 2024 and 2025, our holding company and our subsidiaries accounted for an aggregate of 89.7%, 91.3% and 92.8%, respectively, of our consolidated total assets (excluding assets attributable to transactions with the consolidated variable interest entities). For a detailed description of the regulatory environment that necessitates the adoption of our corporate structure, see “Item 4. Information on the Company—B. Business Overview—Regulation.” For a detailed description of the risks associated with our corporate structure, see “Item 3. Key Information— D. Risk Factors—Risks Relating to Our Corporate Structure.”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Relating to the Consolidated Variable Interest Entities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agreements for our three sets of contractual arrangements, each among our applicable WFOE, the applicable consolidated variable interest entity, and the shareholders of the applicable consolidated variable interest entity.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annual report, the equity holding structures of each of the consolidated variable interest entities are as follows:</w:t>
      </w:r>
    </w:p>
    <w:p>
      <w:pPr>
        <w:spacing w:after="0" w:line="225" w:lineRule="exact"/>
        <w:rPr>
          <w:sz w:val="20"/>
          <w:szCs w:val="20"/>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Ya Shen and Chan Huang hold 66.7% and 33.3% of Vipshop E-Commerce, respectively;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Ya Shen and Chan Huang hold 99.2% and 0.8% of Vipshop Information, respectively;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Ya Shen and Arthur Xiaobo Hong hold 65% and 35% of Pin Jun Tong, respectively.</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u w:val="single" w:color="auto"/>
          <w:color w:val="auto"/>
        </w:rPr>
        <w:t>Equity Interest Pledge Agreements</w:t>
      </w:r>
      <w:r>
        <w:rPr>
          <w:rFonts w:ascii="Times New Roman" w:cs="Times New Roman" w:eastAsia="Times New Roman" w:hAnsi="Times New Roman"/>
          <w:sz w:val="18"/>
          <w:szCs w:val="18"/>
          <w:color w:val="auto"/>
        </w:rPr>
        <w:t>. Under each equity interest pledge agreement among our applicable WFOE, the applicable consolidated variable interest entity, and the shareholders of the applicable consolidated variable interest entity, the shareholders of the applicable consolidated variable interest entity pledge all of their equity interests in the applicable consolidated variable interest entity to the applicable WFOE to guarantee the applicable consolidated variable interest entity’s and its shareholders’ performance of the obligations under the exclusive business cooperation agreement, exclusive option agreement, and loan agreement. If any stipulated event of default occurs, including the failure by the applicable consolidated variable interest entity or its shareholders to perform the contractual obligations under the exclusive business cooperation agreement, exclusive option agreement, or loan agreement, the applicable WFOE, as pledgee, will be entitled to certain rights, including the right to dispose of the pledged equity interests. Without the applicable WFOE’s prior written consent, shareholders of the applicable consolidated variable interest entity cannot transfer or otherwise dispose of, or create or allow the creation of, any encumbrance on the pledged equity interests. The equity interest pledge agreement will remain in full force and effect until all of the obligations of the applicable consolidated variable interest entity and its shareholders under the exclusive business cooperation agreement, exclusive option agreement, and loan agreement have been duly performed or terminated. We have completed registering the pledge of the equity interests in the consolidated variable interest entities with the local branches of the SAMR.</w:t>
      </w:r>
    </w:p>
    <w:p>
      <w:pPr>
        <w:spacing w:after="0" w:line="19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u w:val="single" w:color="auto"/>
          <w:color w:val="auto"/>
        </w:rPr>
        <w:t>Exclusive Option Agreements</w:t>
      </w:r>
      <w:r>
        <w:rPr>
          <w:rFonts w:ascii="Times New Roman" w:cs="Times New Roman" w:eastAsia="Times New Roman" w:hAnsi="Times New Roman"/>
          <w:sz w:val="18"/>
          <w:szCs w:val="18"/>
          <w:color w:val="auto"/>
        </w:rPr>
        <w:t>. Under each exclusive option agreement among our applicable WFOE, the applicable consolidated variable interest entity, and the shareholders of the applicable consolidated variable interest entity, the shareholders of the applicable consolidated variable interest entity grant the applicable WFOE an exclusive option to purchase, or designate one or more person(s) to purchase, all or part of their respective equity interests in the applicable consolidated variable interest entity at a purchase price equal to the higher of: (i) the amount of registered capital actually contributed by the shareholders; or (ii) a minimum price permitted by applicable PRC laws. The applicable WFOE may exercise the option by issuing a written notice to the shareholders of the applicable consolidated variable interest entity. Without the applicable WFOE’s written consent, the applicable consolidated variable interest entity and its shareholders may not transfer, sell, pledge, or otherwise dispose of, or create any encumbrance on, any assets, business, or equity or beneficiary interests of the applicable consolidated variable interest entity. This agreement will remain in full force and effect for a term of ten years from the date of execution, and may be extended for a period to be determined by the applicable WFOE.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u w:val="single" w:color="auto"/>
          <w:color w:val="auto"/>
        </w:rPr>
        <w:t>Powers of Attorney</w:t>
      </w:r>
      <w:r>
        <w:rPr>
          <w:rFonts w:ascii="Times New Roman" w:cs="Times New Roman" w:eastAsia="Times New Roman" w:hAnsi="Times New Roman"/>
          <w:sz w:val="17"/>
          <w:szCs w:val="17"/>
          <w:color w:val="auto"/>
        </w:rPr>
        <w:t>. Each shareholder of the consolidated variable interest entity has signed an irrevocable power of attorney. Under the powers of attorney, each shareholder of the consolidated variable interest entity has irrevocably appointed the applicable WFOE as his attorney-in-fact to act on his behalf and exercise all of his rights as a shareholder of the applicable consolidated variable interest entity, including the right to attend shareholder meetings, to exercise voting rights, to appoint directors and senior management of the applicable consolidated variable interest entity, and to effect transfers of all or part of his equity interests in the applicable consolidated variable interest entity pursuant to the equity interest pledge agreements and the exclusive option agreements. The applicable WFOE has the right to appoint any individual or entity to exercise the power of attorney on its behalf. Each power of attorney will remain in full force and effect until the shareholder ceases to hold any equity interests in the applicable consolidated variable interest entity.</w:t>
      </w:r>
    </w:p>
    <w:p>
      <w:pPr>
        <w:spacing w:after="0" w:line="17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u w:val="single" w:color="auto"/>
          <w:color w:val="auto"/>
        </w:rPr>
        <w:t>Exclusive Business Cooperation Agreements</w:t>
      </w:r>
      <w:r>
        <w:rPr>
          <w:rFonts w:ascii="Times New Roman" w:cs="Times New Roman" w:eastAsia="Times New Roman" w:hAnsi="Times New Roman"/>
          <w:sz w:val="18"/>
          <w:szCs w:val="18"/>
          <w:color w:val="auto"/>
        </w:rPr>
        <w:t>. Under each exclusive business cooperation agreement between the applicable WFOE and the applicable consolidated variable interest entity, the applicable consolidated variable interest entity agrees to engage the applicable WFOE as its exclusive provider of technical, consulting, and other services in relation to its business operations. In consideration of such services, the applicable consolidated variable interest entity will pay to the applicable WFOE service fees that amount to all of the applicable consolidated variable interest entity’s net income. The service fees may be adjusted at the applicable WFOE’s sole discretion based on the services rendered and the operational needs of the applicable consolidated variable interest entity. The applicable WFOE will exclusively own any intellectual property arising from the performance of the exclusive business cooperation agreement. The term of this agreement is ten years from the date of execution, and may be extended for a period to be determined by the applicable WFOE. The applicable WFOE may terminate this agreement at any time by giving 30 days’ prior written notice. Generally, the applicable consolidated variable interest entity has no right to terminate this agreement unless the applicable WFOE commits gross negligence or fraud.</w:t>
      </w:r>
    </w:p>
    <w:p>
      <w:pPr>
        <w:spacing w:after="0" w:line="19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u w:val="single" w:color="auto"/>
          <w:color w:val="auto"/>
        </w:rPr>
        <w:t>Loan Agreements</w:t>
      </w:r>
      <w:r>
        <w:rPr>
          <w:rFonts w:ascii="Times New Roman" w:cs="Times New Roman" w:eastAsia="Times New Roman" w:hAnsi="Times New Roman"/>
          <w:sz w:val="18"/>
          <w:szCs w:val="18"/>
          <w:color w:val="auto"/>
        </w:rPr>
        <w:t>. Under each loan agreement between the applicable WFOE and the shareholders of the applicable consolidated variable interest entity, the applicable WFOE provided loans to the shareholders of the applicable consolidated variable interest entity solely for the purpose of contribution or increase of registered capital or working capital of the applicable consolidated variable interest entity. The applicable WFOE has the sole discretion to determine the method of repayment, including requiring the shareholders of the applicable consolidated variable interest entity to transfer their equity interests in the applicable consolidated variable interest entity to the applicable WFOE or its designated person.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opinion of Han Kun Law Offices, our PRC legal counsel:</w:t>
      </w:r>
    </w:p>
    <w:p>
      <w:pPr>
        <w:spacing w:after="0" w:line="171" w:lineRule="exact"/>
        <w:rPr>
          <w:sz w:val="20"/>
          <w:szCs w:val="20"/>
          <w:color w:val="auto"/>
        </w:rPr>
      </w:pPr>
    </w:p>
    <w:p>
      <w:pPr>
        <w:ind w:left="680" w:right="560" w:hanging="321"/>
        <w:spacing w:after="0" w:line="266"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annual report, the current ownership structure of our company, Vipshop China and the consolidated variable interest entities in China, as described in this annual report, is not in violation of any applicable PRC laws and regulations currently in effect;</w:t>
      </w:r>
    </w:p>
    <w:p>
      <w:pPr>
        <w:spacing w:after="0" w:line="121"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annual report, the agreements underlying the contractual arrangements among our PRC subsidiaries, the consolidated variable interest entities and their respective shareholders that are governed by PRC laws and regulations are validly executed and binding in accordance with their terms, and are not in any violation of applicable PRC laws or regulations currently in effect or the respective articles of association of the corporate parties to the agreements as currently in effect; and</w:t>
      </w:r>
    </w:p>
    <w:p>
      <w:pPr>
        <w:spacing w:after="0" w:line="125" w:lineRule="exact"/>
        <w:rPr>
          <w:rFonts w:ascii="Times New Roman" w:cs="Times New Roman" w:eastAsia="Times New Roman" w:hAnsi="Times New Roman"/>
          <w:sz w:val="18"/>
          <w:szCs w:val="18"/>
          <w:color w:val="auto"/>
        </w:rPr>
      </w:pPr>
    </w:p>
    <w:p>
      <w:pPr>
        <w:ind w:left="680" w:right="60" w:hanging="321"/>
        <w:spacing w:after="0" w:line="255"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annual report, each of our PRC subsidiaries and the consolidated variable interest entities, as described in this annual report, (i) has all necessary corporate power and authority to conduct its business as described in its business scope under its business license; (ii) has its business license in full force and effect; and (iii) is capable of suing and being sued and may be the subject of any legal proceedings in PRC courts. To the best of Han Kun Law Offices’ knowledge after due inquires, none of our PRC subsidiaries, the consolidated variable interest entities, as described in this annual report, or their respective assets is entitled to any immunity, on the grounds of sovereignty, from any action, suit or other legal proceedings; or from enforcement, execution or attachment.</w:t>
      </w:r>
    </w:p>
    <w:p>
      <w:pPr>
        <w:spacing w:after="0" w:line="13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had not encountered any interference or encumbrance from any PRC governing bodies in operating our businesses through the variable interest entities through the contractual arrangement.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Nevertheless, we face risks with respect to the contractual arrangements with the consolidated variable interest entities and their shareholders. If the variable interest entities or their shareholders fail to perform their obligations under the contractual arrangements, our ability to enforce the contractual arrangements with respect to the variable interest entities and their subsidiaries may be limited. In that case, we would not be able to continue to consolidate their financial results. See “Item 3. Key Information—D. Risk Factors—Risks Relating to Our Corporate Structure.”</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been advised by our PRC legal counsel, however, that there are uncertainties regarding the interpretation and application of current and future PRC laws, regulations, and rules. Accordingly, there can be no assurance that the PRC regulatory authorities will not in the future take a view that is contrary to the above opinion of our PRC legal counsel. It is uncertain whether any new PRC laws relating to contractual arrangements will be adopted, or if adopted, what the laws would provide. If we or the variable interest entities are found to be in violation of existing or future PRC laws and regulations, or fail to obtain or maintain any of the required permits or approvals, the relevant PRC regulatory authority would have discretion to take action in dealing with the violation or failure, in which case we could be subject to severe penalties, including being prohibited from continuing our operations or unwinding the contractual arrangements. See “Item 3. Key Information—D. Risk Factors—Risks Relating to Our Corporate Structure—The interpretation and application of PRC laws and regulations relating to online commerce and provision of internet content may pose effects on us. If the PRC government finds that the structure we have adopted for our business operations does not comply with PRC laws and regulations, we could be subject to severe penalties, including shut-down of our online retail channels” and “Item 3. Key Information—D. Risk Factors —Risks Relating to Doing Business in the Jurisdiction Where We Primarily Operate—The PRC legal system is developing, and failure to respond to such development could affect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headquartered in Guangzhou. The properties and facilities we owned or we leased as of December 31, 2025 had an aggregate of approximately 6.4 million square meters, among which the owned properties and facilities accounted for over 90% of the total aggregate square meters. Our owned properties were primarily used for the operation of our logistics network, retail operation of Shan Shan Outlets and our office space. As of December 31, 2025, we leased retail property, office space and warehouses with an aggregate gross floor area of over 0.3 million square meters. We believe that our existing facilities are sufficient for our near-term needs.</w:t>
      </w:r>
    </w:p>
    <w:p>
      <w:pPr>
        <w:spacing w:after="0" w:line="17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4B.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consolidated financial statements and the related notes included elsewhere in this annual report on Form 20-F.</w:t>
      </w:r>
    </w:p>
    <w:p>
      <w:pPr>
        <w:spacing w:after="0" w:line="162"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a leading off-price retailer, we offer a broad spectrum of high-quality branded products at deep discounts through diverse online and offline channels. We primarily generate revenue through direct product sales across our retail channels, representing over 90% of our total net revenues in 2023, 2024 and 2025. In our off-price retailer operations, we source products from brand partners and sell them directly to customers. Additionally, our substantial business scale enables us to generate additional revenues from our brand partners and customers by offering a range of value-added services, primarily including promotion and advertising services, outlet rental and management, and SVIP membership program.</w:t>
      </w:r>
    </w:p>
    <w:p>
      <w:pPr>
        <w:spacing w:after="0" w:line="187" w:lineRule="exact"/>
        <w:rPr>
          <w:sz w:val="20"/>
          <w:szCs w:val="20"/>
          <w:color w:val="auto"/>
        </w:rPr>
      </w:pPr>
    </w:p>
    <w:p>
      <w:pPr>
        <w:ind w:right="320" w:firstLine="324"/>
        <w:spacing w:after="0" w:line="281" w:lineRule="auto"/>
        <w:rPr>
          <w:sz w:val="20"/>
          <w:szCs w:val="20"/>
          <w:color w:val="auto"/>
        </w:rPr>
      </w:pPr>
      <w:r>
        <w:rPr>
          <w:rFonts w:ascii="Times New Roman" w:cs="Times New Roman" w:eastAsia="Times New Roman" w:hAnsi="Times New Roman"/>
          <w:sz w:val="17"/>
          <w:szCs w:val="17"/>
          <w:color w:val="auto"/>
        </w:rPr>
        <w:t>In 2023, 2024 and 2025, we generated total net revenues of RMB112.86 billion, RMB108.42 billion and RMB105.92 billion (US$15.15 billion), respectively. In 2023, 2024 and 2025, we generated net income of RMB8.20 billion, RMB7.84 billion, RMB7.41 billion (US$1.06 billion), respectively. Our net income in 2023, 2024 and 2025 reflected share-based compensation expenses in an aggregate amount of RMB1,509.8 million, RMB1,537.7 million, RMB1,731.1 million (US$247.5 million), respectively.</w:t>
      </w:r>
    </w:p>
    <w:p>
      <w:pPr>
        <w:sectPr>
          <w:pgSz w:w="11900" w:h="16838" w:orient="portrait"/>
          <w:cols w:equalWidth="0" w:num="1">
            <w:col w:w="9920"/>
          </w:cols>
          <w:pgMar w:left="980" w:top="513" w:right="99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cash and cash equivalents and restricted cash of RMB24.12 billion (US$3.45 billion) and short-term investments of RMB5.78 billion (US$826.1 million). Our short-term investments consist primarily of investments in financial products offered by commercial banks in China with fixed maturity dates ranging from three months to one year. We believe this level of liquidity is sufficient to successfully navigate an extended period of uncertainty.</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business and results of operations are influenced by both general market conditions and company-specific factors. Key general factors that affect the off-price retail market in China include macroeconomic conditions, disposable income levels, and innovation in the industry, as well as regulatory policies. Unfavorable changes in any of these general factors could reduce or fluctuate demand for our products and materially and adversely affect our results of operations. Our results of operations are also subject to competition from other major off-price retailers who compete directly with us for brands and customers, as well as other online or offline retail businesses for customers’ wallet share.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these general factors, our operating results are also affected by several company-specific factors, including:</w:t>
      </w:r>
    </w:p>
    <w:p>
      <w:pPr>
        <w:spacing w:after="0" w:line="225" w:lineRule="exact"/>
        <w:rPr>
          <w:sz w:val="20"/>
          <w:szCs w:val="20"/>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curate product assortment and maintain relationships with brand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customer base and enhance customer engagement;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operate across multiple channels;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technological capabilities and infrastructure;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operating efficiency.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generated a substantial portion of our net revenues from sales of products. Generally, we offer our customers a right to return products purchased for a limited time period upon receipt of products. Our product revenues are recognized at the point of time when the goods have been received by the customers. Our net revenues exclude returned products, value-added taxes, related surcharges, and sales tax on cross-border revenues.</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net revenues both in absolute amount and as a percentage of our total net revenues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060" w:type="dxa"/>
            <w:vAlign w:val="bottom"/>
          </w:tcPr>
          <w:p>
            <w:pPr>
              <w:ind w:left="9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gridSpan w:val="2"/>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2"/>
                <w:szCs w:val="12"/>
                <w:color w:val="auto"/>
              </w:rPr>
            </w:pP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2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3"/>
              </w:rPr>
              <w:t>(RMB in thousands,</w:t>
            </w:r>
          </w:p>
        </w:tc>
        <w:tc>
          <w:tcPr>
            <w:tcW w:w="140" w:type="dxa"/>
            <w:vAlign w:val="bottom"/>
            <w:gridSpan w:val="2"/>
            <w:vMerge w:val="continue"/>
          </w:tcPr>
          <w:p>
            <w:pPr>
              <w:spacing w:after="0"/>
              <w:rPr>
                <w:sz w:val="11"/>
                <w:szCs w:val="11"/>
                <w:color w:val="auto"/>
              </w:rPr>
            </w:pPr>
          </w:p>
        </w:tc>
        <w:tc>
          <w:tcPr>
            <w:tcW w:w="6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except for</w:t>
            </w:r>
          </w:p>
        </w:tc>
        <w:tc>
          <w:tcPr>
            <w:tcW w:w="10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percentage data)</w:t>
            </w:r>
          </w:p>
        </w:tc>
        <w:tc>
          <w:tcPr>
            <w:tcW w:w="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105,613,485</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100,734,550</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97,398,826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13,927,847</w:t>
            </w: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revenues</w:t>
            </w:r>
            <w:r>
              <w:rPr>
                <w:rFonts w:ascii="Times New Roman" w:cs="Times New Roman" w:eastAsia="Times New Roman" w:hAnsi="Times New Roman"/>
                <w:sz w:val="25"/>
                <w:szCs w:val="25"/>
                <w:color w:val="auto"/>
                <w:vertAlign w:val="superscript"/>
              </w:rPr>
              <w:t>(1)</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7,242,535</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7,686,282</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8,520,720</w:t>
            </w: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1,218,447</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112,856,020</w:t>
            </w:r>
          </w:p>
        </w:tc>
        <w:tc>
          <w:tcPr>
            <w:tcW w:w="1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108,420,832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105,919,546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15,146,294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340" w:right="2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primarily consist of revenues generated from our promotion and advertising service (substantially derived from advertising across our online channels, with a small portion deriving from advertising on websites and mobile apps of third parties placed through us), outlet rental and management, and SVIP membership program.</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key factors that directly affect our net revenues for the periods indicated:</w:t>
      </w:r>
    </w:p>
    <w:p>
      <w:pPr>
        <w:spacing w:after="0" w:line="2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r>
      <w:tr>
        <w:trPr>
          <w:trHeight w:val="122"/>
        </w:trPr>
        <w:tc>
          <w:tcPr>
            <w:tcW w:w="5720" w:type="dxa"/>
            <w:vAlign w:val="bottom"/>
            <w:gridSpan w:val="2"/>
          </w:tcPr>
          <w:p>
            <w:pPr>
              <w:ind w:left="55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15"/>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gridSpan w:val="2"/>
          </w:tcPr>
          <w:p>
            <w:pPr>
              <w:jc w:val="right"/>
              <w:ind w:right="110"/>
              <w:spacing w:after="0" w:line="122" w:lineRule="exact"/>
              <w:rPr>
                <w:sz w:val="20"/>
                <w:szCs w:val="20"/>
                <w:color w:val="auto"/>
              </w:rPr>
            </w:pPr>
            <w:r>
              <w:rPr>
                <w:rFonts w:ascii="Times New Roman" w:cs="Times New Roman" w:eastAsia="Times New Roman" w:hAnsi="Times New Roman"/>
                <w:sz w:val="14"/>
                <w:szCs w:val="14"/>
                <w:b w:val="1"/>
                <w:bCs w:val="1"/>
                <w:color w:val="auto"/>
              </w:rPr>
              <w:t>​​​  2024</w:t>
            </w:r>
          </w:p>
        </w:tc>
        <w:tc>
          <w:tcPr>
            <w:tcW w:w="840" w:type="dxa"/>
            <w:vAlign w:val="bottom"/>
            <w:gridSpan w:val="2"/>
          </w:tcPr>
          <w:p>
            <w:pPr>
              <w:jc w:val="right"/>
              <w:ind w:right="110"/>
              <w:spacing w:after="0" w:line="122" w:lineRule="exact"/>
              <w:rPr>
                <w:sz w:val="20"/>
                <w:szCs w:val="20"/>
                <w:color w:val="auto"/>
              </w:rPr>
            </w:pPr>
            <w:r>
              <w:rPr>
                <w:rFonts w:ascii="Times New Roman" w:cs="Times New Roman" w:eastAsia="Times New Roman" w:hAnsi="Times New Roman"/>
                <w:sz w:val="14"/>
                <w:szCs w:val="14"/>
                <w:b w:val="1"/>
                <w:bCs w:val="1"/>
                <w:color w:val="auto"/>
              </w:rPr>
              <w:t>​​​  2025</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GMV (RMB in billions)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 customers (in millions)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SVIP customers (in millions)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cost of revenues primarily consists of cost of merchandise sold. Cost of merchandise sold is determined using the weighted average cost method. Our cost of revenues does not include fulfillment expenses and online payment processing fees.</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cost of merchandise sold was RMB85.14 billion, RMB80.87 billion and RMB79.26 billion (US$11.33 billion) in 2023, 2024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consist of (i) fulfillment expenses, (ii) marketing expenses, (iii) technology and content expenses, and</w:t>
      </w:r>
    </w:p>
    <w:p>
      <w:pPr>
        <w:spacing w:after="0" w:line="27" w:lineRule="exact"/>
        <w:rPr>
          <w:sz w:val="20"/>
          <w:szCs w:val="20"/>
          <w:color w:val="auto"/>
        </w:rPr>
      </w:pPr>
    </w:p>
    <w:p>
      <w:pPr>
        <w:ind w:right="520" w:firstLine="8"/>
        <w:spacing w:after="0" w:line="260" w:lineRule="auto"/>
        <w:tabs>
          <w:tab w:leader="none" w:pos="3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The following table sets forth the components of our operating expenses both in absolute amount and as a percentage of total net revenues for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r>
      <w:tr>
        <w:trPr>
          <w:trHeight w:val="142"/>
        </w:trPr>
        <w:tc>
          <w:tcPr>
            <w:tcW w:w="38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r>
      <w:tr>
        <w:trPr>
          <w:trHeight w:val="142"/>
        </w:trPr>
        <w:tc>
          <w:tcPr>
            <w:tcW w:w="3900" w:type="dxa"/>
            <w:vAlign w:val="bottom"/>
            <w:gridSpan w:val="2"/>
          </w:tcPr>
          <w:p>
            <w:pPr>
              <w:ind w:left="37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RMB’000</w:t>
            </w:r>
          </w:p>
        </w:tc>
        <w:tc>
          <w:tcPr>
            <w:tcW w:w="64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  RMB’000</w:t>
            </w:r>
          </w:p>
        </w:tc>
        <w:tc>
          <w:tcPr>
            <w:tcW w:w="64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RMB’000</w:t>
            </w:r>
          </w:p>
        </w:tc>
        <w:tc>
          <w:tcPr>
            <w:tcW w:w="98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US$’000</w:t>
            </w:r>
          </w:p>
        </w:tc>
        <w:tc>
          <w:tcPr>
            <w:tcW w:w="64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Fulfillment expenses</w:t>
            </w: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8,262,004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8,346,864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8,291,670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1,185,693</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3,242,215</w:t>
            </w: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2,979,654</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2,988,995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427,421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content expenses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1,767,530</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1,892,434</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1,755,123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4,146,568</w:t>
            </w: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3,992,657</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4,374,425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625,534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17,418,317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17,211,609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17,410,213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2,489,627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3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Fulfillment expenses</w:t>
      </w:r>
      <w:r>
        <w:rPr>
          <w:rFonts w:ascii="Times New Roman" w:cs="Times New Roman" w:eastAsia="Times New Roman" w:hAnsi="Times New Roman"/>
          <w:sz w:val="18"/>
          <w:szCs w:val="18"/>
          <w:color w:val="auto"/>
        </w:rPr>
        <w:t>. Fulfillment expenses primarily consist of shipping and handling expenses, packaging expenses, depreciation and amortization of warehouse and logistics equipment, compensation and benefits of logistics and customer service personnel. Our shipping and handling expenses were RMB5.84 billion, RMB5.82 billion and RMB5.82 billion (US$832.6 million) in 2023, 2024 and 2025, respectively. Our fulfillment services utilize our logistics network and rely on high-quality delivery service providers with nationwide coverage.</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Marketing expenses</w:t>
      </w:r>
      <w:r>
        <w:rPr>
          <w:rFonts w:ascii="Times New Roman" w:cs="Times New Roman" w:eastAsia="Times New Roman" w:hAnsi="Times New Roman"/>
          <w:sz w:val="18"/>
          <w:szCs w:val="18"/>
          <w:color w:val="auto"/>
        </w:rPr>
        <w:t>. Marketing expenses primarily consist of advertising expenses incurred in connection with customer acquisition and brand promotional activities as well as compensation and benefits of marketing personnel.</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content expenses</w:t>
      </w:r>
      <w:r>
        <w:rPr>
          <w:rFonts w:ascii="Times New Roman" w:cs="Times New Roman" w:eastAsia="Times New Roman" w:hAnsi="Times New Roman"/>
          <w:sz w:val="18"/>
          <w:szCs w:val="18"/>
          <w:color w:val="auto"/>
        </w:rPr>
        <w:t>. Technology and content expenses primarily consist of compensation and benefits of our IT personnel, depreciation of IT equipment, telecommunications expenses, and expenses incurred in creating content for our sales events on our retail channels.</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General and administrative expenses primarily consist of compensation and benefits of administrative personnel, payment processing fees, depreciations, rental expenses, and other administrative and overhead expenses.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are incorporated in the Cayman Islands. Under the current law of the Cayman Islands, we are not subject to tax on income or capital gains tax in the Cayman Islands. Additionally, the Cayman Islands does not impose a withholding tax on payments of dividends to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ind w:right="260" w:firstLine="324"/>
        <w:spacing w:after="0" w:line="276" w:lineRule="auto"/>
        <w:rPr>
          <w:sz w:val="20"/>
          <w:szCs w:val="20"/>
          <w:color w:val="auto"/>
        </w:rPr>
      </w:pPr>
      <w:r>
        <w:rPr>
          <w:rFonts w:ascii="Times New Roman" w:cs="Times New Roman" w:eastAsia="Times New Roman" w:hAnsi="Times New Roman"/>
          <w:sz w:val="17"/>
          <w:szCs w:val="17"/>
          <w:color w:val="auto"/>
        </w:rPr>
        <w:t>Our subsidiaries incorporated in Hong Kong are subject to a two-tiered income tax rate for taxable income earned in Hong Kong, effective April 1, 2018. The first two million Hong Kong dollars of profits earned by the company are subject to an income tax rate of</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8.25%, while the remaining profits will continue to be taxed at the existing tax rate, 16.5%. Under Hong Kong tax law, our subsidiaries incorporated in Hong Kong are exempted from the Hong Kong income tax on foreign-derived income and there are no withholding taxes in Hong Kong on the remittance of dividends.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wholly owned subsidiaries incorporated in Singapore are subject to Singapore corporate tax at a rate of 17% on the assessable profits arising from Singapore. Vipshop Singapore Pte. is entitled to enjoy the beneficial tax rate at 10% from July 1, 2022 to December 31, 2024, and to enjoy the beneficial tax rate at 15% for trading business from January 1, 2025 to June 30, 2027.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Mainland China</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Pursuant to the Enterprise Income Tax Law, companies established in China are generally subject to enterprise income tax at a statutory rate of 25%. The 25% rate applies to most of our subsidiaries and the VIEs established in China. One of our significant PRC subsidiaries, Guangzhou Pinwei Software Co., Ltd., benefits from preferential tax treatment as a High and New Technology Enterprise, which is valid for a three-year term. Four of our significant PRC subsidiaries benefit from a preferential tax rate of 15% by qualifying as an enterprise in the western regions in an encouraged industry sector as defined by the Catalogue of Encouraged Industries in the Western Regions, subject to the annual update of such catalogue. One of our significant PRC subsidiaries, Vipshop (Guangzhou) Software Co., Ltd., was classified as a “software enterprise” by the local software industry association in 2023, 2024 and 2025, which entitled it to enjoy a preferential enterprise income tax policy of “exemption for the first two years and 50% deduction of income tax (i.e., entitled to a favorable tax rate at 12.5%) for the subsequent three years” from the first profit making year. The first profit making year for this subsidiary was 2021.</w:t>
      </w:r>
    </w:p>
    <w:p>
      <w:pPr>
        <w:spacing w:after="0" w:line="194"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We evaluate the level of authority for each uncertain tax position (including the potential application of interest and penalties) based on the technical merits, and measure the unrecognized benefits associated with the tax positions. As of December 31, 2023, 2024 and 2025, we did not have any unrecognized tax benefits. We do not anticipate any significant increase to our liability for unrecognized tax benefit within the next 12 months. We will classify interest and penalties relating to income tax matters, if any, in income tax expense.</w:t>
      </w:r>
    </w:p>
    <w:p>
      <w:pPr>
        <w:spacing w:after="0" w:line="16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amount of tax loss carry forwards of our certain subsidiaries was RMB2.20 billion, RMB2.22 billion, and RMB2.25 billion (US$321.6 million) as of December 31, 2023, 2024 and 2025, respectively. We provided a valuation allowance for the deferred tax assets relating to the future benefit of net operating loss carry forwards and other deferred tax assets of certain subsidiaries as of December 31 2023, 2024 and 2025, respectively, as our management is not able to conclude that the future realization of some of such net operating loss carry forwards is more likely than not.</w:t>
      </w:r>
    </w:p>
    <w:p>
      <w:pPr>
        <w:spacing w:after="0" w:line="183"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2024 and 2025, we had value-added tax recoverable of approximately RMB409.5 million, RMB687.3 million, and RMB724.1 million (US$103.6 million), respectively. Value-added tax recoverable occurs due to timing difference on operation of certain entities, as we record the revenue and value-added tax output when goods are delivered, but value-added tax input invoice from suppliers may be delayed. We also had value-added tax payable of RMB189.4 million, RMB193.5 million and RMB233.2 million (US$33.4 million) as of December 31, 2023, 2024 and 2025, respectively, included as accrued expenses and other current liabilities. We do not net off value-added tax recoverable and payable from different entities within our group companies.</w:t>
      </w:r>
    </w:p>
    <w:p>
      <w:pPr>
        <w:spacing w:after="0" w:line="18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PRC tax regulations, see “Item 4. Information on the Company—B. Business Overview—Regulation— Regulations Relating to Tax” and “Item 10. Additional Information—E. Taxation—People’s Republic of China Taxation.”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a substantial portion of our business is conducted online, our results of operations are subject to seasonal fluctuations that other internet companies may experience, reflecting a combination of seasonal fluctuations in internet usage, traditional retail seasonality patterns, and seasonal buying patterns in certain categories such as apparel.</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Sales in the retail industry are typically significantly higher in the fourth quarter of the year than in the preceding three quarters. E-commerce companies in China hold special promotional campaigns on November 11 and December 12 each year that boost sales in the fourth quarter relative to other quarters, and we hold a special promotional campaign in the fourth quarter of each year to celebrate the anniversary of the founding of our platform. The seasonal trends that we have experienced in the past may not apply to, or be indicative of, our future operating results.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indicated. This information should be read together with our consolidated financial statements and related notes included elsewhere in this annual report. The results of operations in any period are not necessarily indicative of the results that may be expected for any future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660" w:type="dxa"/>
            <w:vAlign w:val="bottom"/>
            <w:vMerge w:val="restart"/>
          </w:tcPr>
          <w:p>
            <w:pPr>
              <w:ind w:left="25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vMerge w:val="continue"/>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105,613,485</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100,734,550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97,398,826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13,927,847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7,242,535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7,686,282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8,520,720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112,856,020</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108,420,832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105,919,546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5"/>
                <w:szCs w:val="25"/>
                <w:color w:val="auto"/>
                <w:vertAlign w:val="superscript"/>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(87,135,128)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(82,951,178)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(81,429,230)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25,720,892</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25,469,654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24,490,316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(2)</w:t>
            </w:r>
          </w:p>
        </w:tc>
        <w:tc>
          <w:tcPr>
            <w:tcW w:w="10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—Fulfillment expenses</w:t>
            </w:r>
            <w:r>
              <w:rPr>
                <w:rFonts w:ascii="Times New Roman" w:cs="Times New Roman" w:eastAsia="Times New Roman" w:hAnsi="Times New Roman"/>
                <w:sz w:val="25"/>
                <w:szCs w:val="25"/>
                <w:color w:val="auto"/>
                <w:vertAlign w:val="superscript"/>
              </w:rPr>
              <w:t>(3)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(8,262,004)</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(8,346,864)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(8,291,670)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(3,242,215)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(2,979,654)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(2,988,995)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content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(1,767,530)</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(1,892,434)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(1,755,123)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(4,146,568)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(3,992,657)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(4,374,425)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(17,418,317)</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(17,211,609)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(17,410,213)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801,560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915,208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9,104,135</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9,173,253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8,135,946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of investments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780,292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809,792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801,587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gain/(loss)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162,666</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(loss) gain and revaluation of investments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148,170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before income taxes and share of income of equity method</w:t>
            </w:r>
          </w:p>
        </w:tc>
        <w:tc>
          <w:tcPr>
            <w:tcW w:w="10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investees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9,987,002</w:t>
            </w:r>
          </w:p>
        </w:tc>
        <w:tc>
          <w:tcPr>
            <w:tcW w:w="220" w:type="dxa"/>
            <w:vAlign w:val="bottom"/>
            <w:tcBorders>
              <w:right w:val="single" w:sz="8" w:color="CCEEFF"/>
            </w:tcBorders>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9,987,480</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8,914,683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(1,866,004)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(2,315,515)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(1,798,963)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of equity method investees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80,301</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8,201,299</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7,838,945</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7,409,639</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140" w:type="dxa"/>
            <w:vAlign w:val="bottom"/>
            <w:tcBorders>
              <w:top w:val="single" w:sz="8" w:color="CCEEFF"/>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(84,675)</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(99,010)</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(167,149)</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our shareholders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8,116,624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7,739,935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7,242,490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2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Notes: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Excludes shipping and handling expenses.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Include share-based compensation expenses as set forth below:</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266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660" w:type="dxa"/>
            <w:vAlign w:val="bottom"/>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vMerge w:val="continue"/>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6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Fulfillment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(77,926)</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content expenses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(330,197)</w:t>
            </w:r>
          </w:p>
        </w:tc>
        <w:tc>
          <w:tcPr>
            <w:tcW w:w="22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(382,308)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(1,068,304)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(1,040,138)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(1,301,533)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(1,509,806)</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(1,731,063)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4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shipping and handling expenses, which amounted to RMB5.84 billion, RMB5.82 billion, and RMB5.82 billion (US$832.6 million) in the years ended December 31, 2023, 2024 and 2025,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segment operating results for the years ended December 31, 2023,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Vip.com</w:t>
            </w:r>
          </w:p>
        </w:tc>
        <w:tc>
          <w:tcPr>
            <w:tcW w:w="2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Shan Shan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40" w:type="dxa"/>
            <w:vAlign w:val="bottom"/>
          </w:tcPr>
          <w:p>
            <w:pPr>
              <w:spacing w:after="0"/>
              <w:rPr>
                <w:sz w:val="13"/>
                <w:szCs w:val="13"/>
                <w:color w:val="auto"/>
              </w:rPr>
            </w:pPr>
          </w:p>
        </w:tc>
        <w:tc>
          <w:tcPr>
            <w:tcW w:w="9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Outlets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tcPr>
          <w:p>
            <w:pPr>
              <w:ind w:left="5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4"/>
          </w:tcPr>
          <w:p>
            <w:pPr>
              <w:jc w:val="right"/>
              <w:ind w:right="4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101,136,509</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725,015</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105,919,546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Inter-segment revenues</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384,346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189,172</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101,520,855</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4,081,538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914,187</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106,516,580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total net revenues</w:t>
            </w:r>
          </w:p>
        </w:tc>
        <w:tc>
          <w:tcPr>
            <w:tcW w:w="9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9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105,919,546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(79,555,236)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(1,859,631)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(350,505)</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Fulfillment expenses</w:t>
            </w:r>
            <w:r>
              <w:rPr>
                <w:rFonts w:ascii="Times New Roman" w:cs="Times New Roman" w:eastAsia="Times New Roman" w:hAnsi="Times New Roman"/>
                <w:sz w:val="25"/>
                <w:szCs w:val="25"/>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(8,200,923)</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Marketing expenses</w:t>
            </w:r>
            <w:r>
              <w:rPr>
                <w:rFonts w:ascii="Times New Roman" w:cs="Times New Roman" w:eastAsia="Times New Roman" w:hAnsi="Times New Roman"/>
                <w:sz w:val="25"/>
                <w:szCs w:val="25"/>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(2,719,647)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Technology and content expenses</w:t>
            </w:r>
            <w:r>
              <w:rPr>
                <w:rFonts w:ascii="Times New Roman" w:cs="Times New Roman" w:eastAsia="Times New Roman" w:hAnsi="Times New Roman"/>
                <w:sz w:val="25"/>
                <w:szCs w:val="25"/>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(1,355,745)</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5"/>
                <w:szCs w:val="25"/>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(2,323,903)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(263,248)</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Share-based compensation expenses</w:t>
            </w:r>
            <w:r>
              <w:rPr>
                <w:rFonts w:ascii="Times New Roman" w:cs="Times New Roman" w:eastAsia="Times New Roman" w:hAnsi="Times New Roman"/>
                <w:sz w:val="25"/>
                <w:szCs w:val="25"/>
                <w:color w:val="auto"/>
                <w:vertAlign w:val="superscript"/>
              </w:rPr>
              <w:t>(3)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(1,039,023)</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856,160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(204,239)</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7,182,538</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96,195</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8,135,946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9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income and expenses</w:t>
            </w:r>
            <w:r>
              <w:rPr>
                <w:rFonts w:ascii="Times New Roman" w:cs="Times New Roman" w:eastAsia="Times New Roman" w:hAnsi="Times New Roman"/>
                <w:sz w:val="25"/>
                <w:szCs w:val="25"/>
                <w:color w:val="auto"/>
                <w:vertAlign w:val="superscript"/>
              </w:rPr>
              <w:t>(5)</w:t>
            </w: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 and share of income of equity method</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8,914,683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investees</w:t>
            </w:r>
          </w:p>
        </w:tc>
        <w:tc>
          <w:tcPr>
            <w:tcW w:w="9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4840"/>
              <w:spacing w:after="0"/>
              <w:rPr>
                <w:sz w:val="20"/>
                <w:szCs w:val="20"/>
                <w:color w:val="auto"/>
              </w:rPr>
            </w:pPr>
            <w:r>
              <w:rPr>
                <w:rFonts w:ascii="Times New Roman" w:cs="Times New Roman" w:eastAsia="Times New Roman" w:hAnsi="Times New Roman"/>
                <w:sz w:val="18"/>
                <w:szCs w:val="18"/>
                <w:color w:val="auto"/>
              </w:rPr>
              <w:t>114</w:t>
            </w: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04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Vip.com</w:t>
            </w:r>
          </w:p>
        </w:tc>
        <w:tc>
          <w:tcPr>
            <w:tcW w:w="2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Shan Shan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40" w:type="dxa"/>
            <w:vAlign w:val="bottom"/>
          </w:tcPr>
          <w:p>
            <w:pPr>
              <w:spacing w:after="0"/>
              <w:rPr>
                <w:sz w:val="13"/>
                <w:szCs w:val="13"/>
                <w:color w:val="auto"/>
              </w:rPr>
            </w:pPr>
          </w:p>
        </w:tc>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Outlets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040" w:type="dxa"/>
            <w:vAlign w:val="bottom"/>
          </w:tcPr>
          <w:p>
            <w:pPr>
              <w:ind w:left="29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4"/>
          </w:tcPr>
          <w:p>
            <w:pPr>
              <w:jc w:val="right"/>
              <w:ind w:right="4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104,379,002</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3,284,968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756,862</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108,420,832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Inter-segment revenues</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352,166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205,325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104,731,168</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3,310,729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962,187</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109,004,084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of total net revenues</w:t>
            </w:r>
          </w:p>
        </w:tc>
        <w:tc>
          <w:tcPr>
            <w:tcW w:w="9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9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108,420,832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(81,251,073)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(1,626,883)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(344,551)</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Fulfillment expenses</w:t>
            </w:r>
            <w:r>
              <w:rPr>
                <w:rFonts w:ascii="Times New Roman" w:cs="Times New Roman" w:eastAsia="Times New Roman" w:hAnsi="Times New Roman"/>
                <w:sz w:val="25"/>
                <w:szCs w:val="25"/>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(8,241,185)</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Marketing expenses</w:t>
            </w:r>
            <w:r>
              <w:rPr>
                <w:rFonts w:ascii="Times New Roman" w:cs="Times New Roman" w:eastAsia="Times New Roman" w:hAnsi="Times New Roman"/>
                <w:sz w:val="25"/>
                <w:szCs w:val="25"/>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(2,766,702)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Technology and content expenses</w:t>
            </w:r>
            <w:r>
              <w:rPr>
                <w:rFonts w:ascii="Times New Roman" w:cs="Times New Roman" w:eastAsia="Times New Roman" w:hAnsi="Times New Roman"/>
                <w:sz w:val="25"/>
                <w:szCs w:val="25"/>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(1,424,414)</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5"/>
                <w:szCs w:val="25"/>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(2,290,281)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(333,414)</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Share-based compensation expenses</w:t>
            </w:r>
            <w:r>
              <w:rPr>
                <w:rFonts w:ascii="Times New Roman" w:cs="Times New Roman" w:eastAsia="Times New Roman" w:hAnsi="Times New Roman"/>
                <w:sz w:val="25"/>
                <w:szCs w:val="25"/>
                <w:color w:val="auto"/>
                <w:vertAlign w:val="superscript"/>
              </w:rPr>
              <w:t>(3)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(1,137,590)</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731,609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(187,737)</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8,351,532</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725,236</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96,485</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9,173,253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9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income and expenses</w:t>
            </w:r>
            <w:r>
              <w:rPr>
                <w:rFonts w:ascii="Times New Roman" w:cs="Times New Roman" w:eastAsia="Times New Roman" w:hAnsi="Times New Roman"/>
                <w:sz w:val="25"/>
                <w:szCs w:val="25"/>
                <w:color w:val="auto"/>
                <w:vertAlign w:val="superscript"/>
              </w:rPr>
              <w:t>(5)</w:t>
            </w: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5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 and share of income of equity method</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9,987,480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investees</w:t>
            </w:r>
          </w:p>
        </w:tc>
        <w:tc>
          <w:tcPr>
            <w:tcW w:w="9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w:t>
            </w: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480" w:type="dxa"/>
            <w:vAlign w:val="bottom"/>
          </w:tcPr>
          <w:p>
            <w:pPr>
              <w:spacing w:after="0"/>
              <w:rPr>
                <w:sz w:val="24"/>
                <w:szCs w:val="24"/>
                <w:color w:val="auto"/>
              </w:rPr>
            </w:pPr>
          </w:p>
        </w:tc>
        <w:tc>
          <w:tcPr>
            <w:tcW w:w="304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Vip.com</w:t>
            </w:r>
          </w:p>
        </w:tc>
        <w:tc>
          <w:tcPr>
            <w:tcW w:w="2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Shan Shan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40" w:type="dxa"/>
            <w:vAlign w:val="bottom"/>
          </w:tcPr>
          <w:p>
            <w:pPr>
              <w:spacing w:after="0"/>
              <w:rPr>
                <w:sz w:val="24"/>
                <w:szCs w:val="24"/>
                <w:color w:val="auto"/>
              </w:rPr>
            </w:pPr>
          </w:p>
        </w:tc>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Outlets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4"/>
          </w:tcPr>
          <w:p>
            <w:pPr>
              <w:jc w:val="right"/>
              <w:ind w:right="4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109,177,540</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907,462</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112,856,020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Inter-segment revenues</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378,941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326,591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109,556,481</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2,795,977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1,234,053</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113,586,511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of total net revenues</w:t>
            </w:r>
          </w:p>
        </w:tc>
        <w:tc>
          <w:tcPr>
            <w:tcW w:w="9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9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112,856,020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(85,569,090)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(405,095)</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Fulfillment expenses</w:t>
            </w:r>
            <w:r>
              <w:rPr>
                <w:rFonts w:ascii="Times New Roman" w:cs="Times New Roman" w:eastAsia="Times New Roman" w:hAnsi="Times New Roman"/>
                <w:sz w:val="25"/>
                <w:szCs w:val="25"/>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(8,151,510)</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Marketing expenses</w:t>
            </w:r>
            <w:r>
              <w:rPr>
                <w:rFonts w:ascii="Times New Roman" w:cs="Times New Roman" w:eastAsia="Times New Roman" w:hAnsi="Times New Roman"/>
                <w:sz w:val="25"/>
                <w:szCs w:val="25"/>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(3,170,057)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Technology and content expenses</w:t>
            </w:r>
            <w:r>
              <w:rPr>
                <w:rFonts w:ascii="Times New Roman" w:cs="Times New Roman" w:eastAsia="Times New Roman" w:hAnsi="Times New Roman"/>
                <w:sz w:val="25"/>
                <w:szCs w:val="25"/>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(1,350,414)</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5"/>
                <w:szCs w:val="25"/>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(2,312,911)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(530,555)</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Share-based compensation expenses</w:t>
            </w:r>
            <w:r>
              <w:rPr>
                <w:rFonts w:ascii="Times New Roman" w:cs="Times New Roman" w:eastAsia="Times New Roman" w:hAnsi="Times New Roman"/>
                <w:sz w:val="25"/>
                <w:szCs w:val="25"/>
                <w:color w:val="auto"/>
                <w:vertAlign w:val="superscript"/>
              </w:rPr>
              <w:t>(3)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(1,023,215)</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639,886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(174,558)</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8,619,170</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361,120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123,845</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9,104,135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9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income and expenses</w:t>
            </w:r>
            <w:r>
              <w:rPr>
                <w:rFonts w:ascii="Times New Roman" w:cs="Times New Roman" w:eastAsia="Times New Roman" w:hAnsi="Times New Roman"/>
                <w:sz w:val="25"/>
                <w:szCs w:val="25"/>
                <w:color w:val="auto"/>
                <w:vertAlign w:val="superscript"/>
              </w:rPr>
              <w:t>(5)</w:t>
            </w:r>
          </w:p>
        </w:tc>
        <w:tc>
          <w:tcPr>
            <w:tcW w:w="9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5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 and share of income of equity method</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9,987,002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investees</w:t>
            </w:r>
          </w:p>
        </w:tc>
        <w:tc>
          <w:tcPr>
            <w:tcW w:w="9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3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jc w:val="both"/>
        <w:ind w:left="340" w:right="38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revenues mainly consist of payment processing, inter platform technical services, warehousing rental services and supply chain management services, promotion services provided by Vip.com to internet finance business and by offline shops to Vip.com, and internal procurement between offline shops, Shan Shan Outlets and Vip.com.</w:t>
      </w:r>
    </w:p>
    <w:p>
      <w:pPr>
        <w:sectPr>
          <w:pgSz w:w="11900" w:h="16838" w:orient="portrait"/>
          <w:cols w:equalWidth="0" w:num="1">
            <w:col w:w="9960"/>
          </w:cols>
          <w:pgMar w:left="980" w:top="513" w:right="959" w:bottom="1440"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expenses exclude share-based compensation expenses.</w:t>
      </w:r>
    </w:p>
    <w:p>
      <w:pPr>
        <w:spacing w:after="0" w:line="63" w:lineRule="exact"/>
        <w:rPr>
          <w:rFonts w:ascii="Times New Roman" w:cs="Times New Roman" w:eastAsia="Times New Roman" w:hAnsi="Times New Roman"/>
          <w:sz w:val="18"/>
          <w:szCs w:val="18"/>
          <w:color w:val="auto"/>
        </w:rPr>
      </w:pPr>
    </w:p>
    <w:p>
      <w:pPr>
        <w:ind w:left="340" w:right="380" w:hanging="332"/>
        <w:spacing w:after="0" w:line="281"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detail information in Note 24 to the consolidated financial statements included elsewhere in this annual report on Form 20-F.</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segment, the other segment items category includes:</w:t>
      </w:r>
    </w:p>
    <w:p>
      <w:pPr>
        <w:spacing w:after="0" w:line="6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Vip.com — other operating income which consists of government grants, claims income and other miscellaneous income.</w:t>
      </w:r>
    </w:p>
    <w:p>
      <w:pPr>
        <w:spacing w:after="0" w:line="63" w:lineRule="exact"/>
        <w:rPr>
          <w:rFonts w:ascii="Times New Roman" w:cs="Times New Roman" w:eastAsia="Times New Roman" w:hAnsi="Times New Roman"/>
          <w:sz w:val="18"/>
          <w:szCs w:val="18"/>
          <w:color w:val="auto"/>
        </w:rPr>
      </w:pPr>
    </w:p>
    <w:p>
      <w:pPr>
        <w:ind w:left="340" w:right="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 Shan Outlets — technology and content expenses, other operating income which consists of government grants, claims income and other miscellaneous income.</w:t>
      </w:r>
    </w:p>
    <w:p>
      <w:pPr>
        <w:spacing w:after="0" w:line="1" w:lineRule="exact"/>
        <w:rPr>
          <w:rFonts w:ascii="Times New Roman" w:cs="Times New Roman" w:eastAsia="Times New Roman" w:hAnsi="Times New Roman"/>
          <w:sz w:val="18"/>
          <w:szCs w:val="18"/>
          <w:color w:val="auto"/>
        </w:rPr>
      </w:pPr>
    </w:p>
    <w:p>
      <w:pPr>
        <w:ind w:left="340" w:right="2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 fulfillment expenses, marketing expenses, technology and content expenses, share-based compensation expenses, other operating income which consists of government grants, claims income and other miscellaneous income.</w:t>
      </w:r>
    </w:p>
    <w:p>
      <w:pPr>
        <w:spacing w:after="0" w:line="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and expenses include interest income, exchange gain/(loss), investment gain/(loss) and revaluation of investments, interest expenses and impairment loss of investments.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depreciation of property and equipment, net (included in the measurement of segment profit or loss) for the years ended December 31, 2023, 2024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040" w:type="dxa"/>
            <w:vAlign w:val="bottom"/>
            <w:gridSpan w:val="2"/>
          </w:tcPr>
          <w:p>
            <w:pPr>
              <w:ind w:left="4900"/>
              <w:spacing w:after="0"/>
              <w:rPr>
                <w:sz w:val="20"/>
                <w:szCs w:val="20"/>
                <w:color w:val="auto"/>
              </w:rPr>
            </w:pPr>
            <w:r>
              <w:rPr>
                <w:rFonts w:ascii="Times New Roman" w:cs="Times New Roman" w:eastAsia="Times New Roman" w:hAnsi="Times New Roman"/>
                <w:sz w:val="14"/>
                <w:szCs w:val="14"/>
                <w:b w:val="1"/>
                <w:bCs w:val="1"/>
                <w:color w:val="auto"/>
              </w:rPr>
              <w:t>​​​</w:t>
            </w:r>
          </w:p>
        </w:tc>
        <w:tc>
          <w:tcPr>
            <w:tcW w:w="3880" w:type="dxa"/>
            <w:vAlign w:val="bottom"/>
            <w:gridSpan w:val="9"/>
          </w:tcPr>
          <w:p>
            <w:pPr>
              <w:jc w:val="center"/>
              <w:ind w:right="9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depreciation of property and equipment, net</w:t>
            </w:r>
          </w:p>
        </w:tc>
        <w:tc>
          <w:tcPr>
            <w:tcW w:w="7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Vip.com</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924,097</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928,680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Shan Shan Outlets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476,943</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585,577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1,299,384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1,418,492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1,526,471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jc w:val="right"/>
              <w:ind w:right="813"/>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0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interest income and interest expenses for the years ended December 31, 2023, 2024 and 2025.</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20" w:type="dxa"/>
            <w:vAlign w:val="bottom"/>
            <w:gridSpan w:val="2"/>
          </w:tcPr>
          <w:p>
            <w:pPr>
              <w:ind w:left="4900"/>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gridSpan w:val="6"/>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top w:val="single" w:sz="8" w:color="auto"/>
            </w:tcBorders>
            <w:gridSpan w:val="3"/>
          </w:tcPr>
          <w:p>
            <w:pPr>
              <w:jc w:val="center"/>
              <w:ind w:lef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top w:val="single" w:sz="8" w:color="auto"/>
            </w:tcBorders>
            <w:gridSpan w:val="2"/>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0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Interest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Vip.com</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654,485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610,161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643,679</w:t>
            </w:r>
          </w:p>
        </w:tc>
      </w:tr>
      <w:tr>
        <w:trPr>
          <w:trHeight w:val="216"/>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Shan Shan Outlets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42,807</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53,646</w:t>
            </w:r>
          </w:p>
        </w:tc>
      </w:tr>
      <w:tr>
        <w:trPr>
          <w:trHeight w:val="216"/>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158,734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105,697</w:t>
            </w:r>
          </w:p>
        </w:tc>
      </w:tr>
      <w:tr>
        <w:trPr>
          <w:trHeight w:val="216"/>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interest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50"/>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780,292</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809,792</w:t>
            </w:r>
          </w:p>
        </w:tc>
        <w:tc>
          <w:tcPr>
            <w:tcW w:w="18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801,587</w:t>
            </w:r>
          </w:p>
        </w:tc>
      </w:tr>
      <w:tr>
        <w:trPr>
          <w:trHeight w:val="196"/>
        </w:trPr>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 Interest Expense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7"/>
                <w:szCs w:val="17"/>
                <w:color w:val="auto"/>
              </w:rPr>
            </w:pPr>
          </w:p>
        </w:tc>
      </w:tr>
      <w:tr>
        <w:trPr>
          <w:trHeight w:val="216"/>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Vip.com</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(57,627)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(86,718)</w:t>
            </w:r>
          </w:p>
        </w:tc>
      </w:tr>
      <w:tr>
        <w:trPr>
          <w:trHeight w:val="216"/>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Shan Shan Outlets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16"/>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16"/>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interest expense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1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(57,676)</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(90,037)</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share of income (loss) of investments accounted under the equity method for the years ended December 31, 2023, 2024 and 2025.</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20" w:type="dxa"/>
            <w:vAlign w:val="bottom"/>
            <w:gridSpan w:val="2"/>
          </w:tcPr>
          <w:p>
            <w:pPr>
              <w:ind w:left="4900"/>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gridSpan w:val="6"/>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tcBorders>
            <w:gridSpan w:val="2"/>
          </w:tcPr>
          <w:p>
            <w:pPr>
              <w:jc w:val="center"/>
              <w:ind w:left="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0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94"/>
        </w:trPr>
        <w:tc>
          <w:tcPr>
            <w:tcW w:w="51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 of income (loss) of investments accounted under the</w:t>
            </w: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38"/>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equity method</w:t>
            </w: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6"/>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Vip.com</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16"/>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Shan Shan Outlets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141,924</w:t>
            </w:r>
          </w:p>
        </w:tc>
      </w:tr>
      <w:tr>
        <w:trPr>
          <w:trHeight w:val="216"/>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153,928</w:t>
            </w:r>
          </w:p>
        </w:tc>
      </w:tr>
      <w:tr>
        <w:trPr>
          <w:trHeight w:val="210"/>
        </w:trPr>
        <w:tc>
          <w:tcPr>
            <w:tcW w:w="5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293,919</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assets information and investments in equity method investees information in the reportable segments reviewed by our management.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760" w:type="dxa"/>
            <w:vAlign w:val="bottom"/>
          </w:tcPr>
          <w:p>
            <w:pPr>
              <w:ind w:left="5660"/>
              <w:spacing w:after="0"/>
              <w:rPr>
                <w:sz w:val="20"/>
                <w:szCs w:val="20"/>
                <w:color w:val="auto"/>
              </w:rPr>
            </w:pPr>
            <w:r>
              <w:rPr>
                <w:rFonts w:ascii="Times New Roman" w:cs="Times New Roman" w:eastAsia="Times New Roman" w:hAnsi="Times New Roman"/>
                <w:sz w:val="14"/>
                <w:szCs w:val="14"/>
                <w:b w:val="1"/>
                <w:bCs w:val="1"/>
                <w:color w:val="auto"/>
              </w:rPr>
              <w:t>​​​</w:t>
            </w:r>
          </w:p>
        </w:tc>
        <w:tc>
          <w:tcPr>
            <w:tcW w:w="31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96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20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2180" w:type="dxa"/>
            <w:vAlign w:val="bottom"/>
            <w:gridSpan w:val="4"/>
          </w:tcPr>
          <w:p>
            <w:pPr>
              <w:jc w:val="right"/>
              <w:ind w:right="57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Vip.com</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51,103,217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53,572,887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Shan Shan Outlets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19,971,408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21,650,040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3,861,501</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3,620,391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74,936,126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78,843,318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Investments in equity method investees</w:t>
            </w: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Vip.com</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2,174,846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Shan Shan Outlets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800,520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134,668</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2,002,043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3,136,784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jc w:val="right"/>
              <w:ind w:right="1572"/>
              <w:spacing w:after="0"/>
              <w:rPr>
                <w:sz w:val="20"/>
                <w:szCs w:val="20"/>
                <w:color w:val="auto"/>
              </w:rPr>
            </w:pPr>
            <w:r>
              <w:rPr>
                <w:rFonts w:ascii="Times New Roman" w:cs="Times New Roman" w:eastAsia="Times New Roman" w:hAnsi="Times New Roman"/>
                <w:sz w:val="18"/>
                <w:szCs w:val="18"/>
                <w:color w:val="auto"/>
              </w:rPr>
              <w:t>117</w:t>
            </w: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7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total expenditure for additions of long-lived assets information in the reportable segments reviewed by our management.</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3220" w:type="dxa"/>
            <w:vAlign w:val="bottom"/>
            <w:gridSpan w:val="6"/>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 For the Year Ended December 31,</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20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80" w:type="dxa"/>
            <w:vAlign w:val="bottom"/>
            <w:gridSpan w:val="4"/>
          </w:tcPr>
          <w:p>
            <w:pPr>
              <w:jc w:val="right"/>
              <w:ind w:right="57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expenditure for additions of long-lived assets</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Vip.com</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870,593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Shan Shan Outlets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2,687,663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3,562,586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u w:val="single" w:color="auto"/>
          <w:color w:val="auto"/>
        </w:rPr>
        <w:t>Net Revenues</w:t>
      </w:r>
      <w:r>
        <w:rPr>
          <w:rFonts w:ascii="Times New Roman" w:cs="Times New Roman" w:eastAsia="Times New Roman" w:hAnsi="Times New Roman"/>
          <w:sz w:val="18"/>
          <w:szCs w:val="18"/>
          <w:color w:val="auto"/>
        </w:rPr>
        <w:t>. Our total net revenues decreased from RMB108.42 billion in 2024 to RMB105.92 billion (US$15.15 billion) in 2025, primarily due to a decrease in product revenue from RMB100.73 billion in 2024 to RMB97.40 billion (US$13.93 billion) in 2025. The number of our active customers was 84.8 million in 2025, as compared to 84.7 million in 2024. Amid a volatile economic climate and intensified market conditions, we implemented a disciplined operating strategy in 2025, intentionally prioritizing quality over volume-driven expansion. Despite the modest decrease in our net revenues, our performance remained resilient and our deliberate operating strategy has achieved targeted high-quality customer growth, as demonstrated by a year-over-year increase of 11.5% in our active SVIP customers from 8.8 million in 2024 to 9.8 million in 2025.</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Cost of Revenues</w:t>
      </w:r>
      <w:r>
        <w:rPr>
          <w:rFonts w:ascii="Times New Roman" w:cs="Times New Roman" w:eastAsia="Times New Roman" w:hAnsi="Times New Roman"/>
          <w:sz w:val="18"/>
          <w:szCs w:val="18"/>
          <w:color w:val="auto"/>
        </w:rPr>
        <w:t>. Our cost of revenues decreased from RMB82.95 billion in 2024 to RMB81.43 billion (US$11.64 billion) in 2025, primarily due to the decrease in cost of merchandise sold, generally in line with the decrease in our product sales volume.</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Gross Profit and Gross Margin</w:t>
      </w:r>
      <w:r>
        <w:rPr>
          <w:rFonts w:ascii="Times New Roman" w:cs="Times New Roman" w:eastAsia="Times New Roman" w:hAnsi="Times New Roman"/>
          <w:sz w:val="18"/>
          <w:szCs w:val="18"/>
          <w:color w:val="auto"/>
        </w:rPr>
        <w:t>. As a result of the foregoing, our gross profit amounted to RMB25.47 billion in 2024 and RMB24.49 billion (US$3.50 billion) in 2025. Our gross margin remained relatively stable, amounting to 23.5% in 2024 and 23.1% in 2025.</w:t>
      </w:r>
    </w:p>
    <w:p>
      <w:pPr>
        <w:spacing w:after="0" w:line="16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Our operating expenses increased from RMB17.21 billion in 2024 to RMB17.41 billion (US$2.49 billion) in 2025, primarily due to the increase in general and administrative expenses, partially offset by the decreases in fulfillment expenses and technology and content expenses.</w:t>
      </w:r>
    </w:p>
    <w:p>
      <w:pPr>
        <w:spacing w:after="0" w:line="174"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Fulfillment expenses</w:t>
      </w:r>
      <w:r>
        <w:rPr>
          <w:rFonts w:ascii="Times New Roman" w:cs="Times New Roman" w:eastAsia="Times New Roman" w:hAnsi="Times New Roman"/>
          <w:sz w:val="18"/>
          <w:szCs w:val="18"/>
          <w:color w:val="auto"/>
        </w:rPr>
        <w:t>. Our fulfillment expenses decreased from RMB8.35 billion in 2024 to RMB8.29 billion (US$1.19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Shipping and handling expenses, the largest component of our fulfillment expenses during these periods, remained relatively stable, amounting to RMB5.82 billion in both 2024 and 2025. The decrease in our fulfillment expenses was generally in line with the decrease in our product sales volume. Our fulfillment expenses as a percentage of our total net revenues remained relatively stable, accounting for 7.7% in 2024 and 7.8% in 2025.</w:t>
      </w:r>
    </w:p>
    <w:p>
      <w:pPr>
        <w:spacing w:after="0" w:line="183"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Marketing expenses</w:t>
      </w:r>
      <w:r>
        <w:rPr>
          <w:rFonts w:ascii="Times New Roman" w:cs="Times New Roman" w:eastAsia="Times New Roman" w:hAnsi="Times New Roman"/>
          <w:sz w:val="18"/>
          <w:szCs w:val="18"/>
          <w:color w:val="auto"/>
        </w:rPr>
        <w:t>. Our marketing expenses increased from RMB2.98 billion in 2024 to RMB2.99 billion (US$427.4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Our marketing expenses as a percentage of our total net revenues remained relatively stable, accounting for 2.8% in both 2024 and 2025, primarily due to our disciplined marketing strategy.</w:t>
      </w:r>
    </w:p>
    <w:p>
      <w:pPr>
        <w:spacing w:after="0" w:line="173" w:lineRule="exact"/>
        <w:rPr>
          <w:sz w:val="20"/>
          <w:szCs w:val="20"/>
          <w:color w:val="auto"/>
        </w:rPr>
      </w:pPr>
    </w:p>
    <w:p>
      <w:pPr>
        <w:jc w:val="both"/>
        <w:ind w:right="360"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Technology and content expenses</w:t>
      </w:r>
      <w:r>
        <w:rPr>
          <w:rFonts w:ascii="Times New Roman" w:cs="Times New Roman" w:eastAsia="Times New Roman" w:hAnsi="Times New Roman"/>
          <w:sz w:val="18"/>
          <w:szCs w:val="18"/>
          <w:color w:val="auto"/>
        </w:rPr>
        <w:t>. Our technology and content expenses decreased from RMB1.89 billion in 2024 to RMB1.76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(US$251.0 million) in 2025, primarily due to the decrease in personnel expenses attributable to the decrease in the number of product and technology support employees. Our technology and content expenses as a percentage of our total net revenues remained relatively stable, accounting for 1.7% in both 2024 and 2025.</w:t>
      </w:r>
    </w:p>
    <w:p>
      <w:pPr>
        <w:spacing w:after="0" w:line="180"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r>
        <w:rPr>
          <w:rFonts w:ascii="Times New Roman" w:cs="Times New Roman" w:eastAsia="Times New Roman" w:hAnsi="Times New Roman"/>
          <w:sz w:val="18"/>
          <w:szCs w:val="18"/>
          <w:color w:val="auto"/>
        </w:rPr>
        <w:t>. Our general and administrative expenses increased from RMB3.99 billion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RMB4.37 billion (US$625.5 million) in 2025, primarily due to the increase in share-based compensation expenses. The increase in share-based compensation expenses was primarily attributable to the increase of the fair value of share-based awards determined based on performance of Shan Shan Outlets’ business. As a result, our general and administrative expenses as a percentage of our total net revenues increased from 3.7% in 2024 to 4.1% in 2025.</w:t>
      </w:r>
    </w:p>
    <w:p>
      <w:pPr>
        <w:spacing w:after="0" w:line="18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Other Operating Income</w:t>
      </w:r>
      <w:r>
        <w:rPr>
          <w:rFonts w:ascii="Times New Roman" w:cs="Times New Roman" w:eastAsia="Times New Roman" w:hAnsi="Times New Roman"/>
          <w:sz w:val="18"/>
          <w:szCs w:val="18"/>
          <w:color w:val="auto"/>
        </w:rPr>
        <w:t>. Our other operating income amounted to RMB1.06 billion (US$151.0 million) in 2025, as compared to RMB915.2 million in 2024. Our other operating income in 2024 and 2025 were primarily income derived from government grants.</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Interest Expenses</w:t>
      </w:r>
      <w:r>
        <w:rPr>
          <w:rFonts w:ascii="Times New Roman" w:cs="Times New Roman" w:eastAsia="Times New Roman" w:hAnsi="Times New Roman"/>
          <w:sz w:val="18"/>
          <w:szCs w:val="18"/>
          <w:color w:val="auto"/>
        </w:rPr>
        <w:t>. We incurred interest expenses of RMB57.7 million in 2024 and RMB90.0 million (US$12.9 million) in 2025, respectively, primarily due to the increase in short-term loans.</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Interest Income</w:t>
      </w:r>
      <w:r>
        <w:rPr>
          <w:rFonts w:ascii="Times New Roman" w:cs="Times New Roman" w:eastAsia="Times New Roman" w:hAnsi="Times New Roman"/>
          <w:sz w:val="18"/>
          <w:szCs w:val="18"/>
          <w:color w:val="auto"/>
        </w:rPr>
        <w:t>. Our interest income decreased from RMB809.8 million in 2024 to RMB801.6 million (US$114.6 million) in 2025, primarily due to the decrease in the interest rate of interest-bearing investments, such as the deposits and short-term investments with commercial banks.</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Income Tax Expenses</w:t>
      </w:r>
      <w:r>
        <w:rPr>
          <w:rFonts w:ascii="Times New Roman" w:cs="Times New Roman" w:eastAsia="Times New Roman" w:hAnsi="Times New Roman"/>
          <w:sz w:val="18"/>
          <w:szCs w:val="18"/>
          <w:color w:val="auto"/>
        </w:rPr>
        <w:t>. Income tax expenses were RMB1.80 billion (US$257.2 million) in 2025, as compared to RMB2.32 billion in 2024. Our effective tax rate in 2025 was 20.2%, as compared to 23.2% in 2024. The change in effective tax rate was primarily due to the combined impacts of (i) effect on dividends and undistributed earnings, (ii) effect of tax holidays on concessionary rates granted to our subsidiaries, (iii) change in valuation allowance, and (iv) effect of foreign tax.</w:t>
      </w:r>
    </w:p>
    <w:p>
      <w:pPr>
        <w:spacing w:after="0" w:line="180"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Share of Income of Equity Method Investees, Net of Tax of Nil</w:t>
      </w:r>
      <w:r>
        <w:rPr>
          <w:rFonts w:ascii="Times New Roman" w:cs="Times New Roman" w:eastAsia="Times New Roman" w:hAnsi="Times New Roman"/>
          <w:sz w:val="18"/>
          <w:szCs w:val="18"/>
          <w:color w:val="auto"/>
        </w:rPr>
        <w:t>. We recorded share of income of equity method investees of RMB293.9 million (US$42.0 million) in 2025, as compared to share of income of equity method investees of RMB167.0 million in 2024, which was primarily due to the increase in share of income from the underlying investments.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As a result of the foregoing, we recorded a net income of RMB7.41 billion (US$1.06 billion) in 2025, as compared to a net income of RMB7.84 billion in 2024.</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Net Income Attributable to Non-controlling Interests</w:t>
      </w:r>
      <w:r>
        <w:rPr>
          <w:rFonts w:ascii="Times New Roman" w:cs="Times New Roman" w:eastAsia="Times New Roman" w:hAnsi="Times New Roman"/>
          <w:sz w:val="18"/>
          <w:szCs w:val="18"/>
          <w:color w:val="auto"/>
        </w:rPr>
        <w:t>. We recorded net income attributable to non-controlling interests of RMB167.1 million (US$23.9 million) in 2025, as compared to net income attributable to non-controlling interests of RMB99.0 million in 2024, which was primarily due to the increase in net income attributable to non-controlling shareholders of Shan Shan Outlets.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Net Revenues</w:t>
      </w:r>
      <w:r>
        <w:rPr>
          <w:rFonts w:ascii="Times New Roman" w:cs="Times New Roman" w:eastAsia="Times New Roman" w:hAnsi="Times New Roman"/>
          <w:sz w:val="18"/>
          <w:szCs w:val="18"/>
          <w:color w:val="auto"/>
        </w:rPr>
        <w:t>. Our total net revenues decreased from RMB112.86 billion in 2023 to RMB108.42 billion in 2024, primarily due to a decrease in product revenues from RMB105.61 billion in 2023 to RMB100.73 billion in 2024. The number of our active customers was 84.7 million in 2024, as compared to 87.4 million in 2023. In 2024, facing a volatile economic climate and heightened market challenges, we pursued a strategic focus on quality over volume-driven expansion. Though net revenues saw a slight decline, our dedicated approach drove a year-over-year growth of 15.6% in active SVIP customers from 7.6 million in 2023 to 8.8 million in 2024.</w:t>
      </w:r>
    </w:p>
    <w:p>
      <w:pPr>
        <w:spacing w:after="0" w:line="18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Cost of Revenues</w:t>
      </w:r>
      <w:r>
        <w:rPr>
          <w:rFonts w:ascii="Times New Roman" w:cs="Times New Roman" w:eastAsia="Times New Roman" w:hAnsi="Times New Roman"/>
          <w:sz w:val="18"/>
          <w:szCs w:val="18"/>
          <w:color w:val="auto"/>
        </w:rPr>
        <w:t>. Our cost of revenues decreased from RMB87.14 billion in 2023 to RMB82.95 billion in 2024, primarily due to the decrease in cost of merchandise sold in line with the decrease in our products sales volume.</w:t>
      </w:r>
    </w:p>
    <w:p>
      <w:pPr>
        <w:spacing w:after="0" w:line="162"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Gross Profit and Gross Margin</w:t>
      </w:r>
      <w:r>
        <w:rPr>
          <w:rFonts w:ascii="Times New Roman" w:cs="Times New Roman" w:eastAsia="Times New Roman" w:hAnsi="Times New Roman"/>
          <w:sz w:val="18"/>
          <w:szCs w:val="18"/>
          <w:color w:val="auto"/>
        </w:rPr>
        <w:t>. As a result of the foregoing, our gross profit decreased from RMB25.72 billion in 2023 to RMB25.47 billion in 2024. Our gross margin increased from 22.8% in 2023 to 23.5% in 2024, primarily due to changes in product category mix and improved inventory management.</w:t>
      </w:r>
    </w:p>
    <w:p>
      <w:pPr>
        <w:spacing w:after="0" w:line="1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Our operating expenses decreased from RMB17.42 billion in 2023 to RMB17.21 billion in 2024, primarily due to the decreases in marketing expenses and general and administrative expenses, partially offset by the increases in fulfillment expenses and technology and content expenses.</w:t>
      </w:r>
    </w:p>
    <w:p>
      <w:pPr>
        <w:spacing w:after="0" w:line="17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Fulfillment expenses</w:t>
      </w:r>
      <w:r>
        <w:rPr>
          <w:rFonts w:ascii="Times New Roman" w:cs="Times New Roman" w:eastAsia="Times New Roman" w:hAnsi="Times New Roman"/>
          <w:sz w:val="18"/>
          <w:szCs w:val="18"/>
          <w:color w:val="auto"/>
        </w:rPr>
        <w:t>. Our fulfillment expenses increased from RMB8.26 billion in 2023 to RMB8.35 billion in 2024,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increase in warehouse staffs cost. Our fulfillment expenses as a percentage of our total net revenues increased from 7.3% in 2023 to 7.7% in 2024. Shipping and handling expenses, the largest component of our fulfillment expenses during these periods, remained relatively stable, amounting to RMB5.84 billion in 2023 and RMB5.82 billion in 2024.</w:t>
      </w:r>
    </w:p>
    <w:p>
      <w:pPr>
        <w:spacing w:after="0" w:line="180"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Marketing expenses</w:t>
      </w:r>
      <w:r>
        <w:rPr>
          <w:rFonts w:ascii="Times New Roman" w:cs="Times New Roman" w:eastAsia="Times New Roman" w:hAnsi="Times New Roman"/>
          <w:sz w:val="18"/>
          <w:szCs w:val="18"/>
          <w:color w:val="auto"/>
        </w:rPr>
        <w:t>. Our marketing expenses decreased from RMB3.24 billion in 2023 to RMB2.98 billion in 2024,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disciplined marketing strategy. Our marketing expenses as a percentage of our total net revenues remained relatively stable, accounting for 2.9% in 2023 and 2.8% in 2024.</w:t>
      </w:r>
    </w:p>
    <w:p>
      <w:pPr>
        <w:spacing w:after="0" w:line="173" w:lineRule="exact"/>
        <w:rPr>
          <w:sz w:val="20"/>
          <w:szCs w:val="20"/>
          <w:color w:val="auto"/>
        </w:rPr>
      </w:pPr>
    </w:p>
    <w:p>
      <w:pPr>
        <w:ind w:right="480" w:firstLine="324"/>
        <w:spacing w:after="0" w:line="290" w:lineRule="auto"/>
        <w:rPr>
          <w:sz w:val="20"/>
          <w:szCs w:val="20"/>
          <w:color w:val="auto"/>
        </w:rPr>
      </w:pPr>
      <w:r>
        <w:rPr>
          <w:rFonts w:ascii="Times New Roman" w:cs="Times New Roman" w:eastAsia="Times New Roman" w:hAnsi="Times New Roman"/>
          <w:sz w:val="17"/>
          <w:szCs w:val="17"/>
          <w:i w:val="1"/>
          <w:iCs w:val="1"/>
          <w:u w:val="single" w:color="auto"/>
          <w:color w:val="auto"/>
        </w:rPr>
        <w:t>Technology and content expenses</w:t>
      </w:r>
      <w:r>
        <w:rPr>
          <w:rFonts w:ascii="Times New Roman" w:cs="Times New Roman" w:eastAsia="Times New Roman" w:hAnsi="Times New Roman"/>
          <w:sz w:val="17"/>
          <w:szCs w:val="17"/>
          <w:color w:val="auto"/>
        </w:rPr>
        <w:t>. Our technology and content expenses increased from RMB1.77 billion in 2023 to RMB1.89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billion in 2024, primarily due to our continuing efforts to invest in advanced technologies such as AI. Our technology and content expenses as a percentage of our total net revenues remained relatively stable, accounting for 1.6% in 2023 and 1.7% in 2024.</w:t>
      </w:r>
    </w:p>
    <w:p>
      <w:pPr>
        <w:sectPr>
          <w:pgSz w:w="11900" w:h="16838" w:orient="portrait"/>
          <w:cols w:equalWidth="0" w:num="1">
            <w:col w:w="9920"/>
          </w:cols>
          <w:pgMar w:left="980" w:top="51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r>
        <w:rPr>
          <w:rFonts w:ascii="Times New Roman" w:cs="Times New Roman" w:eastAsia="Times New Roman" w:hAnsi="Times New Roman"/>
          <w:sz w:val="18"/>
          <w:szCs w:val="18"/>
          <w:color w:val="auto"/>
        </w:rPr>
        <w:t>. Our general and administrative expenses were RMB3.99 billion in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RMB4.15 billion in 2023. Our general and administrative expenses decreased by 3.7% primarily due to the decrease in impairment loss of long-lived assets. Our general and administrative expenses as a percentage of our total net revenues remained relatively stable, accounting for 3.7% in 2023 and 2024.</w:t>
      </w:r>
    </w:p>
    <w:p>
      <w:pPr>
        <w:spacing w:after="0" w:line="18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Other Operating Income</w:t>
      </w:r>
      <w:r>
        <w:rPr>
          <w:rFonts w:ascii="Times New Roman" w:cs="Times New Roman" w:eastAsia="Times New Roman" w:hAnsi="Times New Roman"/>
          <w:sz w:val="18"/>
          <w:szCs w:val="18"/>
          <w:color w:val="auto"/>
        </w:rPr>
        <w:t>. Our other operating income amounted to RMB915.2 million in 2024, as compared to RMB801.6 million in 2023. Our other operating income in 2024 primarily included income derived from government grants.</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Interest Expenses</w:t>
      </w:r>
      <w:r>
        <w:rPr>
          <w:rFonts w:ascii="Times New Roman" w:cs="Times New Roman" w:eastAsia="Times New Roman" w:hAnsi="Times New Roman"/>
          <w:sz w:val="18"/>
          <w:szCs w:val="18"/>
          <w:color w:val="auto"/>
        </w:rPr>
        <w:t>. We incurred interest expenses of RMB57.7 million in 2024, as compared to RMB22.9 million in 2023, primarily due to the increase in short-term loans.</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Interest Income</w:t>
      </w:r>
      <w:r>
        <w:rPr>
          <w:rFonts w:ascii="Times New Roman" w:cs="Times New Roman" w:eastAsia="Times New Roman" w:hAnsi="Times New Roman"/>
          <w:sz w:val="18"/>
          <w:szCs w:val="18"/>
          <w:color w:val="auto"/>
        </w:rPr>
        <w:t>. Our interest income increased by 3.8% from RMB780.3 million in 2023 to RMB809.8 million in 2024, primarily due to the increase in interest-bearing investments, such as the deposits and short-term investments with commercial banks.</w:t>
      </w:r>
    </w:p>
    <w:p>
      <w:pPr>
        <w:spacing w:after="0" w:line="162"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u w:val="single" w:color="auto"/>
          <w:color w:val="auto"/>
        </w:rPr>
        <w:t>Income Tax Expenses</w:t>
      </w:r>
      <w:r>
        <w:rPr>
          <w:rFonts w:ascii="Times New Roman" w:cs="Times New Roman" w:eastAsia="Times New Roman" w:hAnsi="Times New Roman"/>
          <w:sz w:val="17"/>
          <w:szCs w:val="17"/>
          <w:color w:val="auto"/>
        </w:rPr>
        <w:t>. Income tax expenses were RMB2,315.5 million in 2024, as compared to RMB1,866.0 million in 2023. Our effective tax rate in 2024 was 23.2%, as compared to 18.7% in 2023. The change in effective tax rate was primarily due to the combined impacts of (i) tax on dividends and undistributed earnings, (ii) change in valuation allowance, and (iii) effect of non-taxable income.</w:t>
      </w:r>
    </w:p>
    <w:p>
      <w:pPr>
        <w:spacing w:after="0" w:line="158"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Share of Income of Equity Method Investees, Net of Tax of Nil</w:t>
      </w:r>
      <w:r>
        <w:rPr>
          <w:rFonts w:ascii="Times New Roman" w:cs="Times New Roman" w:eastAsia="Times New Roman" w:hAnsi="Times New Roman"/>
          <w:sz w:val="18"/>
          <w:szCs w:val="18"/>
          <w:color w:val="auto"/>
        </w:rPr>
        <w:t>. We recorded share of income of equity method investees of RMB167.0 million in 2024, as compared to share of income of equity method investees of RMB80.3 million in 2023, which was primarily due to the increase in share of income from Guofu Life Insurance Co., Ltd.</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As a result of the foregoing, we recorded a net income of RMB7.84 billion in 2024, as compared to a net income of RMB8.20 billion in 2023.</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Net Income Attributable to Non-controlling Interests</w:t>
      </w:r>
      <w:r>
        <w:rPr>
          <w:rFonts w:ascii="Times New Roman" w:cs="Times New Roman" w:eastAsia="Times New Roman" w:hAnsi="Times New Roman"/>
          <w:sz w:val="18"/>
          <w:szCs w:val="18"/>
          <w:color w:val="auto"/>
        </w:rPr>
        <w:t>. We recorded net income attributable to non-controlling interests of RMB99.0 million in 2024, as compared to net income attributable to non-controlling interests of RMB84.7 million in 2023, which was primarily due to the increase in net income attributable to non-controlling shareholders of Shan Shan Outlets.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18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and 2025, we had RMB26.95 billion and RMB24.12 billion (US$3.45 billion), respectively, in cash, cash equivalents, and restricted cash. We had short-term investments with an aggregate outstanding amount of RMB5.78 billion (US$826.1 million) as of December 31, 2025. Our cash and cash equivalents primarily consist of cash on hand, time deposits that are not restricted as to withdrawal or use, and highly liquid investments with maturities of less than three months. We also procured several bank borrowings in an aggregate amount of RMB5.84 billion (US$835.8 million) and had unutilized banking facilities in an amount of RMB20.34 billion (US$2.91 billion) as of December 31, 2025. We believe that our current cash, cash equivalents, and our anticipated cash flows from operations will be sufficient to meet our anticipated working capital requirements and capital expenditures for the next 12 months. However, we may need additional capital in the future to fund our continued operations.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our cash, cash equivalents, restricted cash, and short-term investments were held in the following currency denominations and jurisdictions in which our subsidiaries domiciled: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1060" w:type="dxa"/>
            <w:vAlign w:val="bottom"/>
            <w:gridSpan w:val="3"/>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4"/>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gridSpan w:val="4"/>
          </w:tcPr>
          <w:p>
            <w:pPr>
              <w:jc w:val="right"/>
              <w:ind w:right="6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Subsidiaries</w:t>
            </w:r>
          </w:p>
        </w:tc>
        <w:tc>
          <w:tcPr>
            <w:tcW w:w="14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Hong</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Hong</w:t>
            </w: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Kong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Kong and</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United</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United</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50"/>
              <w:spacing w:after="0" w:line="176" w:lineRule="exact"/>
              <w:rPr>
                <w:sz w:val="20"/>
                <w:szCs w:val="20"/>
                <w:color w:val="auto"/>
              </w:rPr>
            </w:pPr>
            <w:r>
              <w:rPr>
                <w:rFonts w:ascii="Times New Roman" w:cs="Times New Roman" w:eastAsia="Times New Roman" w:hAnsi="Times New Roman"/>
                <w:sz w:val="14"/>
                <w:szCs w:val="14"/>
                <w:b w:val="1"/>
                <w:bCs w:val="1"/>
                <w:color w:val="auto"/>
              </w:rPr>
              <w:t>in China</w:t>
            </w:r>
            <w:r>
              <w:rPr>
                <w:rFonts w:ascii="Times New Roman" w:cs="Times New Roman" w:eastAsia="Times New Roman" w:hAnsi="Times New Roman"/>
                <w:sz w:val="20"/>
                <w:szCs w:val="20"/>
                <w:b w:val="1"/>
                <w:bCs w:val="1"/>
                <w:color w:val="auto"/>
                <w:vertAlign w:val="superscript"/>
              </w:rPr>
              <w:t>(1)</w:t>
            </w:r>
          </w:p>
        </w:tc>
        <w:tc>
          <w:tcPr>
            <w:tcW w:w="98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  Regions</w:t>
            </w:r>
          </w:p>
        </w:tc>
        <w:tc>
          <w:tcPr>
            <w:tcW w:w="220" w:type="dxa"/>
            <w:vAlign w:val="bottom"/>
            <w:gridSpan w:val="2"/>
            <w:vMerge w:val="continue"/>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2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80" w:type="dxa"/>
            <w:vAlign w:val="bottom"/>
            <w:gridSpan w:val="2"/>
          </w:tcPr>
          <w:p>
            <w:pPr>
              <w:jc w:val="right"/>
              <w:ind w:right="36"/>
              <w:spacing w:after="0" w:line="176" w:lineRule="exact"/>
              <w:rPr>
                <w:sz w:val="20"/>
                <w:szCs w:val="20"/>
                <w:color w:val="auto"/>
              </w:rPr>
            </w:pPr>
            <w:r>
              <w:rPr>
                <w:rFonts w:ascii="Times New Roman" w:cs="Times New Roman" w:eastAsia="Times New Roman" w:hAnsi="Times New Roman"/>
                <w:sz w:val="14"/>
                <w:szCs w:val="14"/>
                <w:b w:val="1"/>
                <w:bCs w:val="1"/>
                <w:color w:val="auto"/>
              </w:rPr>
              <w:t>​​​  in China</w:t>
            </w:r>
            <w:r>
              <w:rPr>
                <w:rFonts w:ascii="Times New Roman" w:cs="Times New Roman" w:eastAsia="Times New Roman" w:hAnsi="Times New Roman"/>
                <w:sz w:val="20"/>
                <w:szCs w:val="20"/>
                <w:b w:val="1"/>
                <w:bCs w:val="1"/>
                <w:color w:val="auto"/>
                <w:vertAlign w:val="superscript"/>
              </w:rPr>
              <w:t>(1)</w:t>
            </w:r>
          </w:p>
        </w:tc>
        <w:tc>
          <w:tcPr>
            <w:tcW w:w="100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  Regions</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  States</w:t>
            </w:r>
          </w:p>
        </w:tc>
        <w:tc>
          <w:tcPr>
            <w:tcW w:w="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gridSpan w:val="3"/>
          </w:tcPr>
          <w:p>
            <w:pPr>
              <w:jc w:val="right"/>
              <w:ind w:right="45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 Denomination</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right="1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RMB</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21,211,074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2,304,057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23,515,131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21,781,141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5,590,746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27,371,887</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5,234,279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5,259,847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2,442,595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2,491,314</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37,183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37,185</w:t>
            </w:r>
          </w:p>
        </w:tc>
        <w:tc>
          <w:tcPr>
            <w:tcW w:w="0" w:type="dxa"/>
            <w:vAlign w:val="bottom"/>
          </w:tcPr>
          <w:p>
            <w:pPr>
              <w:spacing w:after="0"/>
              <w:rPr>
                <w:sz w:val="1"/>
                <w:szCs w:val="1"/>
                <w:color w:val="auto"/>
              </w:rPr>
            </w:pPr>
          </w:p>
        </w:tc>
      </w:tr>
      <w:tr>
        <w:trPr>
          <w:trHeight w:val="209"/>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21,236,307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7,590,615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28,827,259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21,829,473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8,070,524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29,900,386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Also include the consolidated variable interest entities in China.</w:t>
      </w:r>
    </w:p>
    <w:p>
      <w:pPr>
        <w:spacing w:after="0" w:line="225"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our cash, cash equivalents, and restricted cash held by the consolidated variable interest entities and subsidiaries in China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480" w:type="dxa"/>
            <w:vAlign w:val="bottom"/>
            <w:gridSpan w:val="2"/>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7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4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variable interest entities in China</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3,899,279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2,969,385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Subsidiaries in China</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17,337,028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17,325,599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21,236,307</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20,294,984</w:t>
            </w: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2025, our short-term investments held by the consolidated variable interest entities and subsidiaries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gridSpan w:val="2"/>
          </w:tcPr>
          <w:p>
            <w:pPr>
              <w:ind w:left="61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7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760" w:type="dxa"/>
            <w:vAlign w:val="bottom"/>
          </w:tcPr>
          <w:p>
            <w:pPr>
              <w:jc w:val="center"/>
              <w:ind w:lef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4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variable interest entities in China</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Subsidiaries in China</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1,394,448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1,534,489</w:t>
            </w: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4820"/>
              <w:spacing w:after="0"/>
              <w:rPr>
                <w:sz w:val="20"/>
                <w:szCs w:val="20"/>
                <w:color w:val="auto"/>
              </w:rPr>
            </w:pPr>
            <w:r>
              <w:rPr>
                <w:rFonts w:ascii="Times New Roman" w:cs="Times New Roman" w:eastAsia="Times New Roman" w:hAnsi="Times New Roman"/>
                <w:sz w:val="18"/>
                <w:szCs w:val="18"/>
                <w:color w:val="auto"/>
              </w:rPr>
              <w:t>121</w:t>
            </w: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2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PRC government authorities regulate the convertibility of the Renminbi into foreign currencies and, in certain cases, the remittance of currencies out of China. We receive substantially all of our revenues in Renminbi. Under our current corporate structure, our company in the Cayman Islands may rely on dividend payments from our PRC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WFOEs in China are able to pay dividends in foreign currencies to us without prior approval from SAFE, subject to the condition that the remittance of such dividends out of China complies with certain procedures under PRC foreign exchange regulations, such as the requirement of outbound overseas investment registrations by our shareholders or the ultimate shareholders of our corporate shareholders who are PRC residents. Approval from or registration with appropriate government authorities is required where Renminbi is to be converted into foreign currencies and remitted out of China to pay capital expenses such as the repayment of loans denominated in foreign currencies. There is no requirement on U.S. investors to complete registration or obtain approval from appropriate government authorities before they can receive dividend payments from our Cayman company. The PRC government may also in the future in its discretion restrict access to foreign currencies for current account transactions. If the PRC foreign exchange control system prevents us from obtaining sufficient foreign currencies to satisfy our foreign currency demands, we may not be able to pay dividends in foreign currencies to our shareholders, including holders of our ADSs.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vMerge w:val="restart"/>
          </w:tcPr>
          <w:p>
            <w:pPr>
              <w:ind w:left="54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9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9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
        </w:trPr>
        <w:tc>
          <w:tcPr>
            <w:tcW w:w="55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4"/>
          </w:tcPr>
          <w:p>
            <w:pPr>
              <w:jc w:val="right"/>
              <w:ind w:right="5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14,414,513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9,128,983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7,454,245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1,065,943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(5,160,337)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(3,565,550)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(8,297,050)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(1,186,464)</w:t>
            </w:r>
          </w:p>
        </w:tc>
        <w:tc>
          <w:tcPr>
            <w:tcW w:w="0" w:type="dxa"/>
            <w:vAlign w:val="bottom"/>
          </w:tcPr>
          <w:p>
            <w:pPr>
              <w:spacing w:after="0"/>
              <w:rPr>
                <w:sz w:val="1"/>
                <w:szCs w:val="1"/>
                <w:color w:val="auto"/>
              </w:rPr>
            </w:pPr>
          </w:p>
        </w:tc>
      </w:tr>
      <w:tr>
        <w:trPr>
          <w:trHeight w:val="216"/>
        </w:trPr>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(6,146,005)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(4,969,579)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(276,783)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0" w:type="dxa"/>
            <w:vAlign w:val="bottom"/>
          </w:tcPr>
          <w:p>
            <w:pPr>
              <w:spacing w:after="0"/>
              <w:rPr>
                <w:sz w:val="1"/>
                <w:szCs w:val="1"/>
                <w:color w:val="auto"/>
              </w:rPr>
            </w:pPr>
          </w:p>
        </w:tc>
      </w:tr>
      <w:tr>
        <w:trPr>
          <w:trHeight w:val="216"/>
        </w:trPr>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23,103,401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26,297,366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26,954,503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3,854,443</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26,297,366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26,954,503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24,123,164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3,449,566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Vipshop Holdings Limited did not provide any capital contribution to its subsidiaries.</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Vipshop Holdings Limited did not extend any intercompany loans to its subsidiaries, and our subsidiaries did not provide any repayment of intercompany loans to Vipshop Holdings Limited.</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2024 and 2025, our subsidiaries did not extend any intercompany loans to Vipshop Holdings Limited. For the years ended December 31, 2023, 2024 and 2025, our subsidiaries did not extend any intercompany loans to the consolidated variable interest entities, and the consolidated variable interest entities did not provide any repayment of intercompany loans to our subsidiaries.</w:t>
      </w:r>
    </w:p>
    <w:p>
      <w:pPr>
        <w:spacing w:after="0" w:line="18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2024 and 2025, an aggregate amount of RMB1.26 billion, RMB1.88 billion and nil was provided by the consolidated variable interest entities to our subsidiaries in the form of intercompany loans, respectively, and an aggregate amount of RMB3.26 billion, RMB1.89 billion and nil was provided by our subsidiaries to the consolidated variable interest entities in the form of repayment of intercompany loans, respectively.</w:t>
      </w:r>
    </w:p>
    <w:p>
      <w:pPr>
        <w:spacing w:after="0" w:line="1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our subsidiaries did not make any payment to the consolidated variable interest entities for transfer of property and equipment.</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2024 and 2025, no assets other than cash were transferred between our Cayman Islands holding company and a subsidiary, a VIE, or its subsidiary, and no subsidiary or VIE paid dividends or made other distributions to its holding company, except for the dividend of nil, RMB10 billion and RMB6.23 billion paid by Vipshop (China) Co., Ltd., our PRC subsidiary, to its holding company in Hong Kong, Vipshop International Holdings Limited, in 2023, 2024 and 2025. These dividends are subject to 5% withholding tax. For the years ended December 31, 2024 and 2025, Vipshop International Holdings Limited paid dividends of RMB1.68 billion and RMB1.77 billion (US$252.9 million) to the Cayman Islands holding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the services provided, cash flows or transfer of other assets between our company, our subsidiaries and the consolidated variable interest entities during the three years ended December 31, 2023, 2024 and 2025, see “Item 3. Key Information—Financial Information Relating to the Consolidated Variable Interest Entities” and Note 2(b) to our consolidated financial statements included elsewhere in this annual report on Form 20-F.</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7"/>
          <w:szCs w:val="17"/>
          <w:color w:val="auto"/>
        </w:rPr>
        <w:t>Net cash generated from operating activities amounted to RMB7.45 billion (US$1.07 billion) in 2025, which was primarily attributable to a net income of RMB7.41 billion (US$1.06 billion), adjusted for certain non-cash expenses consisting primarily of (i) share-based compensation expenses of RMB1.73 billion (US$247.5 million), (ii) depreciation of property and equipment of RMB1.53 billion (US$218.3 million), attributable to increases in warehouse and outlets, and (iii) amortization of land use rights of RMB278.6 million (US$39.8 million) due to the increase of land use rights, partially offset by (i) share of income of equity method investees of RMB293.9 million (US$42.0 million), (ii) investment gain and revaluation of investments of RMB109.0 million (US$15.6 million), and</w:t>
      </w:r>
    </w:p>
    <w:p>
      <w:pPr>
        <w:spacing w:after="0" w:line="5" w:lineRule="exact"/>
        <w:rPr>
          <w:sz w:val="20"/>
          <w:szCs w:val="20"/>
          <w:color w:val="auto"/>
        </w:rPr>
      </w:pPr>
    </w:p>
    <w:p>
      <w:pPr>
        <w:ind w:right="300" w:firstLine="8"/>
        <w:spacing w:after="0" w:line="252" w:lineRule="auto"/>
        <w:tabs>
          <w:tab w:leader="none" w:pos="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of inventory write-down of RMB104.2 million (US$14.9 million). The adjustment for changes in operating assets and liabilities primarily reflected (i) a decrease in accounts payable of RMB2.17 billion (US$310.2 million) due to decreased inventory purchases, (ii) an increase in other receivables and prepayments of RMB340.8 million (US$48.7 million) due to increases in VAT and EIT recoverables, prepayment to suppliers related to procurement activities of goods and services, and interest receivables, and (iii) a decrease in accrued expenses and other current liabilities of RMB216.3 million (US$30.9 million) due to a decrease in operating expenses.</w:t>
      </w:r>
    </w:p>
    <w:p>
      <w:pPr>
        <w:spacing w:after="0" w:line="19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Net cash generated from operating activities amounted to RMB9.13 billion in 2024, which was primarily attributable to a net income of RMB7.84 billion, adjusted for certain non-cash expenses consisting primarily of (i) share-based compensation expenses of RMB1.54 billion, (ii) depreciation of property and equipment of RMB1.42 billion, attributable to increases in warehouse and outlets, (iii) amortization of land use rights of RMB270.1 million due to the increase of land use rights, partially offset by (i) share of income of equity method investees of RMB167.0 million and (ii) investment gain and revaluation of investments of RMB135.1 million. The adjustment for changes in operating assets and liabilities primarily reflected (i) a decrease in accounts payable of RMB2.17 billion due to decreased inventory purchases and (ii) a decrease in inventories of RMB944.7 million due to our efforts in improving our inventory management.</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Net cash generated from operating activities amounted to RMB14.41 billion in 2023, which was primarily attributable to a net income of RMB8.20 billion, adjusted for certain non-cash expenses consisting primarily of (i) share-based compensation expenses of RMB1.51 billion, (ii) depreciation of property and equipment of RMB1.30 billion, attributable to increases in warehouse and outlets, (iii) amortization of land use rights of RMB217.3 million due to the increase of land use rights, and (iv) impairment of long-lived assets of RMB156.2 million due to impairment of operating lease right-of-use assets of city outlets. The adjustment for changes in operating assets and liabilities primarily reflected (i) an increase in accounts payable of RMB2.57 billion due to increased inventory purchases, (ii) an increase in accrued expenses and other current liabilities of RMB666.3 million, primarily due to increase in our operating expenses, and</w:t>
      </w:r>
    </w:p>
    <w:p>
      <w:pPr>
        <w:spacing w:after="0" w:line="3"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inventories of RMB601.4 million due to our efforts in improving our inventory management.</w:t>
      </w:r>
    </w:p>
    <w:p>
      <w:pPr>
        <w:spacing w:after="0" w:line="20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amounted to RMB8.30 billion (US$1.19 billion) in 2025, primarily consisting of (i) RMB10.95 billion (US$1.57 billion) used for purchase of short-term investments, (ii) RMB2.48 billion (US$355.0 million) paid for investments in equity method investees and other investments, (iii) RMB2.07 billion (US$295.5 million) capital expenditure relating to our construction and expansion of Shan Shan Outlets, land use rights, office buildings, as well as purchases of office and other operating equipment and IT software, and (iv) cash paid for loan originations of RMB106.9 million (US$15.3 million), partially offset by (i) redemption of short-term investments upon maturities of RMB7.03 billion (US$1.01 billion), (ii) government subsidies received for land use rights of RMB278.5 million (US$39.8 million), and (iii) cash received from loan repayments of RMB103.2 million (US$14.8 million).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amounted to RMB3.57 billion in 2024, primarily consisting of (i) RMB3.56 billion capital expenditure relating to our construction and expansion of Shan Shan Outlets, land use rights, office buildings, as well as purchases of office and other operating equipment and IT software, (ii) RMB4.48 billion used for purchases of short-term investments, partially offset by RMB4.61 billion from redemption of short-term investments upon maturities, (iii) RMB412.9 million from government subsidies received for land use rights, (iv) RMB374.9 million paid for investments in equity method investees and other investments, primarily consisting of investment in private equity funds and other equity method investees, and (v) RMB250.5 million of a deposit paid for an equity method investee.</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amounted to RMB5.16 billion in 2023, primarily consisting of (i) RMB5.23 billion capital expenditure relating to our construction and expansion of Shan Shan Outlets, land use rights, office buildings, as well as purchases of office and other operating equipment and IT software, (ii) RMB3.96 billion used for purchases of short-term investments, partially offset by RMB3.57 billion from redemption of short-term investments upon maturities, (iii) RMB347.1 million from government subsidies received for land use rights, (iv) RMB282.5 million paid for investments in equity method investees and other investments, primarily consisting of investment in private equity funds and other equity method investees, (v) RMB199.0 million of proceeds from disposal of property and equipment and land use rights, and (vi) RMB156.4 million from other investing activities.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 amounted to RMB1.94 billion (US$276.8 million) in 2025, primarily consisting of (i) RMB9.68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(US$1.38 billion) of repayment to bank and other borrowings, (ii) RMB4.94 billion (US$706.5 million) of repurchase of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and (iii) RMB1.80 billion (US$256.7 million) of dividend distribution to shareholders, partially offset by RMB13.15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(US$1.88 billion) of proceeds from bank and other borrowings and RMB1.39 billion (US$198.2 million) of net proceed derived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of a closed-end infrastructure securities investment fund in relation to certain outlet on the Shanghai Stock Exchange (fund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508082.SH).</w:t>
      </w:r>
    </w:p>
    <w:p>
      <w:pPr>
        <w:spacing w:after="0" w:line="20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amounted to RMB4.97 billion in 2024, primarily consisting of (i) RMB3.87 billion of repurchase of ordinary shares, (ii) RMB5.44 billion of repayment to bank and other borrowings, (iii) RMB1.68 billion of dividend distribution to shareholders, (iv) RMB512.2 million for acquisition of non-controlling interests, and partially offset by RMB6.40 billion of proceeds from bank borrowings and other borrowings and RMB160.5 million of capital contributions from non-controlling interests shareholders.</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amounted to RMB6.15 billion in 2023, primarily consisting of RMB5.11 billion of repurchase of ordinary shares and RMB3.36 billion of repayment to bank and other borrowings, partially offset by RMB2.09 billion of proceeds from bank borrowings and other borrowings and RMB285.5 million of capital contributions from non-controlling interests shareholders.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capital expenditures paid to acquire property and equipment and land use rights amounted to RMB5.23 billion, RMB3.56 billion and RMB2.07 billion (US$295.5 million) in the years ended December 31, 2023, 2024 and 2025, respectively. Out of the foregoing capital expenditures, we paid RMB3.06 billion, RMB839.3 million and RMB80.8 million (US$11.6 million) in the years ended December 31, 2023, 2024 and 2025, respectively, to acquire the land use rights of certain land located in China. Our capital expenditures were primarily for the expansion of Shan Shan Outlets, acquisition of land use rights, construction of office building and warehouses, and other infrastructure from 2020 through 2025, and we expect such composition to last in 2026.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Vipshop Holdings Limited is a holding company with no material operations of its own. We conduct our operations primarily through our wholly-owned subsidiaries and the consolidated variable interest entities in China. As a result, our ability to pay dividends depends upon dividends paid by our wholly-owned subsidiaries. If our wholly-owned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PRC accounting standards and regulations. Under PRC law, each of our wholly-owned PRC subsidiaries and the consolidated variable interest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We set aside amounts of RMB150.1 million, RMB193.5 million and RMB279.1 million (US$39.9 million) from current year’s net income to the general reserve during the years ended December 31, 2023, 2024 and 2025, respectively.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Other than the ordinary cash requirements for our operations, our material cash requirements as of December 31, 2025 and any subsequent interim period primarily include our operating lease obligations, capital expenditure commitments, purchase of services, debt obligations, and cash requirements for potential investments.</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operating lease obligations primarily consist of the commitments under the lease agreements that expire at various dates from January 2026 through July 2038 for our office spaces, outlets, offline stores, employee department, and certain equipment.</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debt obligations primarily consist of the principal amount and cash interests in connection with banks and other loans from a third party.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capital expenditure commitments primarily consist of contracted future purchases of property, plants, and equipment.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we had investment commitment of other several limited partnership funds of RMB941.2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(US$134.6 million). The amount of our investment in and contribution to the private equity funds may be subject to adjustments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commitment reduction or capital calls by the general partnership of these private equity funds.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and other financing alternatives.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make cash commitments, including capital expenditures, to support the growth of our business.</w:t>
      </w:r>
    </w:p>
    <w:p>
      <w:pPr>
        <w:spacing w:after="0" w:line="20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we had not entered into any other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minimum contractual obligations as of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Payment Due by December 31</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42"/>
        </w:trPr>
        <w:tc>
          <w:tcPr>
            <w:tcW w:w="5300" w:type="dxa"/>
            <w:vAlign w:val="bottom"/>
            <w:gridSpan w:val="2"/>
          </w:tcPr>
          <w:p>
            <w:pPr>
              <w:ind w:left="5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2026</w:t>
            </w:r>
          </w:p>
        </w:tc>
        <w:tc>
          <w:tcPr>
            <w:tcW w:w="9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2027</w:t>
            </w:r>
          </w:p>
        </w:tc>
        <w:tc>
          <w:tcPr>
            <w:tcW w:w="94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2028</w:t>
            </w:r>
          </w:p>
        </w:tc>
        <w:tc>
          <w:tcPr>
            <w:tcW w:w="96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After</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771,707</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80,936</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554,391</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 obligations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6,004,120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6,004,120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commitment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258,378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r>
    </w:tbl>
    <w:p>
      <w:pPr>
        <w:spacing w:after="0" w:line="130"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Other than as discussed above, we did not have any significant capital and other commitments, long-term obligations or guarantees as of December 31, 2025. While the above indicates our material cash requirements as of December 31, 2025, the actual amounts we are eventually required to pay may be different in the event that any agreements are renegotiated, cancelled or terminated.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Overview—Technology” and “Item 4. Information on the Company—B.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Overview—Intellectual Property” for a description of our technologies and protection of our intellectual property.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since January 1, 2026 that are reasonably likely to have a material adverse effect on our revenues, income, profitability, liquidity or capital resources, or that caused the disclosed financial information to be not necessarily indicative of future operating results or financial conditions.</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Estimates</w:t>
      </w:r>
    </w:p>
    <w:p>
      <w:pPr>
        <w:spacing w:after="0" w:line="22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An accounting estimate is considered critical if it requires assumptions to be made based on assumptions about matters that are highly uncertain at the time such estimate is made and if different accounting estimates that reasonably could have been used, or changes in the accounting estimates that are reasonably likely to occur, could materially impact the consolidated financial statements. We believe that the following accounting estimates involve a higher degree of judgment and complexity in their application of assumptions.</w:t>
      </w:r>
    </w:p>
    <w:p>
      <w:pPr>
        <w:spacing w:after="0" w:line="16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accounted for revenue in accordance with Topic 606, “Revenue from Contracts with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recognition</w:t>
      </w:r>
    </w:p>
    <w:p>
      <w:pPr>
        <w:spacing w:after="0" w:line="227"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We derive a majority of our revenue from online product revenue. We recognize revenue from the sale of apparel, fashion goods, cosmetics, home goods and lifestyle products, and other merchandise through our online channels, including our internet website and cellular phone application. We recognize revenue at the point of time when the goods have been accepted by the customers. The customers have the options to pay for the goods in advance or over an agreed-upon installment period. The delivery day estimate was determined based on the average delivery days for sales made during the last month of the reporting period, derived from customer locations and delivery reports. A one-day change in the estimated goods in-transit period would result in an increase or decrease of approximately RMB436.2 million, RMB560.1 million and RMB456.0 million (US$65.2 million) to our total net revenues in the years ended December 31, 2023, 2024 and 2025,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 rights</w:t>
      </w:r>
    </w:p>
    <w:p>
      <w:pPr>
        <w:spacing w:after="0" w:line="227"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We offer our online sales customers with a right of return for a seven-day period upon receipt of the products on sales from our online channels. We reduce product revenues by an estimate of expected customer merchandise returns, which is calculated based on historical return patterns and recorded as a refund liability included in accrued expenses and other current liabilities. The estimated refund liability contributed 0.4%, 0.5% and 0.4% of the net revenues for the years ended December 31, 2023, 2024 and 2025, respectively.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Inventory write-down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Inventories, consisting of products available for sales, are valued at the lower of cost or net realizable value with cost determined using the weighted average cost method. Net realizable value is based on estimated selling prices in the ordinary course of business, less reasonably predictable transportation cost. Adjustments are recorded when estimated net realizable value is less than cost. Write-downs are recorded in cost of revenues in the consolidated statements of income and comprehensive income.</w:t>
      </w:r>
    </w:p>
    <w:p>
      <w:pPr>
        <w:sectPr>
          <w:pgSz w:w="11900" w:h="16838" w:orient="portrait"/>
          <w:cols w:equalWidth="0" w:num="1">
            <w:col w:w="9880"/>
          </w:cols>
          <w:pgMar w:left="980" w:top="513" w:right="103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Inventory write-down is estimated based on significant management estimates and assumptions used to determine the write-down percentages that are applied to different aging groups and the assessed condition of the merchandise within each category. In determining the write-down percentages on inventories, we take into considerations of factors, such as the inventories’ aging, historical trends, forecasted demands, expected selling prices, and future promotional events.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PRC and other jurisdictions. We exercise significant judgment and record a provision for income taxes for the anticipated tax consequences of the reported results of operations using the asset and liability method. Under this method, we recognize deferred income tax assets and liabilities for the expected future tax consequences of temporary differences between the financial reporting and tax bases of assets and liabilities, as well as for loss and tax credit carryforwards. Deferred tax assets and liabilities are measured using the tax rates that are expected to apply to taxable income for the years in which those tax assets and liabilities are expected to be realized or settled. We recognize the deferred income tax effects of a change in tax rates in the period of the enactment.</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record a valuation allowance to reduce our deferred tax assets to the net amount that we believe is more likely than not to be realized. The recognition of deferred tax assets is based on the assessment of whether it is probable that sufficient taxable profit will be available in the future to utilize the deductible temporary differences and the enacted tax rate will be in effect in the period in which the temporary differences are expected to reverse. This assessment requires estimates of the future financial performance of a particular legal entity or a tax group that has recognized the deferred tax asset. The estimates of the future financial performance and the applicability of preferential tax rates attributed to the uncertainty of the estimate.</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recognize in our consolidated financial statements the benefit of a tax position if the tax position is “more likely than not” to prevail based on the facts and technical merits of the position. Tax positions that meet the “more likely than not” recognition threshold are measured at the largest amount of tax benefit that has a greater than 50% likelihood of being realized upon settlement. We estimate our liability for unrecognized tax benefits which are periodically assessed and may be affected by changing interpretations of laws, rulings by tax authorities, changes and/or developments with respect to tax audits, and expiration of the statute of limitations. The ultimate outcome for a particular tax position may not be determined with certainty prior to the conclusion of a tax audit and, in some cases, appeal or litigation process. The actual benefits ultimately realized may differ from our estimates. As each audit is concluded, adjustments, if any, are recorded in our consolidated financial statements in the period in which the audit is concluded. Additionally, in future periods, changes in facts, circumstances, and new information may require us to adjust the recognition and measurement estimates with regard to individual tax positions. Changes in recognition and measurement estimates are recognized in the period in which the changes occur. As of December 31, 2024 and 2025, we did not have any significant unrecognized uncertain tax positions.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see Note 2(ai) to the consolidated financial statements of Vipshop Holdings Limited pursuant to Item 18 of Part III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 None of our directors or directors of our operating entities are officials of the Chinese Communist Party.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2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Ya Shen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Chief Executive Officer</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Arthur Xiaobo Hong</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 Chief Operating Officer</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 Ping Martin Lau</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Jacky Xu</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Donghao Yang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Chun Liu</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Frank Lin</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Xing Liu</w:t>
            </w:r>
            <w:r>
              <w:rPr>
                <w:rFonts w:ascii="Times New Roman" w:cs="Times New Roman" w:eastAsia="Times New Roman" w:hAnsi="Times New Roman"/>
                <w:sz w:val="25"/>
                <w:szCs w:val="25"/>
                <w:color w:val="auto"/>
                <w:vertAlign w:val="superscript"/>
              </w:rPr>
              <w:t>(3)</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Kathleen Chien</w:t>
            </w:r>
            <w:r>
              <w:rPr>
                <w:rFonts w:ascii="Times New Roman" w:cs="Times New Roman" w:eastAsia="Times New Roman" w:hAnsi="Times New Roman"/>
                <w:sz w:val="25"/>
                <w:szCs w:val="25"/>
                <w:color w:val="auto"/>
                <w:vertAlign w:val="superscript"/>
              </w:rPr>
              <w:t>(1)(2)(3)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Nanyan Zheng</w:t>
            </w:r>
            <w:r>
              <w:rPr>
                <w:rFonts w:ascii="Times New Roman" w:cs="Times New Roman" w:eastAsia="Times New Roman" w:hAnsi="Times New Roman"/>
                <w:sz w:val="25"/>
                <w:szCs w:val="25"/>
                <w:color w:val="auto"/>
                <w:vertAlign w:val="superscript"/>
              </w:rPr>
              <w:t>(1)(2)(3)</w:t>
            </w: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Wang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Mike Li</w:t>
            </w:r>
          </w:p>
        </w:tc>
        <w:tc>
          <w:tcPr>
            <w:tcW w:w="2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4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1568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nominating and corporate governance committee.</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the currently effective articles of association of our company, our board of directors consists of ten directors, including one director, Mr. Chi Ping Martin Lau, appointed by Tencent. Each of our directors will hold office until the expiration of his or her term and until his or her successor should have been elected and qualified. There are no family relationships among any of the directors or executive officers of our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Biographical Information</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Mr. Eric Ya Shen, also known as Ya Shen, is our co-founder and has served as the chairman of our board of directors and chief executive officer since our inception in August 2010. Additionally, Mr. Shen serves as a director of various subsidiaries in our group. He has over 25 years of experience in the distribution of consumer goods and e-commerce industry. From 2004 to 2012, Mr. Shen served as the executive director of Guangzhou NEM Import and Export Co., Ltd., a company primarily engaging in the import and export of products. Mr. Shen received a master’s degree in business administration from Cheung Kong Graduate School of Business in September 2010.</w:t>
      </w:r>
    </w:p>
    <w:p>
      <w:pPr>
        <w:spacing w:after="0" w:line="187" w:lineRule="exact"/>
        <w:rPr>
          <w:sz w:val="20"/>
          <w:szCs w:val="20"/>
          <w:color w:val="auto"/>
        </w:rPr>
      </w:pPr>
    </w:p>
    <w:p>
      <w:pPr>
        <w:ind w:right="400" w:firstLine="324"/>
        <w:spacing w:after="0" w:line="277" w:lineRule="auto"/>
        <w:rPr>
          <w:sz w:val="20"/>
          <w:szCs w:val="20"/>
          <w:color w:val="auto"/>
        </w:rPr>
      </w:pPr>
      <w:r>
        <w:rPr>
          <w:rFonts w:ascii="Times New Roman" w:cs="Times New Roman" w:eastAsia="Times New Roman" w:hAnsi="Times New Roman"/>
          <w:sz w:val="17"/>
          <w:szCs w:val="17"/>
          <w:color w:val="auto"/>
        </w:rPr>
        <w:t>Mr. Arthur Xiaobo Hong, also known as Xiaobo Hong, is our co-founder and has served as the vice chairman of our board of directors since January 2011. Mr. Hong has served as our chief operating officer since August 2012. Mr. Hong has over 20 years of experience in the distribution of consumer goods and e-commerce industry. From 1998 to 2011, Mr. Hong served as chairman of the board of directors of Société Europe Pacifique Distribution, a French company engaging in the distribution of consumer electronic products. Mr. Hong previously studied business administration at Cheung Kong Graduate School of Business in Beijing, China.</w:t>
      </w:r>
    </w:p>
    <w:p>
      <w:pPr>
        <w:spacing w:after="0" w:line="1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Mr. Chi Ping Martin Lau has served as our director since December 2017. Mr. Lau is the president of Tencent Holdings Limited (SEHK: 0700), or Tencent. He joined Tencent in 2005 as the chief strategy and investment officer, and was responsible for corporate strategies, investments, merger and acquisitions, and investor relations. In 2006, Mr. Lau was promoted as president of Tencent to manage the day-to-day operation of Tencent. Prior to joining Tencent, Mr. Lau was an executive director at Goldman Sachs (Asia) L.L.C.’s investment banking division and the chief operating officer of its telecom, media, and technology group. Prior to that, he worked at Mckinsey &amp; Company, Inc. as a management consultant. Mr. Lau received a bachelor of science degree in electrical engineering from the University of Michigan in July 1994, a master of science degree in electrical engineering from Stanford University in July 1995 and an MBA degree from Kellogg Graduate School of Management, Northwestern University in June 1998. Mr. Lau previously served as a director of Tencent until May 2023.</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Mr. Jacky Xu, also known as Jacky Yu Xu, is an angel investor of our company and has served as our director since January 2011. Mr. Xu is the director of several privately held companies in China. He is co-founder, chairman and chief executive officer of Trendy International Group Co., Ltd., an international fashion conglomerate. Mr. Xu previously studied at Cheung Kong Graduate School of Business in Beijing, China.</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Mr. Donghao Yang has served as our director since November 2020. Mr. Yang is currently the director and chief financial officer of Yatsen Holding Limited (NYSE: YSG). Prior to that, he has served as our chief financial officer from August 2011 to November 2020. Mr. Yang has held senior executive and managerial positions in various public and private companies, including serving as the chief finance officer of Synutra International Inc. from May 2010 to August 2011, as the chief financial officer of Greater China of Tyson Foods, Inc. (NYSE: TSN) from March 2007 to April 2010, as a finance director of Asia Pacific of Valmont Industries, Inc. (NYSE: VMI) from October 2003 to March 2007. Mr. Yang previously served as an independent director of Qingmu Digital Technology Co., Ltd. (SZSE: 301110) until January 2024. Mr. Yang also serves as an independent director of Xpeng, Inc. (NYSE: XPEV; SEHK: 9868) since August 2020. Mr. Yang received an MBA degree from Harvard Business School in 2003 and a bachelor’s degree in international economics from Nankai University in 1993.</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Mr. Chun Liu has served as our independent director since March 2013. Mr. Liu is currently the senior vice president of Phoenix TV. Prior to joining Phoenix TV in 2018, he worked at Zhong Nan Wen Hua, and was the vice president and chief editor of Sohu.com Inc., and chairman of Sohu TV. Earlier in his career, Mr. Liu worked at CCTV, China’s state television broadcaster from 1998 to 2002. As the executive producer of a famous program “News Investigation,” he won an award as the editor of “A Memorandum on Dragged-out Constructions.” Mr. Liu has been an independent non-executive director of DL Holdings Group Limited (SEHK: 1709) since</w:t>
      </w:r>
    </w:p>
    <w:p>
      <w:pPr>
        <w:spacing w:after="0" w:line="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April 2020 and was a director of Zhongnanhong Cultural Group Co., Ltd. (SZSE: 002445) from May 2016 to August 2018. Mr. Liu previously studied at Cheung Kong Graduate School of Business in Beijing, China. Mr. Liu received a master’s degree in Arts from the Communication University of China in 1994, and a bachelor’s degree in Chinese from the Anhui Normal University in 1987.</w:t>
      </w:r>
    </w:p>
    <w:p>
      <w:pPr>
        <w:spacing w:after="0" w:line="18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Mr. Frank Lin, also known as Frank Hurst Lin, has served as our independent director since January 2011. Mr. Lin is a general partner of DCM, a technology venture capital firm. Prior to joining DCM in 2006, Mr. Lin was the chief operating officer of SINA Corporation. He co-founded SINA’s predecessor, SinaNet, in 1995 and later guided SINA through its listing on Nasdaq. Mr. Lin had also held various marketing, engineering, and managerial positions at Octel Communications Corp. and NYNEX. In addition to our company, Mr. Lin currently serves on the board of directors of various DCM portfolio companies, including 51Talk Online Education Group (NYSE: COE) since June 2013 and QuantaSing Group Limited (Nasdaq: QSG) since May 2022. Mr. Lin received an MBA degree from Stanford University in June 1993 and a bachelor’s degree in engineering from Dartmouth College in June 1988. Mr. Lin previously served as a director of Kuaishou Technology (SEHK: 1024) from May 2016 to January 2025, YSB Inc. (SEHK: 9885) from December 2018 to November 2023, Tuniu Corporation (Nasdaq: TOUR) from December 2009 to June 2025 and GigaCloud Technology Inc (Nasdaq: GCT) from November 2006 to November 2024.</w:t>
      </w:r>
    </w:p>
    <w:p>
      <w:pPr>
        <w:spacing w:after="0" w:line="194"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Mr. Xing Liu has served as our independent director since January 2011. Mr. Liu is currently a partner of HongShan, which he joined in May 2007. Mr. Liu has served a non-executive director of ZTO Express (Cayman) Inc. (NYSE: ZTO, SEHK: 2057) since May 2013. Mr. Liu received an MBA degree from The Wharton School of the University of Pennsylvania in May 2004, a master’s degree in computer engineering from Syracuse University in December 1995, and a bachelor’s degree in management information systems from Fudan University in July 1992. Mr. Liu previously served as a director of China Renaissance Holdings Limited (SEHK: 1911) from June 2020 to July 2023.</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Ms. Kathleen Chien has served as our independent director since March 2012. Ms. Chien is currently the chief operating officer of 51job, Inc., a provider of integrated human resource services in China. Ms. Chien joined 51job, Inc. in 1999 and previously also served as its acting chief financial officer for a number of years until January 2024. Ms. Chien received her bachelor’s degree in economics from the Massachusetts Institute of Technology in June 1992 and an MBA degree from the Walter A. Haas School of Business at University of California, Berkeley in May 1996.</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Mr. Nanyan Zheng has served as our independent director since March 2012. Mr. Zheng is currently the executive chairman of Delonix group, a hospitality group which runs over 700 hotels in China. Mr. Zheng is also a partner and director of Ocean Link, a private equity firm with a focus on China’s consumer, travel, and TMT sectors. Besides, Mr. Zheng has been the chairman of Cubic City (China) Service Apartment Group since 2018. Mr. Zheng co-founded 7 Days Groups Holdings Ltd., and served as chief executive officer since October 2004 and as a director since its listing in 2009. Mr. Zheng founded Plateno Group Ltd. in 2013, which wholly owned 7 Days Groups Holdings Ltd. after its privatization and launched a series of new mid-level and upscale hotel brands.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72" w:lineRule="auto"/>
        <w:rPr>
          <w:sz w:val="20"/>
          <w:szCs w:val="20"/>
          <w:color w:val="auto"/>
        </w:rPr>
      </w:pPr>
      <w:r>
        <w:rPr>
          <w:rFonts w:ascii="Times New Roman" w:cs="Times New Roman" w:eastAsia="Times New Roman" w:hAnsi="Times New Roman"/>
          <w:sz w:val="17"/>
          <w:szCs w:val="17"/>
          <w:color w:val="auto"/>
        </w:rPr>
        <w:t>Mr. Mark Wang, also known as Yuhua Wang, has served as our chief financial officer since May 2023. Prior to joining us, Mr. Wang served as the chief financial officer of Benlai Group, an online fresh grocery player in China, from April 2021 to November 2022. From October 2017 to March 2021, Mr. Wang served as the vice president in the finance department of Xiaomi Corporation (SEHK: 1810).</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Prior to that, Mr. Wang worked at Changyou.com Limited as a finance director from July 2014 to September 2017. From April 2013 to June 2014, Mr. Wang worked at Huawei Technologies Co., Ltd. Prior to that, Mr. Wang served as a tax manager at PricewaterhouseCoopers Consultants (Shenzhen) Co., Ltd. from August 2006 to April 2013. Currently, Mr. Wang has also served as an independent director of Beijing Kingsoft Office Software, Inc. (SSE: 688111) since April 2022. Mr. Wang received a bachelor degree in finance from Beijing International Studies University.</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Mr. Mike Li, also known as Tianmin Li, has served as our chief technology officer since September 2024. Mr. Li has extensive experience working in China’s internet industry. Prior to joining us, Mr. Li served as a high-level researcher for the Local Services Group of Alibaba Group Holding Limited (NYSE: BABA; SEHK: 9988) from December 2020 to September 2024. Prior to that, he served as a senior technology specialist for the search and recommendation business unit of Alibaba Group from January 2013 to December 2020. Prior to joining Alibaba Group, Mr. Li served as a senior technology director of Asiainfo (China) Software Co., Ltd., a company affiliated with AsiaInfo Technologies Limited (SEHK: 1675) from July 2003 to January 2013. Mr. Li received his bachelor’s degree in electrical engineering and automation from Changchun University of Technology in October 2000. Mr. Li received another bachelor’s degree in computer science and technology from Zhejiang University in June 2003.</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We have entered into employment agreements with each of our executive officers. Generally,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the executive officer will not be entitled to receive payment of any severance benefits or other amounts by reason of the termination, and the executive officer’s right to all other benefits will terminate, except as required by any applicable law. We may also terminate an executive officer’s employment without cause upon a two-month advance written notice. In such case of termination by us, we are required to provide compensation to the executive officer, including severance pay, as expressly required by the applicable law of the jurisdiction where the executive officer is based. Generally, the executive officer may terminate the employment at any time with a one-month advance written notice, if there is a material reduction in the executive officer’s authority, duties, and responsibilities or a material reduction in the executive officer’s annual salary before the next annual salary review, or if otherwise approved by the board of directors.</w:t>
      </w:r>
    </w:p>
    <w:p>
      <w:pPr>
        <w:spacing w:after="0" w:line="18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any of our confidential information or trade secrets, any confidential information or trade secrets of our clients or prospective clients or the confidential or proprietary information of any third party that we receive and for which we have confidential obligations. The executive officers have also agreed to disclose in confidence to us all inventions, designs, and trade secrets which they conceive, develop, or reduce to practice and to assign all right, title, and interest in them to us, and assist us in obtaining patents.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in general, each executive officer has agreed to be bound by non-competition and non-solicitation restrictions during the term of his or her employment and for one year following the last date of employment. Specifically, each executive officer has agreed not to (a) approach our clients, customers, contacts or other persons or entities introduced to the executive officer for the purpose of doing business with such persons or entities that will harm our business relationships with these persons or entities; (b) assume employment with or provide services to any of our competitors, or engage with, whether as principal, partner, licensor or otherwise, any of our competitors; or (c) seek directly or indirectly, to solicit the services of any of our employees on or after the date of the executive officer’s termination, or in the year preceding such termination.</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fees, salaries, and benefits (excluding equity-based grants) of approximately RMB10.7 million (US$1.5 million) to our directors and executive officers. We have not set aside or accrued any amount to provide pension, retirement, or other similar benefits to our executive officers and directors. Our PRC subsidiaries and the consolidated variable interest entities are required by PRC law to make contributions equal to certain percentages of each employee’s salary for his or her pension insurance, medical insurance, unemployment insurance, and other statutory benefits and a housing provident fund. For equity-based grants to our directors and executive officers, see “—Stock Incentive Plans.”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229"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We have adopted three plans since our inception. The 2011 Stock Incentive Plan and 2012 Share Incentive Plan was each terminated at the end of their respective ten-year terms, although some grants from these plans are still outstanding. The original term of our 2014 Share Incentive Plan expired in July 2024, and we adopted an Amended and Restated 2014 Share Incentive Plan in August 2024, which amends and restates the 2014 Share Incentive Plan in its entirety and assumes all awards granted under the 2014 Share Incentive Plan. The Amended and Restated 2014 Share Incentive Plan will expire in August 2034 upon the tenth anniversary of the effective date. As of March 31, 2026, options to acquire 5,420,593 Class A ordinary shares and 4,556,584 restricted shares are outstanding under these plans.</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2011 Stock Incentive Plan</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2011 Stock Incentive Plan was adopted in March 2011 and terminated automatically after its ten-year term in March 2021. The maximum number of shares authorized under the 2011 Stock Incentive Plan was 7,350,000 ordinary shares. The termination did not adversely affect any rights under awards previously granted.</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Awards granted under the 2011 Stock Incentive Plan are evidenced by an award agreement and, in the case of stock options, a notice of stock option award that sets forth the terms, conditions, and limitations for each grant.</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Incentive stock options may not be transferred in any manner other than by will or by the laws of descent or distribution and may be exercised, during the lifetime of the grantee, only by the grantee. Other awards are transferable by will and by the laws of descent and distribution, and during the lifetime of the grantee, may be transferred to the extent and in the manner authorized by the plan administrator.</w:t>
      </w:r>
    </w:p>
    <w:p>
      <w:pPr>
        <w:spacing w:after="0" w:line="180"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In the event that an award recipient ceases employment with us or ceases to provide services to us, an award may be exercised following the termination of employment or service to the extent provided in the award agreement.</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2012 Share Incentive Plan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2012 Share Incentive Plan was adopted in March 2012 and terminated automatically after its ten-year term in March 2022. The maximum number of shares authorized under the 2012 Share Incentive Plan was 9,000,000 ordinary shares, and the maximum number of shares authorized under this plan per calendar year from 2012 until the termination of this plan was 1,500,000 ordinary shares. The termination did not adversely affect any rights under awards previously granted.</w:t>
      </w:r>
    </w:p>
    <w:p>
      <w:pPr>
        <w:spacing w:after="0" w:line="18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were authorized to grant options, restricted shares or restricted share units to our directors, employees or consultants under the plan. Awards granted under the plan are evidenced by award agreements that set forth the terms, conditions and limitations for each award. These may include the term of an award, the provisions applicable in the event the participant’s employment or service terminates, and our authority to unilaterally or bilaterally amend, modify, suspend, cancel or rescind an award.</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Except as otherwise provided by the plan administrator, an award may not be transferred or otherwise disposed of by a participant other than by will or the laws of descent and distribution. The plan administrator may permit an award other than an incentive share option to be transferred to or exercised by certain persons related to the participant by express provision in the award or by an amendment to the award.</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Except as otherwise provided in an individual award agreement or any other written agreement entered into between a participant and us, our plan administrator may provide for one or more of the following in the event of a change of control or other similar corporate transaction: (i) the termination of each award outstanding under the plan at a specific time in the future, with each participant having the right to exercise the vested portion of the awards during a period of time as determined by the plan administrator; (ii) the termination of any award in exchange for an amount of cash equal to the amount that could have been obtained upon the exercise of the award; (iii) the replacement of an award with other rights or property selected by the plan administrator; (iv) the assumption of the award by our successor, parent or subsidiary, or the substitution of an award granted by our successor, parent or subsidiary, with appropriate adjustments; or (v) payment of an award in cash based on the value of our ordinary shares on the date of the corporate transaction plus reasonable interest on the award.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2014 Share Incentive Plan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August 2024, we adopted our Amended and Restated 2014 Share Incentive Plan, which permits the grant of options to purchase our ordinary shares, restricted shares, restricted share units, share appreciation rights, and other types of awards as deemed appropriate by the administrator. The Amended and Restated 2014 Share Incentive Plan amends and restates the previously adopted 2014 Share Incentive Plan of the Company in its entirety and assumes all awards granted under the 2014 Share Incentive Plan. The maximum aggregate number of shares authorized under the Amended and Restated 2014 Share Incentive Plan was (i) 13,985,001 Class A ordinary shares, and (ii) an automatic increase on January 1 of each year after the effective date of the 2014 Amended and Restated Share Incentive Plan by that number of shares representing 1.5% of our then total issued and outstanding share capital as of December 31 of the preceding year, or such less number as determined by the board of directors. The Amended and Restated 2014 Share Incentive Plan will expire upon the tenth anniversary of the effective date.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our Amended and Restated 2014 Share Incentive Plan:</w:t>
      </w:r>
    </w:p>
    <w:p>
      <w:pPr>
        <w:spacing w:after="0" w:line="223"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plan will be administered by the Compensation Committee, or a committee of two or more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whom the Compensation Committee may delegate the authority to grant or amend awards to participants other than independent directors and executive officers. The committee will determine the provisions and terms and conditions of each award grant.</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Awards and Award Agreement</w:t>
      </w:r>
      <w:r>
        <w:rPr>
          <w:rFonts w:ascii="Times New Roman" w:cs="Times New Roman" w:eastAsia="Times New Roman" w:hAnsi="Times New Roman"/>
          <w:sz w:val="18"/>
          <w:szCs w:val="18"/>
          <w:color w:val="auto"/>
        </w:rPr>
        <w:t>. We may grant options, restricted shares, share appreciation rights, or other types of awards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employees or consultants under the plan. Awards granted under the plan will be evidenced by award agreements that set forth the terms, conditions, and limitations for each award. These may include the term of an award, the provisions applicable in the event the participant’s employment or service terminates, and our authority to unilaterally or bilaterally amend, modify, suspend, cancel or rescind an award.</w:t>
      </w:r>
    </w:p>
    <w:p>
      <w:pPr>
        <w:spacing w:after="0" w:line="183"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Option Exercise Price</w:t>
      </w:r>
      <w:r>
        <w:rPr>
          <w:rFonts w:ascii="Times New Roman" w:cs="Times New Roman" w:eastAsia="Times New Roman" w:hAnsi="Times New Roman"/>
          <w:sz w:val="18"/>
          <w:szCs w:val="18"/>
          <w:color w:val="auto"/>
        </w:rPr>
        <w:t>. The exercise price of an option should be determined by the plan administrator and set forth in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It may be a fixed price or a variable price relating to the fair market value of our Class A ordinary shares, to the extent not prohibited by applicable laws. Subject to certain limits set forth in the plan, the exercise price may be amended or adjusted in the absolute discretion of the plan administrator, whose determination should be final, binding, and conclusive. To the extent not prohibited by applicable laws or any exchange rule, a downward adjustment of the exercise prices of options could be effective without the approval of the shareholders or the approval of the affected participants.</w:t>
      </w:r>
    </w:p>
    <w:p>
      <w:pPr>
        <w:spacing w:after="0" w:line="18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our employees, directors, and consultants or those of any of our related entities, which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subsidiaries or any entities in which we hold a substantial ownership or control interest, as determined by our plan administrator. Awards other than incentive share options may be granted to our employees, directors, and consultants. Incentive share options may be granted only to employees of our company or a parent or a subsidiary of our company.</w:t>
      </w:r>
    </w:p>
    <w:p>
      <w:pPr>
        <w:spacing w:after="0" w:line="180" w:lineRule="exact"/>
        <w:rPr>
          <w:sz w:val="20"/>
          <w:szCs w:val="20"/>
          <w:color w:val="auto"/>
        </w:rPr>
      </w:pPr>
    </w:p>
    <w:p>
      <w:pPr>
        <w:ind w:right="3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Term of the Awards</w:t>
      </w:r>
      <w:r>
        <w:rPr>
          <w:rFonts w:ascii="Times New Roman" w:cs="Times New Roman" w:eastAsia="Times New Roman" w:hAnsi="Times New Roman"/>
          <w:sz w:val="18"/>
          <w:szCs w:val="18"/>
          <w:color w:val="auto"/>
        </w:rPr>
        <w:t>. The term of each award grant should be determined by our plan administrator, provided that the term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should not exceed 10 years from the date of the grant.</w:t>
      </w:r>
    </w:p>
    <w:p>
      <w:pPr>
        <w:spacing w:after="0" w:line="158"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or the award agreement specifies, the vesting schedule. We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repurchase the restricted shares until they have vested.</w:t>
      </w:r>
    </w:p>
    <w:p>
      <w:pPr>
        <w:spacing w:after="0" w:line="15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Except as otherwise provided by the plan administrator, an award may not be transferred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disposed of by a participant other than by will or the laws of descent and distribution. The plan administrator may permit an award other than an incentive share option to be transferred to or exercised by certain persons related to the participant by express provision in the award or by an amendment to the award. A participant must give us prompt notice of any disposition of shares acquired by exercise of an incentive share option within (i) two years from the date of grant of such incentive share option or (ii) one year after the transfer of such shares to the participant.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Except as otherwise provided in an individual award agreement or any other written agreement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a participant and us, our plan administrator may provide for one or more of the following in the event of a change of control or other similar corporate transaction: (i) the termination of each award outstanding under the plan at a specific time in the future, with each participant having the right to exercise such awards during a period of time as determined by the plan administrator; (ii) either the purchase of any award for an amount of cash equal to the amount that could have been attained upon the exercise of such award or realization of the participant’s rights had such award been currently exercisable or payable or fully vested; (iii) the replacement of an award with other rights or property selected by the plan administrator in its sole discretion the assumption of or substitution of such award by the successor or surviving corporation, or a parent or subsidiary thereof, with appropriate adjustments as to the number and kind of shares and prices, or (iv) provide for payment of awards in cash based on the value of shares on the date of the change of control plus reasonable interest on the award through the date such award would otherwise be vested or have been paid in accordance with its original terms, if necessary to comply with the United States Internal Revenue Code of 1986, as amended.</w:t>
      </w:r>
    </w:p>
    <w:p>
      <w:pPr>
        <w:spacing w:after="0" w:line="192"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Amendment and Termination of the Plan</w:t>
      </w:r>
      <w:r>
        <w:rPr>
          <w:rFonts w:ascii="Times New Roman" w:cs="Times New Roman" w:eastAsia="Times New Roman" w:hAnsi="Times New Roman"/>
          <w:sz w:val="18"/>
          <w:szCs w:val="18"/>
          <w:color w:val="auto"/>
        </w:rPr>
        <w:t>. With the approval of our board of directors, at any time and from time to time,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terminate, amend or modify the Amended and Restated 2014 Share Incentive Plan; provided, however, that to the extent necessary and desirable to comply with any applicable law, regulation, or stock exchange rule, unless we decide to follow home country practice, shareholder approval is required for any plan amendment, including any amendment to the plan that (i) increases the number of shares available under the Amended and Restated 2014 Share Incentive Plan, (ii) permits the plan administrator to extend the exercise period for an option beyond ten years from the date of grant, or (iii) results in a change in eligibility requirements.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Grants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March 31, 2026, the outstanding options our directors and executive officers held under our share incentive plans.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6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73"/>
        </w:trPr>
        <w:tc>
          <w:tcPr>
            <w:tcW w:w="5160" w:type="dxa"/>
            <w:vAlign w:val="bottom"/>
            <w:gridSpan w:val="3"/>
            <w:vMerge w:val="continue"/>
          </w:tcPr>
          <w:p>
            <w:pPr>
              <w:spacing w:after="0"/>
              <w:rPr>
                <w:sz w:val="15"/>
                <w:szCs w:val="15"/>
                <w:color w:val="auto"/>
              </w:rPr>
            </w:pPr>
          </w:p>
        </w:tc>
        <w:tc>
          <w:tcPr>
            <w:tcW w:w="9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Ya Shen</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2,601,894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2020</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2017</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Arthur Xiaobo Hong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2,681,894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 2020</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2029</w:t>
            </w: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Nanyan Zheng</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16, 2012</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Kathleen Chien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16, 2012</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2027</w:t>
            </w: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Chun Liu</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2013</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2028</w:t>
            </w:r>
          </w:p>
        </w:tc>
        <w:tc>
          <w:tcPr>
            <w:tcW w:w="0" w:type="dxa"/>
            <w:vAlign w:val="bottom"/>
          </w:tcPr>
          <w:p>
            <w:pPr>
              <w:spacing w:after="0"/>
              <w:rPr>
                <w:sz w:val="1"/>
                <w:szCs w:val="1"/>
                <w:color w:val="auto"/>
              </w:rPr>
            </w:pPr>
          </w:p>
        </w:tc>
      </w:tr>
      <w:tr>
        <w:trPr>
          <w:trHeight w:val="864"/>
        </w:trPr>
        <w:tc>
          <w:tcPr>
            <w:tcW w:w="5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March 31, 2026, the outstanding restricted shares our directors and executive officers held, representing the sum of vested restricted shares unsold and unvested restricted shares, under our share incentive plans.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Number of Restricted Shares</w:t>
            </w:r>
          </w:p>
        </w:tc>
        <w:tc>
          <w:tcPr>
            <w:tcW w:w="64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Grant</w:t>
            </w:r>
          </w:p>
        </w:tc>
      </w:tr>
      <w:tr>
        <w:trPr>
          <w:trHeight w:val="21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Donghao Yang</w:t>
            </w: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245,579</w:t>
            </w: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30, 2011,</w:t>
            </w:r>
          </w:p>
        </w:tc>
      </w:tr>
      <w:tr>
        <w:trPr>
          <w:trHeight w:val="216"/>
        </w:trPr>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2017;</w:t>
            </w:r>
          </w:p>
        </w:tc>
      </w:tr>
      <w:tr>
        <w:trPr>
          <w:trHeight w:val="216"/>
        </w:trPr>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 2020;</w:t>
            </w:r>
          </w:p>
        </w:tc>
      </w:tr>
      <w:tr>
        <w:trPr>
          <w:trHeight w:val="216"/>
        </w:trPr>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1, 2024</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Frank Lin</w:t>
            </w:r>
          </w:p>
        </w:tc>
        <w:tc>
          <w:tcPr>
            <w:tcW w:w="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92,449</w:t>
            </w:r>
          </w:p>
        </w:tc>
        <w:tc>
          <w:tcPr>
            <w:tcW w:w="340" w:type="dxa"/>
            <w:vAlign w:val="bottom"/>
          </w:tcPr>
          <w:p>
            <w:pPr>
              <w:spacing w:after="0"/>
              <w:rPr>
                <w:sz w:val="17"/>
                <w:szCs w:val="17"/>
                <w:color w:val="auto"/>
              </w:rPr>
            </w:pPr>
          </w:p>
        </w:tc>
        <w:tc>
          <w:tcPr>
            <w:tcW w:w="3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January 1, 2013;</w:t>
            </w:r>
          </w:p>
        </w:tc>
      </w:tr>
      <w:tr>
        <w:trPr>
          <w:trHeight w:val="216"/>
        </w:trPr>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2016;</w:t>
            </w:r>
          </w:p>
        </w:tc>
      </w:tr>
      <w:tr>
        <w:trPr>
          <w:trHeight w:val="216"/>
        </w:trPr>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2020;</w:t>
            </w:r>
          </w:p>
        </w:tc>
      </w:tr>
      <w:tr>
        <w:trPr>
          <w:trHeight w:val="234"/>
        </w:trPr>
        <w:tc>
          <w:tcPr>
            <w:tcW w:w="3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Xing Liu</w:t>
            </w: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41,085</w:t>
            </w: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 2016;</w:t>
            </w:r>
          </w:p>
        </w:tc>
      </w:tr>
      <w:tr>
        <w:trPr>
          <w:trHeight w:val="216"/>
        </w:trPr>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 2020;</w:t>
            </w:r>
          </w:p>
        </w:tc>
      </w:tr>
      <w:tr>
        <w:trPr>
          <w:trHeight w:val="216"/>
        </w:trPr>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Nanyan Zheng</w:t>
            </w:r>
          </w:p>
        </w:tc>
        <w:tc>
          <w:tcPr>
            <w:tcW w:w="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15,315</w:t>
            </w:r>
          </w:p>
        </w:tc>
        <w:tc>
          <w:tcPr>
            <w:tcW w:w="340" w:type="dxa"/>
            <w:vAlign w:val="bottom"/>
          </w:tcPr>
          <w:p>
            <w:pPr>
              <w:spacing w:after="0"/>
              <w:rPr>
                <w:sz w:val="17"/>
                <w:szCs w:val="17"/>
                <w:color w:val="auto"/>
              </w:rPr>
            </w:pPr>
          </w:p>
        </w:tc>
        <w:tc>
          <w:tcPr>
            <w:tcW w:w="3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1, 2020;</w:t>
            </w:r>
          </w:p>
        </w:tc>
      </w:tr>
      <w:tr>
        <w:trPr>
          <w:trHeight w:val="234"/>
        </w:trPr>
        <w:tc>
          <w:tcPr>
            <w:tcW w:w="3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Chien</w:t>
            </w: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62,449</w:t>
            </w: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2013;</w:t>
            </w:r>
          </w:p>
        </w:tc>
      </w:tr>
      <w:tr>
        <w:trPr>
          <w:trHeight w:val="216"/>
        </w:trPr>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 2016;</w:t>
            </w:r>
          </w:p>
        </w:tc>
      </w:tr>
      <w:tr>
        <w:trPr>
          <w:trHeight w:val="216"/>
        </w:trPr>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 2020;</w:t>
            </w:r>
          </w:p>
        </w:tc>
      </w:tr>
      <w:tr>
        <w:trPr>
          <w:trHeight w:val="216"/>
        </w:trPr>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Chun Liu</w:t>
            </w:r>
          </w:p>
        </w:tc>
        <w:tc>
          <w:tcPr>
            <w:tcW w:w="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16,550</w:t>
            </w:r>
          </w:p>
        </w:tc>
        <w:tc>
          <w:tcPr>
            <w:tcW w:w="340" w:type="dxa"/>
            <w:vAlign w:val="bottom"/>
          </w:tcPr>
          <w:p>
            <w:pPr>
              <w:spacing w:after="0"/>
              <w:rPr>
                <w:sz w:val="17"/>
                <w:szCs w:val="17"/>
                <w:color w:val="auto"/>
              </w:rPr>
            </w:pPr>
          </w:p>
        </w:tc>
        <w:tc>
          <w:tcPr>
            <w:tcW w:w="3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January 1, 2013;</w:t>
            </w:r>
          </w:p>
        </w:tc>
      </w:tr>
      <w:tr>
        <w:trPr>
          <w:trHeight w:val="216"/>
        </w:trPr>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2016;</w:t>
            </w:r>
          </w:p>
        </w:tc>
      </w:tr>
      <w:tr>
        <w:trPr>
          <w:trHeight w:val="216"/>
        </w:trPr>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2020;</w:t>
            </w:r>
          </w:p>
        </w:tc>
      </w:tr>
      <w:tr>
        <w:trPr>
          <w:trHeight w:val="234"/>
        </w:trPr>
        <w:tc>
          <w:tcPr>
            <w:tcW w:w="3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2024</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Wang</w:t>
            </w:r>
          </w:p>
        </w:tc>
        <w:tc>
          <w:tcPr>
            <w:tcW w:w="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53,956</w:t>
            </w:r>
          </w:p>
        </w:tc>
        <w:tc>
          <w:tcPr>
            <w:tcW w:w="3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 2023</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Mike Li</w:t>
            </w:r>
          </w:p>
        </w:tc>
        <w:tc>
          <w:tcPr>
            <w:tcW w:w="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68,059</w:t>
            </w:r>
          </w:p>
        </w:tc>
        <w:tc>
          <w:tcPr>
            <w:tcW w:w="34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consists of ten directors. A director is not required to hold any shares in our company by way of qualification. A director may vote with respect to any contract or transaction in which he or she is materially interested provided the nature of the interest is disclosed prior to its consideration. Subject to our second amended and restated memorandum and articles of association, the directors may exercise all the powers of our company to borrow money, mortgage their undertaking, property, and uncalled capital, and issue debentures or other securities whether outright or as security for any debt, liability, or obligation of our company or of any third party. None of our directors has a service contract with us that provides for benefits upon termination of service.</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We have four committees under the board of directors, namely the audit committee, the compensation committee, the nominating and corporate governance committee, and the ESG committee. We have adopted a charter for each of the audit committee, the compensation committee, and the nominating and corporate governance committee. Each committee’s members and functions are described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Audit Committee. Our audit committee consists of Ms. Kathleen Chien, Mr. Nanyan Zheng, and Mr. Chun Liu. Ms. Kathleen Chien, Mr. Nanyan Zheng, and Mr. Chun Liu satisfy the “independence” requirements under Section 303A of the Corporate Governance Rules of NYSE and Rule 10A-3 under the Exchange Act. Ms. Kathleen Chien is the chairperson of our audit committee. We have determined that Ms. Kathleen Chien qualifies as an “audit committee financial expert.” The purpose of the audit committee is to assist our board of directors with its oversight responsibilities regarding: (a) the integrity of our financial statements, (b) our compliance with legal and regulatory requirements, (c) the independent auditor’s qualifications and independence, and (d) the performance of our internal audit function and independent auditor. The audit committee will be responsible for, among other things:</w:t>
      </w:r>
    </w:p>
    <w:p>
      <w:pPr>
        <w:spacing w:after="0" w:line="189" w:lineRule="exact"/>
        <w:rPr>
          <w:sz w:val="20"/>
          <w:szCs w:val="20"/>
          <w:color w:val="auto"/>
        </w:rPr>
      </w:pPr>
    </w:p>
    <w:p>
      <w:pPr>
        <w:ind w:left="680" w:right="12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and</w:t>
      </w:r>
    </w:p>
    <w:p>
      <w:pPr>
        <w:spacing w:after="0" w:line="225"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 monitoring compliance with our code of business conduct and ethics, including reviewing the adequacy and effectiveness of our procedures to ensure proper compliance.</w:t>
      </w:r>
    </w:p>
    <w:p>
      <w:pPr>
        <w:spacing w:after="0" w:line="174"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consists of Mr. Nanyan Zheng, Ms. Kathleen Chien, and Mr. Frank Lin.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Nanyan Zheng, Mr. Frank Lin, and Ms. Kathleen Chien satisfy the “independence” requirements under Section 303A of the Corporate Governance Rules of the NYSE. Mr. Nanyan Zheng is the chairperson of our compensation committee. The compensation committee assists the board in reviewing and approving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84" w:lineRule="exact"/>
        <w:rPr>
          <w:sz w:val="20"/>
          <w:szCs w:val="20"/>
          <w:color w:val="auto"/>
        </w:rPr>
      </w:pPr>
    </w:p>
    <w:p>
      <w:pPr>
        <w:ind w:left="680" w:right="16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directors;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w:t>
      </w:r>
    </w:p>
    <w:p>
      <w:pPr>
        <w:spacing w:after="0" w:line="223"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consists of Mr. Nanyan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Zheng, Ms. Kathleen Chien, and Mr. Xing Liu. Mr. Nanyan Zheng, Ms. Kathleen Chien, and Mr. Xing Liu satisfy the “independence” requirements under Section 303A of the Corporate Governance Rules of the NYSE. Mr. Nanyan Zheng is the chairperson of our 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4" w:lineRule="exact"/>
        <w:rPr>
          <w:sz w:val="20"/>
          <w:szCs w:val="20"/>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80" w:hanging="321"/>
        <w:spacing w:after="0" w:line="266"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74"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ESG Committee</w:t>
      </w:r>
      <w:r>
        <w:rPr>
          <w:rFonts w:ascii="Times New Roman" w:cs="Times New Roman" w:eastAsia="Times New Roman" w:hAnsi="Times New Roman"/>
          <w:sz w:val="18"/>
          <w:szCs w:val="18"/>
          <w:color w:val="auto"/>
        </w:rPr>
        <w:t>. Our ESG committee consists of Mr. Eric Ya Shen, Mr. Authur Xiaobo Hong, and Mr. Frank Lin. Mr. Eric Ya Shen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chairperson of our ESG committee. The ESG committee is responsible for systematically evaluating, monitoring, and carrying out a variety of ESG initiatives with an aim to strengthen the ESG awareness and efforts at full scale, ranging from energy conservation and emission reduction, responsibility management, customer services, and sustainable supply chain, among other things.</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Duties of Directors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Our company has the right to seek damages if a duty owed by our directors to us is breached.</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Terms of Directors and Officers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of directors and the shareholders. Our directors are not subject to a term of office and hold office until such time as they are removed from office by ordinary resolution of the shareholders in a general meeting or by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15,145 full-time employees, compared with 14,638 and 14,966 employees as of December 31, 2023 and 2024, respectively. The following table sets forth the number of our full time employees categorized by areas of operations as of December 31, 2025:</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1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Employees</w:t>
            </w:r>
          </w:p>
        </w:tc>
      </w:tr>
      <w:tr>
        <w:trPr>
          <w:trHeight w:val="209"/>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Merchandising</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service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Administration and management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Offline channels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0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15,145</w:t>
            </w: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qualified personnel. We have developed a corporate culture that encourages teamwork, effectiveness, personal development, and commitment to providing our customers with quality services. We regularly provide our employees with training tailored to each job function to enhance performance and service quality.</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required by the relevant PRC laws and regulations, we participate in various employee social security plans that are organized by municipal and provincial governments, including pension, unemployment insurance, childbirth insurance, work-related injury insurance, medical insurance, and housing insurance. We are required under the PRC law to make contributions to employee benefit plans at specified percentages of the salaries, bonuses, and certain allowances of our employees, up to a maximum amount specified by the local government from time to time. For the year ended December 31, 2025, we did not experience any significant labor disputes.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March 31, 2026 by:</w:t>
      </w:r>
    </w:p>
    <w:p>
      <w:pPr>
        <w:spacing w:after="0" w:line="225" w:lineRule="exact"/>
        <w:rPr>
          <w:rFonts w:ascii="Times New Roman" w:cs="Times New Roman" w:eastAsia="Times New Roman" w:hAnsi="Times New Roman"/>
          <w:sz w:val="18"/>
          <w:szCs w:val="18"/>
          <w:b w:val="1"/>
          <w:bCs w:val="1"/>
          <w:color w:val="auto"/>
        </w:rPr>
      </w:pPr>
    </w:p>
    <w:p>
      <w:pPr>
        <w:ind w:left="680" w:hanging="321"/>
        <w:spacing w:after="0"/>
        <w:tabs>
          <w:tab w:leader="none" w:pos="6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5% or more of our ordinary shares.</w:t>
      </w:r>
    </w:p>
    <w:p>
      <w:pPr>
        <w:spacing w:after="0" w:line="225"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The calculations in the shareholder table below are based on 96,054,108 ordinary shares issued and outstanding as of March 31, 2026, comprising of (i) 80,493,750 Class A ordinary shares, excluding the 10,826,973 Class A ordinary shares issued to Deutsche Bank Trust Company Americas, the depositary of our ADS program, for bulk issuance of ADSs reserved for future issuances upon the exercise or vesting of awards granted under our stock incentive plans and our treasury ADSs, and (ii) 15,560,358 Class B ordinary shares.</w:t>
      </w:r>
    </w:p>
    <w:p>
      <w:pPr>
        <w:spacing w:after="0" w:line="15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Owned</w:t>
            </w:r>
            <w:r>
              <w:rPr>
                <w:rFonts w:ascii="Times New Roman" w:cs="Times New Roman" w:eastAsia="Times New Roman" w:hAnsi="Times New Roman"/>
                <w:sz w:val="20"/>
                <w:szCs w:val="20"/>
                <w:b w:val="1"/>
                <w:bCs w:val="1"/>
                <w:color w:val="auto"/>
                <w:w w:val="99"/>
                <w:vertAlign w:val="superscript"/>
              </w:rPr>
              <w:t>(1)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w:t>
            </w:r>
          </w:p>
        </w:tc>
        <w:tc>
          <w:tcPr>
            <w:tcW w:w="1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Eric Ya Shen</w:t>
            </w:r>
            <w:r>
              <w:rPr>
                <w:rFonts w:ascii="Times New Roman" w:cs="Times New Roman" w:eastAsia="Times New Roman" w:hAnsi="Times New Roman"/>
                <w:sz w:val="25"/>
                <w:szCs w:val="25"/>
                <w:color w:val="auto"/>
                <w:vertAlign w:val="superscript"/>
              </w:rPr>
              <w:t>(3)</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18,597,180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Arthur Xiaobo Hong</w:t>
            </w:r>
            <w:r>
              <w:rPr>
                <w:rFonts w:ascii="Times New Roman" w:cs="Times New Roman" w:eastAsia="Times New Roman" w:hAnsi="Times New Roman"/>
                <w:sz w:val="25"/>
                <w:szCs w:val="25"/>
                <w:color w:val="auto"/>
                <w:vertAlign w:val="superscript"/>
              </w:rPr>
              <w:t>(4)</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11,389,036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Chi Ping Martin Lau</w:t>
            </w:r>
            <w:r>
              <w:rPr>
                <w:rFonts w:ascii="Times New Roman" w:cs="Times New Roman" w:eastAsia="Times New Roman" w:hAnsi="Times New Roman"/>
                <w:sz w:val="25"/>
                <w:szCs w:val="25"/>
                <w:color w:val="auto"/>
                <w:vertAlign w:val="superscript"/>
              </w:rPr>
              <w:t>(5)</w:t>
            </w:r>
          </w:p>
        </w:tc>
        <w:tc>
          <w:tcPr>
            <w:tcW w:w="1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Jacky Xu</w:t>
            </w:r>
            <w:r>
              <w:rPr>
                <w:rFonts w:ascii="Times New Roman" w:cs="Times New Roman" w:eastAsia="Times New Roman" w:hAnsi="Times New Roman"/>
                <w:sz w:val="25"/>
                <w:szCs w:val="25"/>
                <w:color w:val="auto"/>
                <w:vertAlign w:val="superscript"/>
              </w:rPr>
              <w:t>(6)</w:t>
            </w:r>
          </w:p>
        </w:tc>
        <w:tc>
          <w:tcPr>
            <w:tcW w:w="1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Donghao Yang</w:t>
            </w:r>
            <w:r>
              <w:rPr>
                <w:rFonts w:ascii="Times New Roman" w:cs="Times New Roman" w:eastAsia="Times New Roman" w:hAnsi="Times New Roman"/>
                <w:sz w:val="25"/>
                <w:szCs w:val="25"/>
                <w:color w:val="auto"/>
                <w:vertAlign w:val="superscript"/>
              </w:rPr>
              <w:t>(7)</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235,049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Chun Liu</w:t>
            </w:r>
            <w:r>
              <w:rPr>
                <w:rFonts w:ascii="Times New Roman" w:cs="Times New Roman" w:eastAsia="Times New Roman" w:hAnsi="Times New Roman"/>
                <w:sz w:val="25"/>
                <w:szCs w:val="25"/>
                <w:color w:val="auto"/>
                <w:vertAlign w:val="superscript"/>
              </w:rPr>
              <w:t>(8)</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Frank Lin</w:t>
            </w:r>
            <w:r>
              <w:rPr>
                <w:rFonts w:ascii="Times New Roman" w:cs="Times New Roman" w:eastAsia="Times New Roman" w:hAnsi="Times New Roman"/>
                <w:sz w:val="25"/>
                <w:szCs w:val="25"/>
                <w:color w:val="auto"/>
                <w:vertAlign w:val="superscript"/>
              </w:rPr>
              <w:t>(9)</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Xing Liu</w:t>
            </w:r>
            <w:r>
              <w:rPr>
                <w:rFonts w:ascii="Times New Roman" w:cs="Times New Roman" w:eastAsia="Times New Roman" w:hAnsi="Times New Roman"/>
                <w:sz w:val="25"/>
                <w:szCs w:val="25"/>
                <w:color w:val="auto"/>
                <w:vertAlign w:val="superscript"/>
              </w:rPr>
              <w:t>(10)</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Kathleen Chien</w:t>
            </w:r>
            <w:r>
              <w:rPr>
                <w:rFonts w:ascii="Times New Roman" w:cs="Times New Roman" w:eastAsia="Times New Roman" w:hAnsi="Times New Roman"/>
                <w:sz w:val="25"/>
                <w:szCs w:val="25"/>
                <w:color w:val="auto"/>
                <w:vertAlign w:val="superscript"/>
              </w:rPr>
              <w:t>(11)</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Nanyan Zheng</w:t>
            </w:r>
            <w:r>
              <w:rPr>
                <w:rFonts w:ascii="Times New Roman" w:cs="Times New Roman" w:eastAsia="Times New Roman" w:hAnsi="Times New Roman"/>
                <w:sz w:val="25"/>
                <w:szCs w:val="25"/>
                <w:color w:val="auto"/>
                <w:vertAlign w:val="superscript"/>
              </w:rPr>
              <w:t>(12)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Mark Wang</w:t>
            </w:r>
            <w:r>
              <w:rPr>
                <w:rFonts w:ascii="Times New Roman" w:cs="Times New Roman" w:eastAsia="Times New Roman" w:hAnsi="Times New Roman"/>
                <w:sz w:val="25"/>
                <w:szCs w:val="25"/>
                <w:color w:val="auto"/>
                <w:vertAlign w:val="superscript"/>
              </w:rPr>
              <w:t>(13)</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Mike Li</w:t>
            </w:r>
            <w:r>
              <w:rPr>
                <w:rFonts w:ascii="Times New Roman" w:cs="Times New Roman" w:eastAsia="Times New Roman" w:hAnsi="Times New Roman"/>
                <w:sz w:val="25"/>
                <w:szCs w:val="25"/>
                <w:color w:val="auto"/>
                <w:vertAlign w:val="superscript"/>
              </w:rPr>
              <w:t>(14)</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30,550,635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Elegant Motion Holdings Limited</w:t>
            </w:r>
            <w:r>
              <w:rPr>
                <w:rFonts w:ascii="Times New Roman" w:cs="Times New Roman" w:eastAsia="Times New Roman" w:hAnsi="Times New Roman"/>
                <w:sz w:val="25"/>
                <w:szCs w:val="25"/>
                <w:color w:val="auto"/>
                <w:vertAlign w:val="superscript"/>
              </w:rPr>
              <w:t>(15)</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15,941,084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Tencent Mobility Limited</w:t>
            </w:r>
            <w:r>
              <w:rPr>
                <w:rFonts w:ascii="Times New Roman" w:cs="Times New Roman" w:eastAsia="Times New Roman" w:hAnsi="Times New Roman"/>
                <w:sz w:val="25"/>
                <w:szCs w:val="25"/>
                <w:color w:val="auto"/>
                <w:vertAlign w:val="superscript"/>
              </w:rPr>
              <w:t>(16)</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12,852,698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High Vivacity Holdings Limited</w:t>
            </w:r>
            <w:r>
              <w:rPr>
                <w:rFonts w:ascii="Times New Roman" w:cs="Times New Roman" w:eastAsia="Times New Roman" w:hAnsi="Times New Roman"/>
                <w:sz w:val="26"/>
                <w:szCs w:val="26"/>
                <w:color w:val="auto"/>
                <w:vertAlign w:val="superscript"/>
              </w:rPr>
              <w:t>(17)</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8,707,142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15684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jc w:val="both"/>
        <w:ind w:left="340" w:right="8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Mr. Frank Lin, Mr. Jacky Xu, Mr. Donghao Yang, Mr. Xing Liu, Mr. Nanyan Zheng, Ms. Kathleen Chien, Mr. Chun Liu, and Mr. Chi Ping Martin Lau, the business address of our directors and executive officers is c/o 128 Dingxin Road, Haizhu District, Guangzhou 510220, People’s Republic of China.</w:t>
      </w:r>
    </w:p>
    <w:p>
      <w:pPr>
        <w:spacing w:after="0" w:line="14" w:lineRule="exact"/>
        <w:rPr>
          <w:sz w:val="20"/>
          <w:szCs w:val="20"/>
          <w:color w:val="auto"/>
        </w:rPr>
      </w:pPr>
    </w:p>
    <w:p>
      <w:pPr>
        <w:ind w:left="340" w:right="80" w:hanging="332"/>
        <w:spacing w:after="0" w:line="281"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directors and executive officers have been granted options and restricted shares pursuant to our stock incentive plans. See “Item 6. Directors, Senior Management and Employees—B. Compensation-Stock Incentive Plans.”</w:t>
      </w:r>
    </w:p>
    <w:p>
      <w:pPr>
        <w:spacing w:after="0" w:line="1" w:lineRule="exact"/>
        <w:rPr>
          <w:sz w:val="20"/>
          <w:szCs w:val="20"/>
          <w:color w:val="auto"/>
        </w:rPr>
      </w:pPr>
    </w:p>
    <w:p>
      <w:pPr>
        <w:ind w:left="340" w:right="220" w:hanging="332"/>
        <w:spacing w:after="0" w:line="281"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SEC rules and includes voting or investment power with respect to the securities.</w:t>
      </w:r>
    </w:p>
    <w:p>
      <w:pPr>
        <w:spacing w:after="0" w:line="1" w:lineRule="exact"/>
        <w:rPr>
          <w:rFonts w:ascii="Times New Roman" w:cs="Times New Roman" w:eastAsia="Times New Roman" w:hAnsi="Times New Roman"/>
          <w:sz w:val="18"/>
          <w:szCs w:val="18"/>
          <w:color w:val="auto"/>
        </w:rPr>
      </w:pPr>
    </w:p>
    <w:p>
      <w:pPr>
        <w:ind w:left="340" w:hanging="332"/>
        <w:spacing w:after="0" w:line="289"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and group included in this column, percentage ownership is calculated by dividing the number of shares beneficially owned by such person or group by the sum of the number of shares outstanding and the number of shares such person or group has the right to acquire upon exercise of the stock options or vesting of restricted shares within 60 days after March 31, 2026.</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80" w:hanging="332"/>
        <w:spacing w:after="0" w:line="25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Mr. Eric Ya Shen beneficially owned (i) 2,533 Class A ordinary shares, (ii) 2,653,563 Class A ordinary shares issuable to Mr. Eric Ya Shen upon the exercise of options within 60 days after March 31, 2026, and (iii) 380,726 Class A ordinary shares and 15,560,358 Class B ordinary shares held by Elegant Motion Holdings Limited, representing 66.4% of the aggregate voting power of our company. Elegant Motion Holdings Limited is ultimately wholly owned by the SYZXC Trust. Under the terms of the SYZXC Trust, Mr. Eric Ya Shen and his wife Ms. Xiaochun Zhang have the power to jointly direct the trustee with respect to the retention or disposal of, and the exercise of any voting and other rights attached to these shares.</w:t>
      </w:r>
    </w:p>
    <w:p>
      <w:pPr>
        <w:spacing w:after="0" w:line="25" w:lineRule="exact"/>
        <w:rPr>
          <w:rFonts w:ascii="Times New Roman" w:cs="Times New Roman" w:eastAsia="Times New Roman" w:hAnsi="Times New Roman"/>
          <w:sz w:val="18"/>
          <w:szCs w:val="18"/>
          <w:color w:val="auto"/>
        </w:rPr>
      </w:pPr>
    </w:p>
    <w:p>
      <w:pPr>
        <w:ind w:left="340" w:right="240" w:hanging="332"/>
        <w:spacing w:after="0" w:line="258"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Mr. Hong beneficially owned (i) 2,681,894 Class A ordinary shares that can be acquired by Mr. Arthur Xiaobo Hong within 60 days after March 31, 2026, and (ii) 8,707,142 Class A ordinary shares held by High Vivacity Holdings Limited. High Vivacity Holdings Limited is ultimately wholly owned by the Nasa Stand Trust. Under the terms of the Nasa Stand Trust, Mr. Hong has the power to direct the trustee with respect to the retention or disposal of, and the exercise of any voting and other rights attached to these shares.</w:t>
      </w:r>
    </w:p>
    <w:p>
      <w:pPr>
        <w:spacing w:after="0" w:line="21" w:lineRule="exact"/>
        <w:rPr>
          <w:rFonts w:ascii="Times New Roman" w:cs="Times New Roman" w:eastAsia="Times New Roman" w:hAnsi="Times New Roman"/>
          <w:sz w:val="18"/>
          <w:szCs w:val="18"/>
          <w:color w:val="auto"/>
        </w:rPr>
      </w:pPr>
    </w:p>
    <w:p>
      <w:pPr>
        <w:ind w:left="340" w:right="160" w:hanging="332"/>
        <w:spacing w:after="0" w:line="28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Chi Ping Martin Lau is Tencent Binhai Towers, No. 33 Haitian 2nd Road, Nanshan District, Shenzhen 518054, People’s Republic of China.</w:t>
      </w:r>
    </w:p>
    <w:p>
      <w:pPr>
        <w:spacing w:after="0" w:line="1" w:lineRule="exact"/>
        <w:rPr>
          <w:rFonts w:ascii="Times New Roman" w:cs="Times New Roman" w:eastAsia="Times New Roman" w:hAnsi="Times New Roman"/>
          <w:sz w:val="18"/>
          <w:szCs w:val="18"/>
          <w:color w:val="auto"/>
        </w:rPr>
      </w:pPr>
    </w:p>
    <w:p>
      <w:pPr>
        <w:ind w:left="340" w:right="600" w:hanging="332"/>
        <w:spacing w:after="0" w:line="28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Jacky Xu is c/o Herke Group, Trendy International Centre, No. 277 Xingang East Road, Haizhu District, Guangzhou 510308, People’s Republic of China.</w:t>
      </w:r>
    </w:p>
    <w:p>
      <w:pPr>
        <w:spacing w:after="0" w:line="1"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Mr. Donghao Yang beneficially owned (i) 63,049 Class A ordinary shares directly held by Mr. Donghao Yang, and (ii) 172,000 Class A ordinary shares held by Crown Harvest Enterprise Limited, a company controlled by Mr. Donghao Yang. The business address of Mr. Yang is Building 35, No. 2519 East Xingang Road, Haizhu District, Guangzhou 510330, People’s Republic of China.</w:t>
      </w:r>
    </w:p>
    <w:p>
      <w:pPr>
        <w:spacing w:after="0" w:line="17" w:lineRule="exact"/>
        <w:rPr>
          <w:rFonts w:ascii="Times New Roman" w:cs="Times New Roman" w:eastAsia="Times New Roman" w:hAnsi="Times New Roman"/>
          <w:sz w:val="18"/>
          <w:szCs w:val="18"/>
          <w:color w:val="auto"/>
        </w:rPr>
      </w:pPr>
    </w:p>
    <w:p>
      <w:pPr>
        <w:ind w:left="340" w:right="20" w:hanging="332"/>
        <w:spacing w:after="0" w:line="277" w:lineRule="auto"/>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2026, Mr. Chun Liu beneficially owned (i) 2,131 Class A ordinary shares directly held by Mr. Chun Liu, (ii) 10,113 Class A ordinary shares held by Big Dream Investments Limited, a company controlled by Mr. Chun Liu, (iii) 10,000 Class A ordinary shares issuable to Mr. Chun Liu upon the exercise of options within 60 days after March 31, 2026, and (iv) 479 Class A ordinary shares issuable to Mr. Chun Liu upon the vesting of restricted shares within 60 days after March 31, 2026. The business address of Mr. Liu is Tower B, POSCO Center, Hongtai East Street, Chaoyang District, Beijing 100102, People’s Republic of China.</w:t>
      </w:r>
    </w:p>
    <w:p>
      <w:pPr>
        <w:spacing w:after="0" w:line="5" w:lineRule="exact"/>
        <w:rPr>
          <w:rFonts w:ascii="Times New Roman" w:cs="Times New Roman" w:eastAsia="Times New Roman" w:hAnsi="Times New Roman"/>
          <w:sz w:val="17"/>
          <w:szCs w:val="17"/>
          <w:color w:val="auto"/>
        </w:rPr>
      </w:pPr>
    </w:p>
    <w:p>
      <w:pPr>
        <w:ind w:left="340" w:hanging="332"/>
        <w:spacing w:after="0" w:line="287" w:lineRule="auto"/>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2026, Mr. Frank Lin beneficially owned (i) 83,834 Class A ordinary shares directly held by Mr. Frank Lin, and (ii) 957 Class A ordinary shares issuable to Mr. Frank Lin upon the vesting of restricted shares within 60 days after March 31, 2026. The business address of Mr. Lin is Unit 1, Level 10, Tower W2, Oriental Plaza, Dongcheng District, Beijing, People’s Republic of China.</w:t>
      </w:r>
    </w:p>
    <w:p>
      <w:pPr>
        <w:ind w:left="340" w:right="80" w:hanging="332"/>
        <w:spacing w:after="0" w:line="258"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Mr. Xing Liu beneficially owned (i) 32,471 Class A ordinary shares directly held by Mr. Xing Liu, and (ii) 957 Class A ordinary shares issuable to Mr. Xing Liu upon the vesting of restricted shares within 60 days after March 31, 2026. Mr. Liu is a partner of HongShan. The business address of Mr. Liu is Suite 3613, 36/F, Two Pacific Place, 88 Queensway, Hong Kong, People’s Republic of China. Separately, according to Mr. Xing Liu’s Form 3 filed with the SEC on March 18, 2026, Mr. Xing Liu’s spouse held 49,961 Class A ordinary shares.</w:t>
      </w:r>
    </w:p>
    <w:p>
      <w:pPr>
        <w:spacing w:after="0" w:line="21" w:lineRule="exact"/>
        <w:rPr>
          <w:rFonts w:ascii="Times New Roman" w:cs="Times New Roman" w:eastAsia="Times New Roman" w:hAnsi="Times New Roman"/>
          <w:sz w:val="18"/>
          <w:szCs w:val="18"/>
          <w:color w:val="auto"/>
        </w:rPr>
      </w:pPr>
    </w:p>
    <w:p>
      <w:pPr>
        <w:ind w:left="340" w:right="160" w:hanging="332"/>
        <w:spacing w:after="0" w:line="258"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Ms. Kathleen Chien beneficially owned (i) 53,834 Class A ordinary shares directly held by Ms. Kathleen Chien, (ii) 44,568 Class A ordinary shares issuable to Ms. Kathleen Chien upon the exercise of options within 60 days after March 31, 2026, and (iii) 957 Class A ordinary shares issuable to Ms. Kathleen Chien upon the vesting of restricted shares within 60 days after March 31, 2026. The business address of Ms. Chien is 15th Floor, Building T6, Crystal Plaza, 100 Jiangyao Road, Shanghai 200126, People’s Republic of China.</w:t>
      </w:r>
    </w:p>
    <w:p>
      <w:pPr>
        <w:spacing w:after="0" w:line="21"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Mr. Nanyan Zheng beneficially owned (i) 11,008 Class A ordinary shares directly held by Mr. Nanyan Zheng, (ii) 30,568 Class A ordinary shares issuable to Mr. Nanyan Zheng upon the exercise of options within 60 days after March 31, 2026, and (iii) 479 Class A ordinary shares issuable to Mr. Nanyan Zheng upon the vesting of restricted shares within 60 days after March 31, 2026. The business address of Mr. Zheng is 1502, One Vista Summit, 3 San Hop Lane, Tuen Mun, New Territories, Hong Kong, People’s Republic of China.</w:t>
      </w:r>
    </w:p>
    <w:p>
      <w:pPr>
        <w:spacing w:after="0" w:line="21" w:lineRule="exact"/>
        <w:rPr>
          <w:rFonts w:ascii="Times New Roman" w:cs="Times New Roman" w:eastAsia="Times New Roman" w:hAnsi="Times New Roman"/>
          <w:sz w:val="18"/>
          <w:szCs w:val="18"/>
          <w:color w:val="auto"/>
        </w:rPr>
      </w:pPr>
    </w:p>
    <w:p>
      <w:pPr>
        <w:ind w:left="340" w:hanging="332"/>
        <w:spacing w:after="0" w:line="298" w:lineRule="auto"/>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2026, Mr. Mark Wang beneficially owned (i)28,956 Class A ordinary shares directly held by Mr. Mark Wang, and (ii) nil Class A ordinary shares issuable to Mr. Mark Wang upon the vesting of restricted shares within 60 days after March 31, 2026.</w:t>
      </w:r>
    </w:p>
    <w:p>
      <w:pPr>
        <w:jc w:val="both"/>
        <w:ind w:left="340" w:right="320" w:hanging="332"/>
        <w:spacing w:after="0" w:line="312" w:lineRule="auto"/>
        <w:tabs>
          <w:tab w:leader="none" w:pos="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2026, Mr. Mike Li beneficially owned (i) 13,059 Class A ordinary shares directly held by Mr. Mike Li, and (ii) 5,000 Class A ordinary shares issuable to Mr. Mike Li upon the vesting of restricted shares within 60 days after March 31, 2026.</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0" w:hanging="332"/>
        <w:spacing w:after="0" w:line="274" w:lineRule="auto"/>
        <w:tabs>
          <w:tab w:leader="none" w:pos="3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Elegant Motion Holdings Limited, or Elegant Motion, is a British Virgin Islands company. Elegant Motion is ultimately wholly owned by the SYZXC Trust. Under the terms of the SYZXC Trust, Mr. Eric Ya Shen and his wife Ms. Xiaochun Zhang have the power to jointly direct the trustee with respect to the retention or disposal of, and the exercise of any voting and other rights attached to these shares. The ordinary shares directly held by Elegant Motion were also reported by UBS Group AG directly and on behalf of certain subsidiaries, including UBS TC (Jersey) Ltd., the entity serving as the trustee of the SYZXC Trust. The registered address of Elegant Motion Holdings Limited is Trident Chambers, Wickhams Cay, PO Box 146, Road Town, Tortola, British Virgin Islands.</w:t>
      </w:r>
    </w:p>
    <w:p>
      <w:pPr>
        <w:spacing w:after="0" w:line="10" w:lineRule="exact"/>
        <w:rPr>
          <w:rFonts w:ascii="Times New Roman" w:cs="Times New Roman" w:eastAsia="Times New Roman" w:hAnsi="Times New Roman"/>
          <w:sz w:val="17"/>
          <w:szCs w:val="17"/>
          <w:color w:val="auto"/>
        </w:rPr>
      </w:pPr>
    </w:p>
    <w:p>
      <w:pPr>
        <w:ind w:left="340" w:right="80" w:hanging="332"/>
        <w:spacing w:after="0" w:line="25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12,852,698 Class A ordinary shares held by Tencent Mobility Limited as reported on the Schedule 13D/A filed with the SEC on December 16, 2019. Tencent Mobility Limited is a company limited by shares incorporated in Hong Kong and is wholly owned by Tencent Holdings Limited (SEHK: 0700), a Hong Kong-listed Cayman Islands company, based on the Schedule 13D/A filed by Tencent Mobility Limited and Tencent Holdings Limited with the SEC on December 16, 2019. The principal office address of Tencent Mobility Limited is 29/F., Three Pacific Place, No. 1 Queen’s Road East, Wanchai, Hong Kong, People’s Republic of China.</w:t>
      </w:r>
    </w:p>
    <w:p>
      <w:pPr>
        <w:spacing w:after="0" w:line="25"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Vivacity Holdings Limited, or High Vivacity, is a British Virgin Islands company, which is ultimately wholly owned by the Nasa Stand Trust. Under the terms of the Nasa Stand Trust, Mr. Hong has the power to direct the trustee with respect to the retention or disposal of, and the exercise of any voting and other rights attached to these shares. The registered address of High Vivacity Holdings Limited is Palm Grove House, P.O. Box 438, Road Town, Tortola, British Virgin Islands.</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To our knowledge and based on our review of our register of shareholders as of March 31, 2026, 106,881,081 Class A ordinary shares were held of record by one holder that resides in the United States, Deutsche Bank Trust Company Americas, the depositary of our ADS program. The number of beneficial owners of our ADSs in the United States is likely to be much larger than the number of record holders of our Class A ordinary shares in the United States. For the different voting rights of our Class A ordinary shareholders and Class B ordinary shareholders, please refer to “Item 4. Information on the Company—A. History and Development of the Company —Our Company.” We are not aware of any arrangement that may, at a subsequent date, result in a change of control of our company.</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none of our ordinary shares are held by governmental entities of our place of incorporation, and no government entity in the place where our registered public accounting firm is located and organized has a controlling financial interest in our company.</w:t>
      </w:r>
    </w:p>
    <w:p>
      <w:pPr>
        <w:spacing w:after="0" w:line="176"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For the options granted to our directors, officers and employees, please refer to “Item 6. Directors, Senior Management and Employees—B. Compensation.”</w:t>
      </w:r>
    </w:p>
    <w:p>
      <w:pPr>
        <w:spacing w:after="0" w:line="158"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0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incorporated in the Cayman Islands and conduct substantially all of our operations in China through our PRC subsidiaries and the consolidated variable interest entities. Among our directors and executive officers, Arthur Xiaobo Hong, Chi Ping Martin Lau, Jacky Xu, Xing Liu, and Nanyan Zheng habitually reside in Hong Kong while the other directors and executive officers all habitually reside in mainland China. As a result, it may be difficult for a shareholder to effect service of process within the United States upon these individuals,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We have been informed by our Cayman Islands legal counsel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our Cayman Islands legal counsel that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w:t>
      </w:r>
    </w:p>
    <w:p>
      <w:pPr>
        <w:spacing w:after="0" w:line="5" w:lineRule="exact"/>
        <w:rPr>
          <w:sz w:val="20"/>
          <w:szCs w:val="20"/>
          <w:color w:val="auto"/>
        </w:rPr>
      </w:pPr>
    </w:p>
    <w:p>
      <w:pPr>
        <w:ind w:right="160" w:firstLine="8"/>
        <w:spacing w:after="0" w:line="255"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the judgment debtor a liability to pay a liquidated sum for which the judgment has been given, (iii) is final and conclusive, (iv) is not in respect of taxes, a fine, or a penalty, and (v) was not obtained in a manner and is not of a kind the enforcement of which is contrary to natural justice or the public policy of the Cayman Islands.</w:t>
      </w:r>
    </w:p>
    <w:p>
      <w:pPr>
        <w:spacing w:after="0" w:line="18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PRC legal counsel has advised us that there is uncertainty as to whether the courts in mainland China would:</w:t>
      </w:r>
    </w:p>
    <w:p>
      <w:pPr>
        <w:spacing w:after="0" w:line="225" w:lineRule="exact"/>
        <w:rPr>
          <w:sz w:val="20"/>
          <w:szCs w:val="20"/>
          <w:color w:val="auto"/>
        </w:rPr>
      </w:pPr>
    </w:p>
    <w:p>
      <w:pPr>
        <w:ind w:left="680" w:right="60" w:hanging="321"/>
        <w:spacing w:after="0" w:line="282"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PRC legal counsel has further advised us that the recognition and enforcement of foreign judgments are provided for under the PRC Civil Procedures Law. Courts in mainland China may recognize and enforce foreign judgments in accordance with the requirements of the PRC Civil Procedures Law and other applicable laws and regulations based either on treaties between mainland China and the country where the judgment is made or on principles of reciprocity between jurisdictions. Mainland China does not have any treaties or other form of reciprocity with the United States or the Cayman Islands that provide for the reciprocal recognition and enforcement of foreign judgments. In addition, according to the PRC Civil Procedures Law, courts in mainland China will not enforce a foreign judgment against us or our directors and officers if they decide that the judgment violates the basic principles of laws of mainland China or national sovereignty, security or public interest. As a result, it is uncertain whether and on what basis a court in mainland China would enforce a judgment rendered by a court in the United States or in the Cayman Islands. Under the PRC Civil Procedures Law, foreign shareholders may originate actions based on PRC laws against a company in mainland China for disputes if they can establish sufficient nexus to mainland China for a court in mainland China to have jurisdiction, and meet other procedural requirements. It will be, however, difficult for U.S. shareholders to originate actions against us in mainland China in accordance with PRC laws because we are incorporated under the laws of the Cayman Islands and it will be difficult for U.S. shareholders, by virtue only of holding the ADSs or ordinary shares, to establish a connection to mainland China for a court in mainland China to have jurisdiction as required under the PRC Civil Procedures Law.</w:t>
      </w:r>
    </w:p>
    <w:p>
      <w:pPr>
        <w:spacing w:after="0" w:line="19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Furthermore, the United States and Hong Kong do not have a bilateral treaty or multilateral convention in force on reciprocal recognition and enforcement of judgments either. As a result, any United States judgment is enforceable in Hong Kong pursuant to the common law regime in Hong Kong for recognizing and enforcing foreign judgments, which provides that a foreign judgment is enforceable if (i) it is final and conclusive on the merits, (ii) the judgment has been rendered by a court of competent jurisdiction, (iii) the judgment must be for a fixed sum of money, (iv) the judgment must be between the same parties as those before the Hong Kong court, and (v) enforcement of the judgment is not a breach of natural justice or against public policy.</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Therefore, any United States judgement may only be enforceable in mainland China or Hong Kong provided that the conditions set forth in the laws of these jurisdictions are determined by the courts of mainland China or Hong Kong, as applicable, to have been fulfilled.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4"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wholly-owned subsidiary, Vipshop China, has entered into a series of contractual arrangements with the consolidated variable interest entity, Vipshop E-Commerce, and its shareholders, which enable us to make management decisions of Vipshop E-Commerce, receive substantially all of the economic benefits of Vipshop E-Commerce through service fees in consideration for the technical and consulting services provided by Vipshop China, and have an exclusive option to purchase, or designate one or more person(s) to purchase, all of the equity interests in Vipshop E-Commerce to the extent permitted under PRC laws, regulations, and legal procedures. For a description of these contractual arrangements, see “Item 4. Information on the Company—C. Organizational Structure —Contractual Arrangements Relating to the Consolidated Variable Interest Entities.”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Our Directors and Shareholders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purchased products and goods from companies controlled by our directors or major shareholders in the amount of RMB170.1 million (US$24.3 million) and received service from companies controlled by our directors or major shareholders in the amount of RMB766.1 million (US$109.5 million), for the year ended December 31, 2025. As of December 31, 2025, the amounts due to companies controlled by our directors or major shareholders were RMB68.0 million (US$9.7 million), which was unsecured and interest free. We also provided service and sold products to companies controlled or significantly influenced by our directors or major shareholders in the amount of RMB1.0 million (US$0.1 million) and RMB0.4 million (US$0.1 million), respectively, for the year ended December 31, 2025. As of December 31, 2025, the amounts due from our directors or major shareholders and companies controlled or significantly influenced by our directors or major shareholders were RMB88.0 million (US$12.6 million), which were unsecured and interest free.</w:t>
      </w:r>
    </w:p>
    <w:p>
      <w:pPr>
        <w:spacing w:after="0" w:line="1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29"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We purchased products and goods from companies significantly influenced by us in the amount of RMB108.9 million (US$15.6 million) and received service from companies significantly influenced by us in the amount of RMB154.1 million (US$22.0 million), for the year ended December 31, 2025. As of December 31, 2025, the amounts due to companies significantly influenced by us were RMB33.8 million (US$4.8 million), which were unsecured and interest free. We also provided service to companies significantly influenced by us in the amount of RMB43.6 million (US$6.2 million) for the year ended December 31, 2025. As of December 31, 2025, the amounts due from companies significantly influenced by us were RMB674.8 million (US$96.5 million), of which RMB649.1 million (US$92.8 million) were short-term loan originated to our company’s joint ventures and affiliates carried an interest rate of 2.85% or free interest rate and deposits to Sichuan VipFubon Consumer Finance Co., Ltd as shareholder deposits at interest rate of 2.20%-2.45%%. The interest income from the loan and deposit amounted to RMB12.9 million (US$1.8 million) for the year ended December 31, 2025.</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Employees—A. Directors and Senior Management—Employment Agreements.”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Compensation—Stock Incentive Plans.”</w:t>
      </w:r>
    </w:p>
    <w:p>
      <w:pPr>
        <w:spacing w:after="0" w:line="221" w:lineRule="exact"/>
        <w:rPr>
          <w:sz w:val="20"/>
          <w:szCs w:val="20"/>
          <w:color w:val="auto"/>
        </w:rPr>
      </w:pPr>
    </w:p>
    <w:p>
      <w:pPr>
        <w:ind w:left="340" w:right="7080" w:hanging="332"/>
        <w:spacing w:after="0" w:line="537" w:lineRule="auto"/>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have become and may in the future become a party to various legal or administrative proceedings arising in the ordinary course of our business, including actions with respect to intellectual property infringement, violation of third-party license or other rights, breach of contract, labor and employment claims. We are currently not a party to, and we are not aware of any threat of, any legal or administrative proceedings that, in the opinion of our management, are likely to have a material and adverse effect on our business, financial condition, or results of operations.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principally rely on dividends from our subsidiaries in China and Hong Kong and payments made by the VIEs to us in accordance with the contractual arrangements for our cash needs. To make payments to us, our subsidiaries in China and Hong Kong and the VIEs need to comply with the applicable regulations. See “Item 3. Key Information—D. Risk Factors—Risks Relating to Doing Business in the Jurisdiction Where We Primarily Operate—We principally rely on dividends and other distributions on equity paid by our PRC subsidiaries and payments made by the VIEs to us in accordance with the contractual arrangements to fund our cash and financing requirements, and any limitation on the ability of our PRC subsidiaries and the VIEs to make payments to us could materially and adversely affect our ability to conduct our business.”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Holders of our ADSs will be entitled to receive dividends, if any, subject to the terms of the deposit agreement, to the same extent as the holders of our ordinary shares. Cash dividends will be paid to the depositary of our ADSs in U.S. dollars, which will distribute them to the holders of ADSs according to the terms of the deposit agreement. Other distributions, if any, will be paid by the depositary to the holders of ADSs in any means it deems legal, fair, and practical.</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February 22, 2024, we adopted an annual cash dividend policy. Under the annual cash dividend policy, our board of directors has discretion to declare and distribute a cash dividend each year in accordance with our memorandum and articles of association and the applicable laws and regulations. Even if our board of directors decides to declare dividends, the timing, amount, and form of future dividends, if any, will depend on, among other things, our future results of operations and cash flow, our capital requirements and surplus, the amount of distributions, if any, that we receive from our subsidiaries, our financial condition, contractual restrictions, and other factors deemed relevant by our board of directors.</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February 28, 2024, we declared a cash dividend of US$2.15 per ordinary share, or US$0.43 per ADS, to holders of ordinary shares and holders of ADSs of record as of the close of business on March 15, 2024. The cash dividends were paid in April 2024 and the net cash dividends we paid amounted to US$233.3 million, excluding the cash dividends distributed to the bulk issuance of ADSs reserved for future issuances upon the exercise or vesting of awards granted under our stock incentive plans and our treasury ADSs.</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On February 21, 2025, we declared a cash dividend of US$2.40 per ordinary share, or US$0.48 per ADS, to holders of ordinary shares and holders of ADSs of record as of the close of business on April 11, 2025. The cash dividends were paid in April 2025 and the net cash dividends we paid amounted to US$247.4 million, excluding the cash dividends distributed to the bulk issuance of ADSs reserved for future issuances upon the exercise or vesting of awards granted under our stock incentive plans and our treasury ADSs.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February 26, 2026, we declared a cash dividend of US$3.10 per ordinary share, or US$0.62 per ADS, to holders of ordinary shares and holders of ADSs of record as of the close of business on April 10, 2026. The cash dividends will be paid on April 24, 2026 and the net cash dividend is expected to be approximately US$300 million, excluding the cash dividends distributed to the bulk issuance of ADSs reserved for future issuances upon the exercise or vesting of awards granted under our stock incentive plans and our treasury ADSs.</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ADSs, each representing 0.2 Class A ordinary shares, have been listed on the NYSE since March 23, 2012. Our ADSs trade under the symbol “VIPS.”</w:t>
      </w:r>
    </w:p>
    <w:p>
      <w:pPr>
        <w:spacing w:after="0" w:line="158" w:lineRule="exact"/>
        <w:rPr>
          <w:sz w:val="20"/>
          <w:szCs w:val="20"/>
          <w:color w:val="auto"/>
        </w:rPr>
      </w:pPr>
    </w:p>
    <w:p>
      <w:pPr>
        <w:ind w:left="340" w:right="8040" w:hanging="332"/>
        <w:spacing w:after="0" w:line="530" w:lineRule="auto"/>
        <w:tabs>
          <w:tab w:leader="none" w:pos="34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ADSs, each representing 0.2 Class A ordinary shares, have been listed on the NYSE since March 23, 2012. Our ADSs trade under the symbol “VIPS.”</w:t>
      </w:r>
    </w:p>
    <w:p>
      <w:pPr>
        <w:spacing w:after="0" w:line="158" w:lineRule="exact"/>
        <w:rPr>
          <w:sz w:val="20"/>
          <w:szCs w:val="20"/>
          <w:color w:val="auto"/>
        </w:rPr>
      </w:pPr>
    </w:p>
    <w:p>
      <w:pPr>
        <w:ind w:left="340" w:right="7980" w:hanging="332"/>
        <w:spacing w:after="0" w:line="530" w:lineRule="auto"/>
        <w:tabs>
          <w:tab w:leader="none" w:pos="34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340" w:right="7940" w:hanging="332"/>
        <w:spacing w:after="0" w:line="500" w:lineRule="auto"/>
        <w:tabs>
          <w:tab w:leader="none" w:pos="3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jc w:val="both"/>
        <w:ind w:left="340" w:right="8460" w:hanging="332"/>
        <w:spacing w:after="0" w:line="530" w:lineRule="auto"/>
        <w:tabs>
          <w:tab w:leader="none" w:pos="34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 and Objects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Pursuant to Article 2 of our second amended and restated memorandum of association, our registered office is at the offices of International Corporation Services Ltd, PO Box 472, 2nd Floor, Harbour Place, 103 South Church Street, George Town, Grand Cayman KY1-1106, Cayman Islands or at such other place as our board of directors may from time to time decide. Pursuant to Article 3 of our second amended and restated memorandum of association, the objects for which our company is established are unrestricted and our company has full power and authority to carry out any object not prohibited by the Companies Act as the same may be revised from time to time, or any other law of the Cayman Islands.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All of our outstanding Class A and Class B ordinary shares are fully paid and non-assessable. Certificates representing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and Class B ordinary shares are issued in registered form. Our shareholders may freely hold and vote their shares. Each holder of our Class A ordinary shares is entitled to one vote for each Class A ordinary share held on matters submitted to a vote of shareholders, and each holder of our Class B ordinary shares is entitled to ten votes for each Class B ordinary share held on matters submitted to a vote of shareholders.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Act.</w:t>
      </w:r>
    </w:p>
    <w:p>
      <w:pPr>
        <w:spacing w:after="0" w:line="118" w:lineRule="exact"/>
        <w:rPr>
          <w:sz w:val="20"/>
          <w:szCs w:val="20"/>
          <w:color w:val="auto"/>
        </w:rPr>
      </w:pPr>
    </w:p>
    <w:p>
      <w:pPr>
        <w:jc w:val="both"/>
        <w:ind w:right="3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Class A ordinary share is entitled to one vote and each Class B ordinary share is entitled to ten votes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upon which the ordinary shares are entitled to vote. Voting at any shareholders’ meeting is by show of hands unless a poll is demanded. A poll may be demanded by one or more shareholders holding at least 10% of the paid up voting share capital, present in person or by proxy.</w:t>
      </w:r>
    </w:p>
    <w:p>
      <w:pPr>
        <w:spacing w:after="0" w:line="14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at least one shareholder present in person or by proxy or, if a corporation or other non-natural person, by its duly authorized representative, who holds no less than one-third of our voting share capital. Shareholders’ meetings are held annually and may be convened by our board of directors on its own initiative or upon a request to the directors by shareholders holding in aggregate at least one-third of our voting share capital. Advance notice to shareholders of at least seven days is required for the convening of our annual general meeting and other shareholders’ meetings.</w:t>
      </w:r>
    </w:p>
    <w:p>
      <w:pPr>
        <w:spacing w:after="0" w:line="15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a simple majority of votes cast in a general meeting, while a special resolution requires no less than two-thirds of the votes cast. A special resolution is required for important matters such as a change of name. Our shareholders may effect certain changes by ordinary resolution, including increasing the amount of our authorized share capital, consolidating and dividing all or any of our share capital into shares of larger amount than our existing shares and canceling any shares.</w:t>
      </w:r>
    </w:p>
    <w:p>
      <w:pPr>
        <w:spacing w:after="0" w:line="14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Transfer of Shares</w:t>
      </w:r>
      <w:r>
        <w:rPr>
          <w:rFonts w:ascii="Times New Roman" w:cs="Times New Roman" w:eastAsia="Times New Roman" w:hAnsi="Times New Roman"/>
          <w:sz w:val="18"/>
          <w:szCs w:val="18"/>
          <w:color w:val="auto"/>
        </w:rPr>
        <w:t>. Subject to the restrictions of our memorandum and articles of association, as applicable, any of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transfer all or any of his or her ordinary shares by an instrument of transfer in the usual or common form or any other form approved by our board.</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may, in its sole discretion, decline to register any transfer of any ordinary share which is not fully paid up or on which we have a lien. Our directors may also decline to register any transfer of any share unless (i) the instrument of transfer is lodged with us, accompanied by the certificate for the shares to which it relates and such other evidence as our board of directors may reasonably require to show the right of the transferor to make the transfer; (ii) the instrument of transfer is in respect of only one class of shares; (iii) the instrument of transfer is properly stamped, if required; (iv) in the case of a transfer to joint holders, the number of joint holders to whom the share is to be transferred does not exceed four; (v) the shares conceded are free of any lien in favor of us; or (vi) a fee of such maximum sum as the NYSE may determine to be payable, or such lesser sum as our board of directors may from time to time require, has been paid to us in respect thereof.</w:t>
      </w:r>
    </w:p>
    <w:p>
      <w:pPr>
        <w:spacing w:after="0" w:line="16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If our directors refuse to register a transfer they should,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of directors may from time to time determine, provided, however, that the registration of transfers should not be suspended nor the register closed for more than 30 days in any year.</w:t>
      </w:r>
    </w:p>
    <w:p>
      <w:pPr>
        <w:spacing w:after="0" w:line="14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a return of capital on winding up or otherwise (other than on conversion, redemption or purchase of shares),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distribution among the holders of ordinary shares should be distributed among the holders of the ordinary shares in accordance with the Companies Act and the memorandum or articles of association of the company. If our assets available for distribution are insufficient to repay all of the paid-up capital, the assets will be distributed so that the losses are borne by our shareholders proportionately.</w:t>
      </w:r>
    </w:p>
    <w:p>
      <w:pPr>
        <w:spacing w:after="0" w:line="143"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shares in a notice served to such shareholders at least 14 days prior to the specified time of payment. The shares that have been called upon and remain unpaid on the specified time are subject to forfeiture.</w:t>
      </w:r>
    </w:p>
    <w:p>
      <w:pPr>
        <w:spacing w:after="0" w:line="146"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Redemption of Shares</w:t>
      </w:r>
      <w:r>
        <w:rPr>
          <w:rFonts w:ascii="Times New Roman" w:cs="Times New Roman" w:eastAsia="Times New Roman" w:hAnsi="Times New Roman"/>
          <w:sz w:val="18"/>
          <w:szCs w:val="18"/>
          <w:color w:val="auto"/>
        </w:rPr>
        <w:t>. Subject to the provisions of the Companies Act, we may issue shares on terms that are subject to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our option or at the option of the holders, on such terms and in such manner as may be determined by our board of directors before the issuance of such shares.</w:t>
      </w:r>
    </w:p>
    <w:p>
      <w:pPr>
        <w:spacing w:after="0" w:line="133"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All or any of the special rights attached to any class of shares may, subject to the provisions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Act, be varied either with the written consent of the holders of a majority of the issued shares of that class or with the sanction of a special resolution passed at a general meeting of the holders of the shares of that class. The rights conferred upon the holders of the shares of any class should not, unless otherwise expressly provided by the terms of issue of the shares of that class, be deemed to be varied by the creation or issue of further shares ranking in priority to or pari passu with such previously existing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 Cayman Islands law to inspect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copies of our list of shareholders or our corporate records. However, we will provide our shareholders with annual audited financial statements.</w:t>
      </w:r>
    </w:p>
    <w:p>
      <w:pPr>
        <w:spacing w:after="0" w:line="173" w:lineRule="exact"/>
        <w:rPr>
          <w:sz w:val="20"/>
          <w:szCs w:val="20"/>
          <w:color w:val="auto"/>
        </w:rPr>
      </w:pPr>
    </w:p>
    <w:p>
      <w:pPr>
        <w:ind w:right="3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second amended and restated memorandum and articles of association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discourage, delay or prevent a change of control of our company or management that shareholders may consider favorable, including provisions that:</w:t>
      </w:r>
    </w:p>
    <w:p>
      <w:pPr>
        <w:spacing w:after="0" w:line="175" w:lineRule="exact"/>
        <w:rPr>
          <w:sz w:val="20"/>
          <w:szCs w:val="20"/>
          <w:color w:val="auto"/>
        </w:rPr>
      </w:pPr>
    </w:p>
    <w:p>
      <w:pPr>
        <w:ind w:left="680" w:right="24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second amended and restated memorandum and articles of association for a proper purpose and for what they believe in good faith to be in the best interests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81"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In certain circumstances, the Cayman Islands Companies Act allows for mergers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consolidations between two Cayman Islands companies, or between a Cayman Islands company and a company incorporated in another jurisdiction (provided that is facilitated by the laws of that other jurisdiction).</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(a) a special resolution (usually a majority of 662/3% in value) of the shareholders of each company and (b) such other authorization, if any, as is required by such constituent company’s memorandum and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8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Where the merger or consolidation involves a non-Cayman Islands company, the procedure is similar, save that with respect to the foreign company, the director of the Cayman Islands company is required to make a declaration to the effect that, having made due enquiry, he is of the opinion that the requirements set out below have been met: (a) that the merger or consolidation is permitted or not prohibited by the constitutional documents of the non-Cayman Islands company and by the laws of the jurisdiction in which the non-Cayman Islands company is incorporated, and that those laws and any requirements of those constitutional documents have been or will be complied with; (b) that no petition or other similar proceeding has been filed and remains outstanding or order made or resolution adopted to wind up or liquidate the non-Cayman Islands company in any jurisdictions; (c) that no receiver, trustee, administrator or other similar person has been appointed in any jurisdiction and is acting in respect of the non-Cayman Islands company, its affairs or its property or any part thereof; and (d) that no scheme, order, compromise or other similar arrangement has been entered into or made in any jurisdiction whereby the rights of creditors of the non-Cayman Islands company are and continue to be suspended or restricted.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40" w:firstLine="324"/>
        <w:spacing w:after="0" w:line="276" w:lineRule="auto"/>
        <w:rPr>
          <w:sz w:val="20"/>
          <w:szCs w:val="20"/>
          <w:color w:val="auto"/>
        </w:rPr>
      </w:pPr>
      <w:r>
        <w:rPr>
          <w:rFonts w:ascii="Times New Roman" w:cs="Times New Roman" w:eastAsia="Times New Roman" w:hAnsi="Times New Roman"/>
          <w:sz w:val="17"/>
          <w:szCs w:val="17"/>
          <w:color w:val="auto"/>
        </w:rPr>
        <w:t>Where the surviving company is the Cayman Islands company, the director of the Cayman Islands company is further required to make a declaration to the effect that, having made due enquiry, he is of the opinion that the requirements set out below have been met:</w:t>
      </w:r>
    </w:p>
    <w:p>
      <w:pPr>
        <w:spacing w:after="0" w:line="1" w:lineRule="exact"/>
        <w:rPr>
          <w:sz w:val="20"/>
          <w:szCs w:val="20"/>
          <w:color w:val="auto"/>
        </w:rPr>
      </w:pPr>
    </w:p>
    <w:p>
      <w:pPr>
        <w:ind w:right="20" w:firstLine="8"/>
        <w:spacing w:after="0" w:line="251" w:lineRule="auto"/>
        <w:tabs>
          <w:tab w:leader="none" w:pos="2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non-Cayman Islands company is able to pay its debts as they fall due and that the merger or consolidation is bona fide and not intended to defraud unsecured creditors of the non-Cayman Islands company; (ii) that in respect of the transfer of any security interest granted by the non-Cayman Islands company to the surviving or consolidated company (a) consent or approval to the transfer has been obtained, released or waived; (b) the transfer is permitted by and has been approved in accordance with the constitutional documents of the non-Cayman Islands company; and (c) the laws of the jurisdiction of the non-Cayman Islands company with respect to the transfer have been or will be complied with; (iii) that the non-Cayman Islands company will, upon the merger or consolidation becoming effective, cease to be incorporated, registered or exist under the laws of the relevant non-Cayman Islands jurisdiction; and (iv) that there is no other reason why it would be against the public interest to permit the merger or consolidation.</w:t>
      </w:r>
    </w:p>
    <w:p>
      <w:pPr>
        <w:spacing w:after="0" w:line="194"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Where the above procedures are adopted, the Companies Act provides for a right of dissenting shareholders to be paid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(e) if the company and the shareholder fail to agree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2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Moreover, Cayman Islands law also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 of which is more rigorous and takes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a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192" w:lineRule="exact"/>
        <w:rPr>
          <w:sz w:val="20"/>
          <w:szCs w:val="20"/>
          <w:color w:val="auto"/>
        </w:rPr>
      </w:pPr>
    </w:p>
    <w:p>
      <w:pPr>
        <w:ind w:left="680" w:right="16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proposing to act illegally or beyond the scope of our corporate authority and the statutory provisions as to majority vote have been complied with;</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 the arrangement is not one that would more properly be sanctioned under some other provision of the Companies Act or that would amount to a “fraud on the minority.”</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Squeeze-out Provisions</w:t>
      </w:r>
      <w:r>
        <w:rPr>
          <w:rFonts w:ascii="Times New Roman" w:cs="Times New Roman" w:eastAsia="Times New Roman" w:hAnsi="Times New Roman"/>
          <w:sz w:val="18"/>
          <w:szCs w:val="18"/>
          <w:color w:val="auto"/>
        </w:rPr>
        <w:t>. When a takeover offer is made and accepted by holders of 90% of the shares to whom the offer is made,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offeror may, within a two-month period commencing after the approval by the said holders,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Further, transactions similar to a merger, reconstruction and/or an amalgamation may in some circumstances be achieved through means other than under the statutory provisions, such as a share capital exchange, asset acquisition or control, through contractual arrangements, of an operating business.</w:t>
      </w:r>
    </w:p>
    <w:p>
      <w:pPr>
        <w:spacing w:after="0" w:line="17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Restructuring Officer. </w:t>
      </w:r>
      <w:r>
        <w:rPr>
          <w:rFonts w:ascii="Times New Roman" w:cs="Times New Roman" w:eastAsia="Times New Roman" w:hAnsi="Times New Roman"/>
          <w:sz w:val="18"/>
          <w:szCs w:val="18"/>
          <w:color w:val="auto"/>
        </w:rPr>
        <w:t>The Companies Act also contains statutory provisions which provide that a company may present a petition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 During such time as a petition is presented or an order appointing a restructuring officer remains on foot, Section 91G of the Companies Act prescribes an automatic worldwide moratorium on any suits, action or other proceedings, other than criminal proceedings against the company.</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Our Cayman Islands counsel is not aware of any reported class action having been brought in a Cayman Islands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Derivative actions have been brought in the Cayman Islands courts, and the Cayman Islands courts have confirmed their availability. In principle, we will normally be the proper plaintiff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185" w:lineRule="exact"/>
        <w:rPr>
          <w:sz w:val="20"/>
          <w:szCs w:val="20"/>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Transactions with Directors</w:t>
      </w:r>
      <w:r>
        <w:rPr>
          <w:rFonts w:ascii="Times New Roman" w:cs="Times New Roman" w:eastAsia="Times New Roman" w:hAnsi="Times New Roman"/>
          <w:sz w:val="18"/>
          <w:szCs w:val="18"/>
          <w:color w:val="auto"/>
        </w:rPr>
        <w:t>. Under the Delaware General Corporation Law, transactions with directors must be approved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disinterested directors or by the shareholders, or otherwise proven to be fair to the company as of the time it is approved. Such transaction will be void or voidable, unless (a) the material facts of any interested directors’ interests are disclosed or are known to the board of directors and the transaction is approved by the affirmative votes of a majority of the disinterested directors, even though the disinterested directors be less than a quorum; (b) the material facts of any interested directors’ interests are disclosed or are known to the shareholders entitled to vote thereon, and the transaction is specifically approved in good faith by a vote of the shareholders; or (c) the transaction is fair to the company as of the time it is approved.</w:t>
      </w:r>
    </w:p>
    <w:p>
      <w:pPr>
        <w:spacing w:after="0" w:line="18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Cayman Islands laws do not restrict transactions with directors, requiring only that directors exercise a duty of care and owe a fiduciary duty to the companies for which they serve. Under our second amended and restated memorandum and articles of association, subject to any separate requirement for audit committee approval under the NYSE rules or unless disqualified by the chairman of the relevant board meeting, so long as a director discloses the nature of his interest in any contract or arrangement which he is interested in, such a director may vote in respect of any contract or proposed contract or arrangement in which such director is interested and may be counted in the quorum at such a meeting.</w:t>
      </w:r>
    </w:p>
    <w:p>
      <w:pPr>
        <w:spacing w:after="0" w:line="185" w:lineRule="exact"/>
        <w:rPr>
          <w:sz w:val="20"/>
          <w:szCs w:val="20"/>
          <w:color w:val="auto"/>
        </w:rPr>
      </w:pPr>
    </w:p>
    <w:p>
      <w:pPr>
        <w:jc w:val="both"/>
        <w:ind w:right="5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Cayman Islands law does not limit the extent to which a company’s articles of association may provide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of officers and directors, except to the extent any such provision may be held by the Cayman Islands courts to be contrary to public policy, such as to provide indemnification against conduct amounting to willful default, willful neglect, fraud or dishonesty, for example, civil fraud or the consequences of committing a crime.</w:t>
      </w:r>
    </w:p>
    <w:p>
      <w:pPr>
        <w:sectPr>
          <w:pgSz w:w="11900" w:h="16838" w:orient="portrait"/>
          <w:cols w:equalWidth="0" w:num="1">
            <w:col w:w="9920"/>
          </w:cols>
          <w:pgMar w:left="980" w:top="513" w:right="99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our second amended and restated memorandum and articles of association, we may indemnify our directors, officers, employees, and agents against expenses, judgments, fines, and amounts paid in settlement actually and reasonably incurred by such persons in connection with actions, suits or proceedings to which they are party or are threatened to be made a party by reason of their acting as our directors, officers, employees or agents, except through their own dishonesty, willful default or fraud. To be entitled to indemnification, these persons must have acted in good faith and in the best interest and not contrary to the interest of our company, and must not have acted in a manner willfully or grossly negligent and, with respect to any criminal action, they must have had no reasonable cause to believe their conduct was unlawful. Our second amended and restated memorandum and articles of association may also provide for indemnification of such person in the case of a suit initiated by our company or in the right of our company.</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intend to enter into indemnification agreements with our directors and executive officers to indemnify them to the fullest extent permitted by applicable law and our articles of association, from and against all costs, charges, expenses, liabilities, and losses incurred in connection with any litigation, suit or proceeding to which such director is or is threatened to be made a party, witness or other participant.</w:t>
      </w:r>
    </w:p>
    <w:p>
      <w:pPr>
        <w:spacing w:after="0" w:line="180"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under the foregoing provisions, we have been advised that in the opinion of the SEC, such indemnification is against public policy as expressed in the Securities Act and therefore is unenforceable.</w:t>
      </w:r>
    </w:p>
    <w:p>
      <w:pPr>
        <w:spacing w:after="0" w:line="17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Directors’ Fiduciary Duties</w:t>
      </w:r>
      <w:r>
        <w:rPr>
          <w:rFonts w:ascii="Times New Roman" w:cs="Times New Roman" w:eastAsia="Times New Roman" w:hAnsi="Times New Roman"/>
          <w:sz w:val="18"/>
          <w:szCs w:val="18"/>
          <w:color w:val="auto"/>
        </w:rPr>
        <w:t>. Under Delaware corporate law, a director of a Delaware corporation has a fiduciary duty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its shareholders. This duty has two components: the duty of care and the duty of loyalty.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87"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Under Cayman Islands law, a director of a Cayman Islands company is in the position of a fiduciary with respect to the company, and therefore it is considered that he or she owes the following duties to the company: a duty to act bona fide in the best interests of the company and for a proper purpose; a duty not to make a profit out of his or her position as director (unless the company permits him or her to do so); and a duty not to put himself or herself in a position where the interests of the company conflict with his or her personal interests or his or her duty to a third party. A director of a Cayman Islands company owes to the company a duty to act with skill, diligence,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Under our second amended and restated memorandum and articles of association, directors who are in any way, whether directly or indirectly, interested in a contract or proposed contract with our company should declare the nature of their interest at a meeting of the board of directors. Following such declaration, a director may vote in respect of any contract or proposed contract notwithstanding his interest.</w:t>
      </w:r>
    </w:p>
    <w:p>
      <w:pPr>
        <w:spacing w:after="0" w:line="17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Majority Independent Board</w:t>
      </w:r>
      <w:r>
        <w:rPr>
          <w:rFonts w:ascii="Times New Roman" w:cs="Times New Roman" w:eastAsia="Times New Roman" w:hAnsi="Times New Roman"/>
          <w:sz w:val="18"/>
          <w:szCs w:val="18"/>
          <w:color w:val="auto"/>
        </w:rPr>
        <w:t>. A domestic U.S. company listed on the NYSE must comply with the requirement that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must be comprised of independent directors as defined under the NYSE rules. As a Cayman Islands exempted company, we are allowed to follow home country practices in lieu of certain corporate governance requirements under the NYSE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where there is no similar requirement under the laws of the Cayman Islands.</w:t>
      </w:r>
    </w:p>
    <w:p>
      <w:pPr>
        <w:spacing w:after="0" w:line="20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 may eliminate the right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to act by written consent by inclusion of such a restriction in its certificate of incorporation. Cayman Islands law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Shareholder Proposals</w:t>
      </w:r>
      <w:r>
        <w:rPr>
          <w:rFonts w:ascii="Times New Roman" w:cs="Times New Roman" w:eastAsia="Times New Roman" w:hAnsi="Times New Roman"/>
          <w:sz w:val="18"/>
          <w:szCs w:val="18"/>
          <w:color w:val="auto"/>
        </w:rPr>
        <w:t>. The Delaware General Corporation Law does not provide shareholders an express right to put any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certificate of incorporation or bylaws, but shareholders may be precluded from calling special meetings. With respect to shareholder proposals, Cayman law is essentially the same as Delaware law. The Companies Act does not provide shareholders with an express right to put forth any proposal before the annual meeting of the shareholders. However, depending on what is stipulated in a company’s articles of associations, shareholders in an exempted Cayman Islands company may make proposals in accordance with the notice provisions. For shares that are represented by ADSs, the depositary in many cases may be the only shareholder. In such cases, only the depositary has the direct right to requisition a shareholders’ meeting. However, unless otherwise provided in the deposit agreement, the holders of the ADSs generally do not have the right to petition the depositary to requisition a shareholders’ meeting or put forth shareholder proposals through the depositary.</w:t>
      </w:r>
    </w:p>
    <w:p>
      <w:pPr>
        <w:spacing w:after="0" w:line="1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second amended and restated memorandum and articles of association allow our shareholders holding not less than one-third of our paid-up voting share capital to requisition a shareholders’ meeting. At such shareholders’ meeting, the shareholders who have requisitioned the meeting may put forth proposals, provided the details of such proposals are set forth in their notice requisitioning the meeting. As an exempted Cayman Islands company, we are not obliged by law to call shareholders’ annual general meetings.</w:t>
      </w:r>
    </w:p>
    <w:p>
      <w:pPr>
        <w:spacing w:after="0" w:line="17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8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p>
    <w:p>
      <w:pPr>
        <w:spacing w:after="0" w:line="17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 a classified board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only for cause with the approval of a majority of the outstanding shares entitled to vote, unless the certificate of incorporation provides otherwise. Under our amended and restated articles of association, directors can be removed by an ordinary resolution of shareholders.</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 combination statute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Delaware public corporations whereby, unless the corporation has specifically elected not to be governed by such statute by an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15% or more of the corporation’s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w:t>
      </w:r>
    </w:p>
    <w:p>
      <w:pPr>
        <w:spacing w:after="0" w:line="19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perpetuating a fraud on the minority shareholders.</w:t>
      </w:r>
    </w:p>
    <w:p>
      <w:pPr>
        <w:spacing w:after="0" w:line="17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 approves the proposal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approval of a majority of the outstanding shares of such class, unless the certificate of incorporation provides otherwise. Under Cayman Islands law and our Memorandum and Articles of Association, if our share capital is divided into more than one class of shares, we may materially adversely vary the rights attached to any class with the written consent of the holders of two-thirds of the issued shares of that class or with the sanction of a special resolution passed at a separate meeting of the holders of the shares of that class.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As permitted by Cayman Islands law, our second amended and restated memorandum and articles of association may be amended by a special resolution of the shareholders.</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on the rights of non-resident or foreign shareholders to hold or exercise voting rights on our shares. In addition, there are no provisions in our second amended and restated memorandum and articles of association governing the ownership threshold above which shareholder ownership must be disclosed.</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The Companies Act in the Cayman Islands distinguishes between ordinary resident companies and exempted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82" w:lineRule="exact"/>
        <w:rPr>
          <w:sz w:val="20"/>
          <w:szCs w:val="20"/>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required to be open for inspection;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 an exempted company may register as a segregated portfolio company.</w:t>
      </w:r>
    </w:p>
    <w:p>
      <w:pPr>
        <w:spacing w:after="0" w:line="162"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right="260" w:firstLine="324"/>
        <w:spacing w:after="0" w:line="289" w:lineRule="auto"/>
        <w:rPr>
          <w:sz w:val="20"/>
          <w:szCs w:val="20"/>
          <w:color w:val="auto"/>
        </w:rPr>
      </w:pPr>
      <w:r>
        <w:rPr>
          <w:rFonts w:ascii="Times New Roman" w:cs="Times New Roman" w:eastAsia="Times New Roman" w:hAnsi="Times New Roman"/>
          <w:sz w:val="17"/>
          <w:szCs w:val="17"/>
          <w:color w:val="auto"/>
        </w:rPr>
        <w:t>Other than in the ordinary course of business and other than those described under this item, in “Item 4. Information on the Company,” “Item 7. Major Shareholders and Related Party Transactions—B. Related Party Transactions” or elsewhere in this annual report, we have not entered into any material contract during the two years immediately preceding the date of this annual report.</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Overview—Regulation—Regulations Relating to Foreign Currency Exchange and Dividend Distribution.”</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Cayman Islands Taxation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According to Travers Thorp Alberga, our Cayman Islands counsel, 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us. There are no exchange control regulations or currency restrictions in the Cayman Islands.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People’s Republic of China Taxation</w:t>
      </w:r>
    </w:p>
    <w:p>
      <w:pPr>
        <w:spacing w:after="0" w:line="229"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Under the PRC Enterprise Income Tax Law, an enterprise established outside of China with “de facto management bodies” within China may be considered a PRC “resident enterprise,” meaning it can be treated in a manner similar to a PRC enterprise for enterprise income tax purposes, although the dividends paid to a PRC resident enterprise from another may qualify as “tax-exempt income.” The implementation rules of the PRC Enterprise Income Tax Law define a “de facto management body” as a body that has substantial and overall management and control over the manufacturing and business operations, personnel and human resources, finances and properties of an enterprise. STA Circular 82 issued by the State Taxation Administration on April 22, 2009 specifies that certain offshore enterprises controlled by a PRC company or a PRC company group will be classified as PRC “resident enterprises” if the following requirements are satisfied: (i) the senior management and core management departments in charge of its daily operations function are mainly in China; (ii) its financial and human resources decisions are subject to determination or approval by persons or bodies in China;</w:t>
      </w:r>
    </w:p>
    <w:p>
      <w:pPr>
        <w:spacing w:after="0" w:line="5" w:lineRule="exact"/>
        <w:rPr>
          <w:sz w:val="20"/>
          <w:szCs w:val="20"/>
          <w:color w:val="auto"/>
        </w:rPr>
      </w:pPr>
    </w:p>
    <w:p>
      <w:pPr>
        <w:ind w:right="60" w:firstLine="8"/>
        <w:spacing w:after="0" w:line="252" w:lineRule="auto"/>
        <w:tabs>
          <w:tab w:leader="none" w:pos="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major assets, accounting books, company seals, and minutes and files of its board and shareholders’ meetings are located or kept in China; and (iv) at least half of the enterprise’s directors with voting rights or senior management habitually reside in China. Although STA Circular 82 only applies to offshore enterprises controlled by PRC enterprises and not those controlled by PRC individuals, the determination criteria set forth in STA Circular 82 may reflect State Taxation Administration’s general position on how the “de facto management body” test should be applied in determining tax resident status of offshore enterprises, regardless of whether they are controlled by PRC enterprises or PRC individuals.</w:t>
      </w:r>
    </w:p>
    <w:p>
      <w:pPr>
        <w:spacing w:after="0" w:line="19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believe that none of our entities outside of China is a PRC resident enterprise for PRC tax purposes and therefore is not subject to PRC enterprise income tax reporting obligations and the dividends we pay to holders of our ADSs or ordinary shares will not be subject to PRC withholding tax. However, if the PRC tax authorities determine that we are a PRC resident enterprise for enterprise income tax purposes, we may be required to withhold a 10% withholding tax from dividends we pay to our non-PRC enterprise shareholders and a 20% withholding tax from dividends we pay to our non-PRC individual shareholders, including the holders of our ADSs. In addition, non-PRC shareholders may be subject to PRC tax on gains realized on the sale or other disposition of ADSs or ordinary shares if such income is treated as China-sourced income. It is unclear whether our non-PRC shareholders would be able to claim the benefits of any tax treaties between their tax residence and China in the event we are treated as a PRC resident enterprise. See “Item 3. Key Information—D. Risk Factors—Risks Relating to Doing Business in the Jurisdiction Where We Primarily Operate—It is unclear whether we will be considered a PRC ‘resident enterprise’ under the PRC Enterprise Income Tax Law and, depending on the determination of our PRC ‘resident enterprise’ status, our global income may be subject to the 25% PRC enterprise income tax, which could materially and adversely affect our results of operations.”</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United States Federal Income Tax Considerations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following is a summary of United States federal income tax considerations with respect to the ownership and disposition of our ADSs or Class A ordinary shares by a U.S. Holder, as defined below, that holds our ADSs or Class A ordinary shares as “capital assets” within the meaning of Section 1221 of the United States Internal Revenue Code of 1986, as amended (generally, property held for investment). This summary is based upon existing United States federal tax law, which is subject to differing interpretations or change, possibly with retroactive effect, and there can be no assurance that Internal Revenue Service will not challenge the U.S. federal income tax treatment described below or that, if challenged, such treatment will be sustained by a court. This summary does not discuss all aspects of United States federal income taxation that may be important to particular investors in light of their individual investment circumstances, including:</w:t>
      </w:r>
    </w:p>
    <w:p>
      <w:pPr>
        <w:spacing w:after="0" w:line="192" w:lineRule="exact"/>
        <w:rPr>
          <w:sz w:val="20"/>
          <w:szCs w:val="20"/>
          <w:color w:val="auto"/>
        </w:rPr>
      </w:pPr>
    </w:p>
    <w:p>
      <w:pPr>
        <w:ind w:left="680" w:right="340" w:hanging="321"/>
        <w:spacing w:after="0" w:line="266"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special tax rules (for example, financial institutions, insurance companies, broker-dealers, traders in securities that elect mark-to-market treatment, pension plans, regulated investment companies, real estate investment trusts, cooperatives, and tax-exempt organizations (including private foundations)),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are not U.S. Holders, holders who own (directly, indirectly, or constructively) 10% or more of our stock (by vote or value),</w:t>
      </w:r>
    </w:p>
    <w:p>
      <w:pPr>
        <w:spacing w:after="0" w:line="161"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hold their ADSs or Class A ordinary shares as part of a straddle, hedge, conversion, constructive sale, or other integrated transaction for United States federal income tax purposes,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expatriates,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any minimum tax,</w:t>
      </w:r>
    </w:p>
    <w:p>
      <w:pPr>
        <w:spacing w:after="0" w:line="225" w:lineRule="exact"/>
        <w:rPr>
          <w:rFonts w:ascii="Times New Roman" w:cs="Times New Roman" w:eastAsia="Times New Roman" w:hAnsi="Times New Roman"/>
          <w:sz w:val="18"/>
          <w:szCs w:val="18"/>
          <w:color w:val="auto"/>
        </w:rPr>
      </w:pPr>
    </w:p>
    <w:p>
      <w:pPr>
        <w:ind w:left="680" w:right="92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acquired their ADSs or Class A ordinary shares pursuant to any employee share option or otherwise as compensation,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United States dollar,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foregoing may be subject to tax rules that differ significantly from those summarized below.</w:t>
      </w:r>
    </w:p>
    <w:p>
      <w:pPr>
        <w:spacing w:after="0" w:line="22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addition, this summary of United States federal income tax considerations does not discuss any state, local, or non-United States tax considerations, any non-income tax (such as gift or estate tax) considerations, or the Medicare Tax. Each U.S. Holder is advised to consult its tax advisors regarding the United States federal, state, local, and non-United States income and other tax considerations of an investment in our ADSs or Class A ordinary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our ADSs or Class A ordinary shares that is, for United States federal income tax purposes,</w:t>
      </w:r>
    </w:p>
    <w:p>
      <w:pPr>
        <w:spacing w:after="0" w:line="162" w:lineRule="exact"/>
        <w:rPr>
          <w:sz w:val="20"/>
          <w:szCs w:val="20"/>
          <w:color w:val="auto"/>
        </w:rPr>
      </w:pP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in, or organized under the law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United States federal income tax purposes regardless of its source, or</w:t>
      </w:r>
    </w:p>
    <w:p>
      <w:pPr>
        <w:spacing w:after="0" w:line="16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applicable Treasury Regulations.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United States federal income tax purposes) is a beneficial owner of our ADSs or Class A ordinary shares, the tax treatment of a partner in the partnership will generally depend upon the status of the partner and the activities of the partnership. Partnerships and partners of a partnership holding our ADSs or Class A ordinary shares are advised to consult their tax advisors regarding an investment in our ADSs or Class A ordinary shares.</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It is generally expected that a U.S. Holder of ADSs should be treated as the beneficial owner, for United States federal income tax purposes, of the underlying shares represented by the ADSs. The remainder of this discussion assumes that a holder of ADSs will be treated in this manner. Accordingly, deposits or withdrawals of Class A ordinary shares for ADSs will not be subject to United States federal income tax.</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Company Considerations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 non-United States corporation, such as our company, will be a PFIC for United States federal income tax purposes for any taxable year if either (a) 75% or more of its gross income for such year consists of certain types of “passive” income or (b)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9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Although the law in this regard is unclear, we treat the consolidated variable interest entities as being owned by us for U.S. federal income tax purposes, not only because their management decisions are made by our WFOE in accordance with the contractual arrangements but also because we are entitled to substantially all of their economic benefits in accordance with the contractual arrangements, and, as a result, we have a “controlling financial interest” in the consolidated variable interest entities as defined in FASB ASC 810 so that we are considered the primary beneficiary of these consolidated variable interest entities for accounting purposes and thus consolidate their results of operations in our consolidated financial statements under U.S. GAAP. If it were determined, however, that we are not the owner of any of the consolidated variable interest entities (or their subsidiaries) for United States federal income tax purposes, we would likely be treated as a PFIC for the current taxable year or any future taxable year.</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Assuming that we are the owner of the consolidated variable interest entities (and their subsidiaries) for United States federal income tax purposes, and based upon our income and assets and the market price of our ADSs, we do not believe that we were a PFIC for the taxable year ended December 31, 2025 and we do not expect to be a PFIC in the foreseeable future. However, because PFIC status is a fact-intensive determination made on an annual basis, no assurance can be given that we are not or will not become a PFIC. The determination of whether we will be or become a PFIC will depend in part upon the market price of our ADSs, which we cannot control. Among other matters, if our market capitalization declines, we may be classified as a PFIC for the current or future taxable years. Recent fluctuations in the market price of our ADSs or ordinary shares increased our risk of becoming a PFIC. The market price of our ADSs and ordinary shares may continue to fluctuate considerably; consequently, we cannot assure you of our PFIC status for any taxable year.</w:t>
      </w:r>
    </w:p>
    <w:p>
      <w:pPr>
        <w:spacing w:after="0" w:line="19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determination of whether we are or will be a PFIC will also depend, in part, on the composition of our income and our assets, which will be affected by how, and how quickly, we use our liquid assets. Under circumstances where we determine not to deploy significant amounts of cash for active purposes, our risk of becoming classified as a PFIC may substantially increase. If we are a PFIC for any year during which a U.S. Holder holds our ADSs or Class A ordinary shares, we generally will continue to be treated as a PFIC for all succeeding years during which such U.S. Holder holds our ADSs or Class A ordinary shares.</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of ADSs or Class A Ordinary Shares” assumes that we will not be a PFIC for United States federal income tax purposes. The United States federal income tax rules that apply if we are a PFIC for the current taxable year or any subsequent taxable year are generally discussed below under “Passive Foreign Investment Company Rules.”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Any cash distributions (including the amount of any PRC tax withheld) paid on our ADSs or Class A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United States federal income tax principles, any distribution paid will generally be reported as a “dividend” for United States federal income tax purposes. A non-corporate recipient of dividend income generally will be subject to tax on dividend income from a “qualified foreign corporation” at a reduced capital gains rate rather than the marginal tax rates generally applicable to ordinary income provided that certain holding period requirements and other requirements are met. Each U.S. Holder is advised to consult its tax advisors regarding the availability of the reduced tax rate on dividends to its particular circumstances.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stock (or ADSs in respect of such stock) which is readily tradable on an established securities market in the United States. Our ADSs are listed on the NYSE, which is an established securities market in the United States, and we expect our ADSs to be readily tradable on the NYSE for as long as our ADSs continue to be listed on the NYSE. Accordingly, we believe that dividends we pay on our ADSs will meet the conditions required for the reduced tax rate. Because we do not expect that our Class A ordinary shares will be listed on an established securities market in the United States, it is unclear whether dividends that we pay on our Class A ordinary shares that are not backed by ADSs currently meet the conditions required for these reduced tax rates. There can be no assurance that our ADSs will be considered readily tradable on an established securities market in the United States in later years.</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and are liable to tax under the PRC Enterprise Income Tax Law, we should be eligible for the benefits of the United States-PRC income tax treaty, which the Secretary of Treasury of the United States has determined is satisfactory for purposes of clause (a) above and which includes an exchange of information provision. If we are eligible for such benefits, dividends we pay on our Class A ordinary shares, regardless of whether such shares are represented by our ADSs, would generally be eligible for the reduced rate of taxation applicable to qualified dividend income whether or not such shares are readily tradable on an established securities market in the United States. Dividends received on our ADSs or Class A ordinary shares will not be eligible for the dividends received deduction allowed to corporations. Each U.S. Holder is advised to consult its tax advisors regarding the availability of the lower capital gains rate applicable to qualified dividend income for any dividends we pay with respect to our ADSs or Class A ordinary shares.</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Dividends paid on our ADSs or Class A ordinary shares generally will be treated as income from foreign sources for United States foreign tax credit purposes and generally will constitute passive category income. In the event that we are deemed to be a PRC “resident enterprise” under the PRC Enterprise Income Tax Law, a U.S. Holder may be subject to PRC withholding taxes on dividends paid on our ADSs or Class A ordinary shares.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Each U.S. Holder is advised to consult its tax advisors regarding the availability of the foreign tax credit under its particular circumstances.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or Other Disposition of ADSs or Class A Ordinary Shares</w:t>
      </w:r>
    </w:p>
    <w:p>
      <w:pPr>
        <w:spacing w:after="0" w:line="22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capital gain or loss upon the sale or other disposition of ADSs or Class A ordinary shares in an amount equal to the difference between the amount realized upon the disposition and the U.S. Holder’s adjusted tax basis in such ADSs or Class A ordinary shares. Any capital gain or loss will be long-term if our ADSs or Class A ordinary shares have been held for more than one year and will generally be United States source gain or loss for United States foreign tax credit purposes. Long-term capital gain of non-corporate U.S. Holders will generally be eligible for a reduced rate of taxation. In the event that gain from the disposition of our ADSs or Class A ordinary shares is subject to tax in China, a U.S. Holder may elect to treat such gain as PRC-source gain under the United States-PRC income tax treaty. Pursuant to the Treasury Regulations, however, if a U.S. Holder is not eligible for the benefits of the United States-PRC income tax treaty or does not elect to apply the United States-PRC income tax treaty, then such holder may not be able to claim a foreign tax credit arising from any PRC tax imposed on the disposition of our ADSs or Class A ordinary shares.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or deduction under their particular circumstances, their eligibility for benefits under the United States-PRC income tax treaty and the potential impact of the Treasury Regulations.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ordinary shares, unless the U.S. Holder makes a mark-to-market election (as described below), the U.S. Holder will generally be subject to special tax rules that have a penalizing effect, regardless of whether we remain a PFIC, on (a)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our ADSs or Class A ordinary shares), and</w:t>
      </w:r>
    </w:p>
    <w:p>
      <w:pPr>
        <w:spacing w:after="0" w:line="3" w:lineRule="exact"/>
        <w:rPr>
          <w:sz w:val="20"/>
          <w:szCs w:val="20"/>
          <w:color w:val="auto"/>
        </w:rPr>
      </w:pPr>
    </w:p>
    <w:p>
      <w:pPr>
        <w:ind w:right="420" w:firstLine="8"/>
        <w:spacing w:after="0" w:line="260"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realized on the sale or other disposition, including, under certain circumstances, a pledge, of ADSs or Class A ordinary shares. Under the PFIC rules:</w:t>
      </w:r>
    </w:p>
    <w:p>
      <w:pPr>
        <w:spacing w:after="0" w:line="181"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excess distribution and/or gain will be allocated ratably over the U.S. Holder’s holding period for the ADSs or Class A ordinary shares;</w:t>
      </w:r>
    </w:p>
    <w:p>
      <w:pPr>
        <w:spacing w:after="0" w:line="161"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the current taxable year and any taxable years in the U.S. Holder’s holding period prior to the first taxable year in which we are classified as a PFIC, or pre-PFIC year, will be taxable as ordinary income;</w:t>
      </w:r>
    </w:p>
    <w:p>
      <w:pPr>
        <w:spacing w:after="0" w:line="161" w:lineRule="exact"/>
        <w:rPr>
          <w:rFonts w:ascii="Times New Roman" w:cs="Times New Roman" w:eastAsia="Times New Roman" w:hAnsi="Times New Roman"/>
          <w:sz w:val="18"/>
          <w:szCs w:val="18"/>
          <w:color w:val="auto"/>
        </w:rPr>
      </w:pPr>
    </w:p>
    <w:p>
      <w:pPr>
        <w:ind w:left="680" w:right="380" w:hanging="321"/>
        <w:spacing w:after="0" w:line="266" w:lineRule="auto"/>
        <w:tabs>
          <w:tab w:leader="none" w:pos="6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allocated to each prior taxable year, other than a pre-PFIC year, will be subject to tax at the highest tax rate in effect applicable to individuals or corporations as appropriate for that year; and an interest charge generally applicable to underpayments of tax will be imposed on the tax attributable to each prior taxable year, other than a pre-PFIC year.</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ordinary shares and any of our non-United States subsidiaries is also a PFIC (i.e., a lower-tier PFIC), such U.S. Holder would be treated as owning a proportionate amount (by value) of the shares of the lower-tier PFIC and would be subject to the rules described above on certain distributions by a lower-tier PFIC and a disposition of shares of a lower-tier PFIC even though such U.S. Holder would not receive the proceeds of those distributions or dispositions. Each U.S. Holder is advised to consult its tax advisors regarding the application of the PFIC rules to any of our subsidiaries.</w:t>
      </w:r>
    </w:p>
    <w:p>
      <w:pPr>
        <w:spacing w:after="0" w:line="187"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if we are a PFIC, a U.S. Holder of “marketable stock” may make a mark-to-market election with respect to our ADSs, provided that the ADSs are regularly traded on the NYSE. In addition, we do not expect that holders of Class A ordinary shares that are not represented by ADSs will be eligible to make a mark-to-market election. We anticipate that our ADSs should qualify as being regularly traded, but no assurances may be given in this regard. If a U.S. Holder makes this election, the U.S. Holder will generally (a) include as ordinary income for each taxable year that we are a PFIC the excess, if any, of the fair market value of ADSs held at the end of the taxable year over the adjusted tax basis of such ADSs and (b)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w:t>
      </w:r>
    </w:p>
    <w:p>
      <w:pPr>
        <w:spacing w:after="0" w:line="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market election. If a U.S. Holder makes a mark-to-market election, any gain recognized upon the sale or other disposition of ADSs will be treated as ordinary income and any loss will be treated as ordinary loss, but only to the extent of the net amount previously included in income as a result of the mark-to-market election.</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a U.S. Holder makes a mark-to-market election and we cease to be a PFIC, the U.S. Holder will not be required to take into account the mark-to-market gain or loss described above during any period that we are not classified as a PFIC. Because a mark-to-market election technically cannot be made for any lower-tier PFICs that we may own, a U.S. Holder may continue to be subject to the PFIC rules with respect to such U.S. Holder’s indirect interest in any investments we hold that are treated as an equity interest in a PFIC for United States federal income tax purposes.</w:t>
      </w:r>
    </w:p>
    <w:p>
      <w:pPr>
        <w:spacing w:after="0" w:line="183"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We do not intend to provide the information necessary for U.S. Holders to make qualified electing fund elections, which, if available, would result in tax treatment different from the general tax treatment for PFICs described above.</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a U.S. Holder owns our ADSs or Class A ordinary shares during any taxable year that we are a PFIC, the U.S. Holder must file an annual report containing such information as the United States Treasury Department may require and will generally be required to file an annual Internal Revenue Service Form 8621. Each U.S. Holder is advised to consult its tax advisors concerning the United States federal income tax consequences of purchasing, holding, and disposing of ADSs or Class A ordinary shares if we are or become a PFIC, including the possibility of making a mark-to-market election.</w:t>
      </w:r>
    </w:p>
    <w:p>
      <w:pPr>
        <w:spacing w:after="0" w:line="179" w:lineRule="exact"/>
        <w:rPr>
          <w:sz w:val="20"/>
          <w:szCs w:val="20"/>
          <w:color w:val="auto"/>
        </w:rPr>
      </w:pPr>
    </w:p>
    <w:p>
      <w:pPr>
        <w:ind w:left="340" w:right="7300" w:hanging="332"/>
        <w:spacing w:after="0" w:line="500" w:lineRule="auto"/>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7880" w:hanging="332"/>
        <w:spacing w:after="0" w:line="530" w:lineRule="auto"/>
        <w:tabs>
          <w:tab w:leader="none" w:pos="34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informational requirements of the Exchange Act. Under the Exchange Act, we are required to file reports and other information with SEC. Specifically, we are required to file annually a Form 20-F within four months after the end of each fiscal year. All information we file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As a foreign private issuer, (i) we are exempt from the rules under the Exchange Act prescribing the furnishing and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quarterly reports and proxy statements, (ii) our officers and directors are exempt from the short-swing rules contained in Section 16 of the Exchange Act, and (iii) our principal shareholders are exempt from the reporting and short-swing rules contained in Section 16 of the Exchange Act.</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and, upon our written request, will mail to all record holders of ADSs the information contained in any notice of a shareholders’ meeting received by the depositary from us.</w:t>
      </w:r>
    </w:p>
    <w:p>
      <w:pPr>
        <w:spacing w:after="0" w:line="179" w:lineRule="exact"/>
        <w:rPr>
          <w:sz w:val="20"/>
          <w:szCs w:val="20"/>
          <w:color w:val="auto"/>
        </w:rPr>
      </w:pPr>
    </w:p>
    <w:p>
      <w:pPr>
        <w:ind w:left="340" w:right="7740" w:hanging="332"/>
        <w:spacing w:after="0" w:line="530" w:lineRule="auto"/>
        <w:tabs>
          <w:tab w:leader="none" w:pos="34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ind w:left="340" w:right="6860" w:hanging="332"/>
        <w:spacing w:after="0" w:line="537" w:lineRule="auto"/>
        <w:tabs>
          <w:tab w:leader="none" w:pos="3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 bearing deposits and short-term investments, and interest expenses incurred by short-term loan. Interest-earning instruments carry a degree of interest rate risk. We have not been exposed to material risks due to changes in interest rates. We have not used any forward contract, currency borrowings or derivative instruments to manage our interest risk exposure. Due to changes in market interest rates, our future interest expense may increase and our future interest income may fall short of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Most of our revenues and expenses are denominated in Renminbi. Our exposure to foreign exchange risk primarily relates to cash and cash equivalents, restricted cash, short-term investments, short-term loans, and other current assets and liabilities. The difference between the reporting currency and the denomination currency may expose us to additional uncertainties in connection with the foreign currency translation. In 2023, 2024 and 2025, we recorded exchange gain of RMB162.7 million, exchange loss of RMB24.8 million and exchange loss of RMB62.1 million (US$8.9 million), respectively. We used foreign exchange forward contracts to hedge our exposure to foreign currency exchange risk during 2023, 2024 and 2025, and may continue to use foreign currency swaps, forwards, or other derivative instruments to hedge our exposure to foreign currency risk.</w:t>
      </w:r>
    </w:p>
    <w:p>
      <w:pPr>
        <w:spacing w:after="0" w:line="18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global economic conditions and foreign exchange policies, among other things. It is difficult to predict how market forces or government policies may impact the exchange rate between Renminbi and other currencies in the future.</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we need to convert the U.S. dollars for our operations, acquisitions, or for other uses within China, appreciation of the Renminbi against the U.S. dollar would have an adverse effect on the Renminbi amount we receive from the conversion. On the other hand, a decline in the value of the Renminbi against the U.S. dollar could reduce the U.S. dollar equivalent of our financial results, the value of your investment in the company and the dividends that we may pay in the future, if any, all of which may materially and adversely affect the prices of our ADS.</w:t>
      </w:r>
    </w:p>
    <w:p>
      <w:pPr>
        <w:spacing w:after="0" w:line="18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we had RMB-denominated cash and cash equivalents, restricted cash, and short-term investments of RMB27.37 billion and U.S. dollar-denominated cash and cash equivalents, restricted cash, and short-term investments of US$356.3 million. Assuming we had converted RMB27.37 billion into U.S. dollars at the exchange rate of RMB6.9931 for US$1.00 as of December 31, 2025, our U.S. dollar cash balance would have been US$4.27 billion. If the Renminbi had depreciated by 10% against the U.S. dollar, our U.S. dollar-denominated cash balance would have been US$3.91 billion instead. Assuming we had converted US$356.3 million into Renminbi at the exchange rate of RMB6.9931 for US$1.00 as of December 31, 2025, our RMB-denominated cash balance would have been RMB29.86 billion. If the Renminbi had depreciated by 10% against the U.S. dollar, our RMB-denominated cash balance would have been RMB30.11 billion instead.</w:t>
      </w:r>
    </w:p>
    <w:p>
      <w:pPr>
        <w:spacing w:after="0" w:line="1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224" w:lineRule="exact"/>
        <w:rPr>
          <w:sz w:val="20"/>
          <w:szCs w:val="20"/>
          <w:color w:val="auto"/>
        </w:rPr>
      </w:pPr>
    </w:p>
    <w:p>
      <w:pPr>
        <w:jc w:val="both"/>
        <w:ind w:left="340" w:right="8400" w:hanging="332"/>
        <w:spacing w:after="0" w:line="530" w:lineRule="auto"/>
        <w:tabs>
          <w:tab w:leader="none" w:pos="34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340" w:right="7940" w:hanging="332"/>
        <w:spacing w:after="0" w:line="530" w:lineRule="auto"/>
        <w:tabs>
          <w:tab w:leader="none" w:pos="34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340" w:right="8320" w:hanging="332"/>
        <w:spacing w:after="0" w:line="582" w:lineRule="auto"/>
        <w:tabs>
          <w:tab w:leader="none" w:pos="34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Charges Our ADS Holders May Have to Pay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Deutsche Bank Trust Company Americas, the depositary of our ADS program,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deducting from cash distributions or by directly billing investors or by charging the book-entry system accounts of participants acting for them. The depositary may generally refuse to provide fee-attracting services until its fees for those services are paid. Set forth below is a summary of fees holders of our ADSs may be required to pay for various services the depositary may provide:</w:t>
      </w:r>
    </w:p>
    <w:p>
      <w:pPr>
        <w:spacing w:after="0" w:line="196" w:lineRule="exact"/>
        <w:rPr>
          <w:sz w:val="20"/>
          <w:szCs w:val="20"/>
          <w:color w:val="auto"/>
        </w:rPr>
      </w:pPr>
    </w:p>
    <w:p>
      <w:pPr>
        <w:ind w:left="2220"/>
        <w:spacing w:after="0"/>
        <w:tabs>
          <w:tab w:leader="none" w:pos="4920" w:val="left"/>
          <w:tab w:leader="none" w:pos="7340" w:val="left"/>
        </w:tabs>
        <w:rPr>
          <w:sz w:val="20"/>
          <w:szCs w:val="20"/>
          <w:color w:val="auto"/>
        </w:rPr>
      </w:pPr>
      <w:r>
        <w:rPr>
          <w:rFonts w:ascii="Times New Roman" w:cs="Times New Roman" w:eastAsia="Times New Roman" w:hAnsi="Times New Roman"/>
          <w:sz w:val="14"/>
          <w:szCs w:val="14"/>
          <w:b w:val="1"/>
          <w:bCs w:val="1"/>
          <w:color w:val="auto"/>
        </w:rPr>
        <w:t>Service</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Cancelation of ADSs, including the case of termination of the deposit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Distribution of ADSs pursuant to share dividends, free share distributions or exercise of rights.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Distribution of securities other than ADSs or rights to purchase additional ADSs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services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of ADRs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US$0.05 per ADS issued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US$0.05 per ADS canceled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US$0.05 per ADS held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US$0.05 per ADS held</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ordinary shares and the ordinary shares had been deposited for issuance of ADSs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Up to US$0.05 per ADS held on the applicable record date(s) established by the depositary bank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US$1.50 per certificate presented for transfer</w:t>
      </w:r>
    </w:p>
    <w:p>
      <w:pPr>
        <w:spacing w:after="0" w:line="200" w:lineRule="exact"/>
        <w:rPr>
          <w:sz w:val="20"/>
          <w:szCs w:val="20"/>
          <w:color w:val="auto"/>
        </w:rPr>
      </w:pPr>
    </w:p>
    <w:p>
      <w:pPr>
        <w:sectPr>
          <w:pgSz w:w="11900" w:h="16838" w:orient="portrait"/>
          <w:cols w:equalWidth="0" w:num="2">
            <w:col w:w="4860" w:space="220"/>
            <w:col w:w="4820"/>
          </w:cols>
          <w:pgMar w:left="980" w:top="513" w:right="1019" w:bottom="1440" w:gutter="0" w:footer="0" w:header="0"/>
          <w:type w:val="continuous"/>
        </w:sectPr>
      </w:pPr>
    </w:p>
    <w:p>
      <w:pPr>
        <w:spacing w:after="0" w:line="2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an ADS holder, you will also be responsible to pay certain fees and expenses incurred by the depositary bank and certain taxes and governmental charges such as:</w:t>
      </w:r>
    </w:p>
    <w:p>
      <w:pPr>
        <w:spacing w:after="0" w:line="16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62" w:lineRule="exact"/>
        <w:rPr>
          <w:sz w:val="20"/>
          <w:szCs w:val="20"/>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680" w:right="88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Other Payments Made by the Depositary to Us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depositary has agreed to reimburse us for a portion of certain expenses we incur that relate to establishment and maintenance of the ADR program, including investor relations expenses. There are limits on the amount of expenses for which the depositary will reimburse us, but the amount of reimbursement available to us does not relate to the amounts of fees the depositary collects from investors. Further, the depositary has agreed to reimburse us certain fees payable to the depositary by holders of ADSs. Neither the depositary nor we can determine the exact amount to be made available to us because (i) the number of ADSs that will be issued and outstanding, (ii) the level of service fees to be charged to holders of ADSs, and (iii) our reimbursable expenses relating to the program are not known at this time. We received RMB82.2 million (US$11.7 million) of reimbursement from the depository in 2025.</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September 15, 2014, our shareholders voted in favor of a proposal to adopt a dual-class share structure, pursuant to which our authorized share capital was reclassified and re-designated into Class A ordinary shares and Class B ordinary shares, with each Class A ordinary share being entitled to one vote and each Class B ordinary share being entitled to ten votes on all matters that are subject to shareholder vote.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securities holders.</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our senior management, with the participation of our chief executive officer and chief financial officer, has performed an evaluation of the effectiveness of our disclosure controls and procedures within the meaning of Rules 13a-15(e) and 15d-15(e) of the Exchange Act. Based upon that evaluation, our senior management has concluded that, as of December 31, 2025, our disclosure controls and procedures were effective.</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means controls and other procedures that are designed to ensure that information required to be disclosed by us in the reports that we file or submit under the Exchange Act is recorded, processed, summarized, and reported, within the time periods specified in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our company; (ii) provide reasonable assurance that transactions are recorded as necessary to permit preparation of consolidated financial statements in accordance with U.S. GAAP, and that receipts and expenditures of our company are being made only in accordance with authorizations of our management and directors; and (iii) provide reasonable assurance regarding prevention or timely detection of the unauthorized acquisition, use or disposition of our company’s assets that could have a material effect on the consolidated financial statements.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9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company’s internal control over financial reporting as of December 31, 2025 based on the framework in Internal Control-Integrated Framework (2013) issued by the Committee of Sponsoring Organizations of the Treadway Commission. Based on this assessment, our management concluded that our internal control over financial reporting was effective as of December 31, 2025.</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Deloitte Touche Tohmatsu, our independent registered public accounting firm, audited the financial statements included in this annual report and issued an attestation report on our management’s assessment of our company’s internal control over financial reporting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attestation report on our management’s assessment of our company’s internal control over financial reporting issued by Deloitte Touche Tohmatsu, our independent registered public accounting firm, appears on page F-4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required by Rule 13a-15(d), under the Exchange Act, our management, including our chief executive officer and our chief financial officer, also conducted an assessment of our company’s internal control over financial reporting to determine whether any changes occurred during the period covered by this annual report have materially affected, or are reasonably likely to materially affect, our internal control over financial reporting. Based on that assessment, it has been determined that there has been no such change during the period covered by this annual report.</w:t>
      </w:r>
    </w:p>
    <w:p>
      <w:pPr>
        <w:spacing w:after="0" w:line="17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16A.</w:t>
      </w:r>
      <w:r>
        <w:rPr>
          <w:sz w:val="20"/>
          <w:szCs w:val="20"/>
          <w:color w:val="auto"/>
        </w:rPr>
        <w:tab/>
      </w:r>
      <w:r>
        <w:rPr>
          <w:rFonts w:ascii="Times New Roman" w:cs="Times New Roman" w:eastAsia="Times New Roman" w:hAnsi="Times New Roman"/>
          <w:sz w:val="17"/>
          <w:szCs w:val="17"/>
          <w:b w:val="1"/>
          <w:bCs w:val="1"/>
          <w:color w:val="auto"/>
        </w:rPr>
        <w:t>AUDIT COMMITTEE FINANCIAL EXPERT</w:t>
      </w:r>
    </w:p>
    <w:p>
      <w:pPr>
        <w:spacing w:after="0" w:line="228"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Ms. Kathleen Chien, an independent director (under the standards set forth in Section 303A of the NYSE Listed Company Manual and Rule 10A-3 under the Exchange Act) and member of our audit committee, qualifies as an audit committee financial expert.</w:t>
      </w:r>
    </w:p>
    <w:p>
      <w:pPr>
        <w:spacing w:after="0" w:line="17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an amended and restated code of ethics that applies to all of the directors, officers, and employees of us and our subsidiaries, whether they work for us on a full-time, part-time, consultative, or temporary basis. In addition, we expect those who do business with us, such as consultants, suppliers, and collaborators, to also adhere to the principles outlined in the code of ethics. Certain provisions of the amended and restated code of ethics apply specifically to our chief executive officer, chief financial officer, senior finance officer, controller, vice presidents, and any other persons who perform similar functions for us. We have filed our amended and restated code of business conduct and ethics as an exhibit to this annual report on Form 20-F (No. 001-35454).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16C. PRINCIPAL ACCOUNTANT FEES AND SERVICES</w:t>
      </w:r>
    </w:p>
    <w:p>
      <w:pPr>
        <w:spacing w:after="0" w:line="22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Deloitte Touche Tohmatsu (PCAOB ID No. 1104), our principal accountant, for the periods indicated. We did not pay any other fees to our principal accountant during the periods except as indicated below.</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80" w:type="dxa"/>
            <w:vAlign w:val="bottom"/>
          </w:tcPr>
          <w:p>
            <w:pPr>
              <w:ind w:left="55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r>
      <w:tr>
        <w:trPr>
          <w:trHeight w:val="20"/>
        </w:trPr>
        <w:tc>
          <w:tcPr>
            <w:tcW w:w="56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42"/>
        </w:trPr>
        <w:tc>
          <w:tcPr>
            <w:tcW w:w="5680" w:type="dxa"/>
            <w:vAlign w:val="bottom"/>
          </w:tcPr>
          <w:p>
            <w:pPr>
              <w:spacing w:after="0"/>
              <w:rPr>
                <w:sz w:val="12"/>
                <w:szCs w:val="12"/>
                <w:color w:val="auto"/>
              </w:rPr>
            </w:pPr>
          </w:p>
        </w:tc>
        <w:tc>
          <w:tcPr>
            <w:tcW w:w="60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120" w:type="dxa"/>
            <w:vAlign w:val="bottom"/>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  RMB   ​​​</w:t>
            </w:r>
          </w:p>
        </w:tc>
        <w:tc>
          <w:tcPr>
            <w:tcW w:w="54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0"/>
        </w:trPr>
        <w:tc>
          <w:tcPr>
            <w:tcW w:w="56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28"/>
        </w:trPr>
        <w:tc>
          <w:tcPr>
            <w:tcW w:w="5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16"/>
        </w:trPr>
        <w:tc>
          <w:tcPr>
            <w:tcW w:w="568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16"/>
        </w:trPr>
        <w:tc>
          <w:tcPr>
            <w:tcW w:w="56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 Related Fees</w:t>
            </w:r>
            <w:r>
              <w:rPr>
                <w:rFonts w:ascii="Times New Roman" w:cs="Times New Roman" w:eastAsia="Times New Roman" w:hAnsi="Times New Roman"/>
                <w:sz w:val="25"/>
                <w:szCs w:val="25"/>
                <w:color w:val="auto"/>
                <w:vertAlign w:val="superscript"/>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16"/>
        </w:trPr>
        <w:tc>
          <w:tcPr>
            <w:tcW w:w="5680" w:type="dxa"/>
            <w:vAlign w:val="bottom"/>
            <w:tcBorders>
              <w:right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55"/>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15684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jc w:val="both"/>
        <w:ind w:left="340" w:hanging="332"/>
        <w:spacing w:after="0" w:line="287" w:lineRule="auto"/>
        <w:tabs>
          <w:tab w:leader="none" w:pos="3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represent the aggregate fees billed for each of the fiscal years listed for professional services rendered by our principal accountant for the audit of our annual consolidated financial statements, review of quarterly financial information, and audit services that are normally provided by the principal accountant in connection with regulatory filings or engagements for those fiscal years.</w:t>
      </w:r>
    </w:p>
    <w:p>
      <w:pPr>
        <w:ind w:left="340" w:right="220" w:hanging="332"/>
        <w:spacing w:after="0" w:line="266"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represent the aggregate fees billed in each of the fiscal years listed for assurance and related services by our principal accountant that are reasonably related to the performance of the audit or review of our financial statements and are not reported under “Audit Fees.”</w:t>
      </w:r>
    </w:p>
    <w:p>
      <w:pPr>
        <w:spacing w:after="0" w:line="13" w:lineRule="exact"/>
        <w:rPr>
          <w:rFonts w:ascii="Times New Roman" w:cs="Times New Roman" w:eastAsia="Times New Roman" w:hAnsi="Times New Roman"/>
          <w:sz w:val="18"/>
          <w:szCs w:val="18"/>
          <w:color w:val="auto"/>
        </w:rPr>
      </w:pPr>
    </w:p>
    <w:p>
      <w:pPr>
        <w:ind w:left="340" w:right="280" w:hanging="332"/>
        <w:spacing w:after="0" w:line="281"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the aggregate fees billed in each of the fiscal years listed for professional services rendered by our principal accountant for tax compliance, tax advice, and tax planning.</w:t>
      </w:r>
    </w:p>
    <w:p>
      <w:pPr>
        <w:spacing w:after="0" w:line="1" w:lineRule="exact"/>
        <w:rPr>
          <w:rFonts w:ascii="Times New Roman" w:cs="Times New Roman" w:eastAsia="Times New Roman" w:hAnsi="Times New Roman"/>
          <w:sz w:val="18"/>
          <w:szCs w:val="18"/>
          <w:color w:val="auto"/>
        </w:rPr>
      </w:pPr>
    </w:p>
    <w:p>
      <w:pPr>
        <w:ind w:left="340" w:right="62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represent the aggregate fees billed in each of the fiscal years listed for professional services rendered by our principal auditors associated with certain advisory services.</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All audit and permitted non-audit services provided by our principal accountant, including audit services, audit-related services, tax services, and other services as described above, must be and have been approved in advance by our audit committee.</w:t>
      </w:r>
    </w:p>
    <w:p>
      <w:pPr>
        <w:spacing w:after="0" w:line="15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March 30, 2023, our board of directors authorized a share repurchase program, under which we could further purchase up to an additional US$500 million worth of our ADSs or Class A ordinary shares over the 24-month period until the close of business on March 31, 2025, U.S. Eastern Time, or the 2023 Share Repurchase Program. The 2023 Share Repurchase Program was publicly announced on the same date. On May 22, 2023, our board of directors approved an increase in the authorized amount under the 2023 Share Repurchase Program by US$500 million such that we may repurchase up to US$1 billion of its ADSs or Class A ordinary shares thereunder. The increase in the authorized amount under the 2023 Share Repurchase Program was publicly announced on May 23, 2023. The 2023 Share Repurchase Program was fully utilized in the first quarter of 2025, with ADSs representing 69,938,871 Class A ordinary shares repurchased during the same period.</w:t>
      </w:r>
    </w:p>
    <w:p>
      <w:pPr>
        <w:spacing w:after="0" w:line="19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August 2024, our board of directors authorized a new share repurchase program under which we may repurchase up to US$1.0 billion worth of our ADSs or Class A ordinary shares for a 24-month period commencing from the full utilization of the 2023 Share Repurchase Program. This new share repurchase program was publicly announced on August 20, 2024. It was put into use in the first quarter of 2025 and is effective through February 2027. In 2025 and up to March 31, 2026, we repurchased ADSs representing 42,455,428 Class A ordinary shares under the new share repurchase program.</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table below is a summary of the shares we repurchase under the programs described above. All repurchases of our ADSs or Class A ordinary shares set forth below were made in the open market pursuant to the programs.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80" w:type="dxa"/>
            <w:vAlign w:val="bottom"/>
            <w:gridSpan w:val="2"/>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 Total Number of</w:t>
            </w:r>
          </w:p>
        </w:tc>
        <w:tc>
          <w:tcPr>
            <w:tcW w:w="168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  Approximate Dollar</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 Purchased as</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ADSs that May</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24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the Publicly</w:t>
            </w: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6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76"/>
        </w:trPr>
        <w:tc>
          <w:tcPr>
            <w:tcW w:w="408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ADSs Purchased</w:t>
            </w: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56"/>
              <w:spacing w:after="0" w:line="176" w:lineRule="exact"/>
              <w:rPr>
                <w:sz w:val="20"/>
                <w:szCs w:val="20"/>
                <w:color w:val="auto"/>
              </w:rPr>
            </w:pPr>
            <w:r>
              <w:rPr>
                <w:rFonts w:ascii="Times New Roman" w:cs="Times New Roman" w:eastAsia="Times New Roman" w:hAnsi="Times New Roman"/>
                <w:sz w:val="14"/>
                <w:szCs w:val="14"/>
                <w:b w:val="1"/>
                <w:bCs w:val="1"/>
                <w:color w:val="auto"/>
              </w:rPr>
              <w:t>Paid Per ADS</w:t>
            </w:r>
            <w:r>
              <w:rPr>
                <w:rFonts w:ascii="Times New Roman" w:cs="Times New Roman" w:eastAsia="Times New Roman" w:hAnsi="Times New Roman"/>
                <w:sz w:val="20"/>
                <w:szCs w:val="20"/>
                <w:b w:val="1"/>
                <w:bCs w:val="1"/>
                <w:color w:val="auto"/>
                <w:vertAlign w:val="superscript"/>
              </w:rPr>
              <w:t>(1)</w:t>
            </w: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989,534</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69,950,773</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999,845,230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275,266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70,226,039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995,724,052</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995,724,052</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6,850,519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77,076,558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905,908,941</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7,550,393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84,626,951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798,043,885</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10,321,599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94,948,550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645,951,725</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1,442,479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96,391,029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624,347,394</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196,806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96,587,835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621,401,346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621,401,346</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2025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621,401,346</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7,427,768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104,015,603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479,973,088</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8,378,696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112,394,299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315,951,698</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43,433,060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112,394,299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315,951,698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27" w:lineRule="exact"/>
        <w:rPr>
          <w:sz w:val="20"/>
          <w:szCs w:val="20"/>
          <w:color w:val="auto"/>
        </w:rPr>
      </w:pPr>
    </w:p>
    <w:p>
      <w:pPr>
        <w:ind w:left="340" w:right="18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ADS repurchased represents the consideration we pay for the corresponding repurchases, excluding the commission fees we paid to the execution broker for the implementation of the share repurchase program.</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16G.</w:t>
      </w:r>
      <w:r>
        <w:rPr>
          <w:sz w:val="20"/>
          <w:szCs w:val="20"/>
          <w:color w:val="auto"/>
        </w:rPr>
        <w:tab/>
      </w:r>
      <w:r>
        <w:rPr>
          <w:rFonts w:ascii="Times New Roman" w:cs="Times New Roman" w:eastAsia="Times New Roman" w:hAnsi="Times New Roman"/>
          <w:sz w:val="17"/>
          <w:szCs w:val="17"/>
          <w:b w:val="1"/>
          <w:bCs w:val="1"/>
          <w:color w:val="auto"/>
        </w:rPr>
        <w:t>CORPORATE GOVERNANCE</w:t>
      </w:r>
    </w:p>
    <w:p>
      <w:pPr>
        <w:spacing w:after="0" w:line="228"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Section 303A.01 of the NYSE Listed Company Manual requires a NYSE-listed company to have a majority of independent directors. Section 303A.08 of the NYSE Listed Company Manual also requires a NYSE-listed company to obtain its shareholders’ approval when an equity compensation arrangement is established or materially amended. Section 303A.00 of the NYSE Listed Company Manual permits a foreign private issuer like our company to follow home country practice in certain corporate governance matters. Pursuant to such exception granted to foreign private issuers, we have followed our home country practice with respect to the composition of our board of directors and approval for adoption and material amendment to our equity-based compensation arrangements. In these respects, and in other respects if we choose to follow home country practice in other respects in the future, our shareholders may be afforded less protection than they otherwise would under the NYSE corporate governance listing standards applicable to U.S. domestic issuers. See “Item 3. Key Information—D. Risk Factors—Risks Relating to Our Ordinary Shares and ADSs —As a company incorporated in the Cayman Islands, we are permitted to adopt certain home country practices in relation to corporate governance matters. These practices may afford less protection to shareholders than they would enjoy if we complied fully with the NYSE corporate governance listing standards.”</w:t>
      </w:r>
    </w:p>
    <w:p>
      <w:pPr>
        <w:spacing w:after="0" w:line="19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Other than the home country practices described above, we are not aware of any significant differences between our corporate governance practices and those followed by domestic companies under the NYSE Listed Company Manual.</w:t>
      </w:r>
    </w:p>
    <w:p>
      <w:pPr>
        <w:spacing w:after="0" w:line="15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16J.</w:t>
        <w:tab/>
        <w:t>INSIDER TRADING POLICIES</w:t>
      </w:r>
    </w:p>
    <w:p>
      <w:pPr>
        <w:spacing w:after="0" w:line="22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New York Stock Exchange.</w:t>
      </w:r>
    </w:p>
    <w:p>
      <w:pPr>
        <w:spacing w:after="0" w:line="17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Statement of Policies Governing Material, Non-Public Information and the Prevention of Insider Trading is filed as Exhibit 11.2 to this annual report on Form 20-F.</w:t>
      </w:r>
    </w:p>
    <w:p>
      <w:pPr>
        <w:spacing w:after="0" w:line="15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have implemented robust processes for assessing, identifying, and managing material risks from cybersecurity threats and monitoring the prevention, detection, mitigation, and remediation of material cybersecurity incident. We have also integrated cybersecurity risk management into our overall enterprise risk management system.</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established a dynamic and multi-layered cybersecurity defense system to effectively mitigate both internal and external cybersecurity threats. This comprehensive system spans multiple security domains, including network, host, and application layers. It integrates a range of security capabilities such as threat defense, continuous monitoring, in-depth analysis, and rapid response. Our approach to managing cybersecurity risks and safeguarding sensitive data is multi-faceted, involving technological safeguards, procedural protocols, a rigorous program of surveillance on our corporate network and the connections with any third-party service providers, ongoing internal and external evaluations of our security measures implemented towards internal and external resources, a solid incident response framework, and regular cybersecurity training sessions for our employees. Our cybersecurity department is actively engaged in continuous monitoring of our applications, platforms, and infrastructure to ensure prompt identification and response to potential issues, including emerging cybersecurity threats.</w:t>
      </w:r>
    </w:p>
    <w:p>
      <w:pPr>
        <w:spacing w:after="0" w:line="18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do not engage any third parties in connection with the processes for assessing, identifying, and managing material risks from cybersecurity threats. 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nominating and corporate governance committee of our board of directors is responsible for overseeing our company’s cybersecurity risk management and be informed on risks from cybersecurity threats. Our nominating and corporate governance committee will review, approve, and maintain oversight of the disclosure (i) on Form 6-K for material cybersecurity incidents (if any) and (ii) relating to cybersecurity matters in the periodic reports (including annual report on Form 20-F) of our company. In addition, on the management level, we have established a disclosure committee and designated specific personnel, including certain executive officers and the person in charge of our cybersecurity matters who has experience in dealing with confidentiality-related cybersecurity issues, to oversee and manage cybersecurity related matters and formulate policies as necessary. Pursuant to the internal controls and procedures in connection with cybersecurity, our disclosure committee reports to our board of directors will assess from time to time regarding its assessment, identification, and management on material risks from cybersecurity threats happened in the ordinary course of our business operations. If a cybersecurity incident occurs, our disclosure committee will immediately organize relevant personnel for internal assessment and, depending on the situation, seek the opinions of external experts and legal advisors. If it is determined that the incident could potentially be a material cybersecurity event, our disclosure committee will immediately report the investigation and assessment results to our board of directors within two/three business days and our board of directors will decide on the relevant response measures and whether any disclosure is necessary. If such disclosure is determined to be necessary, our disclosure committee will promptly prepare disclosure material for review and approval by our board of directors before it is disseminated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financial statements of Vipshop Holdings Limited are included at the end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b w:val="1"/>
                <w:bCs w:val="1"/>
                <w:color w:val="auto"/>
              </w:rPr>
              <w:t>19.</w:t>
            </w:r>
          </w:p>
        </w:tc>
        <w:tc>
          <w:tcPr>
            <w:tcW w:w="8920" w:type="dxa"/>
            <w:vAlign w:val="bottom"/>
            <w:gridSpan w:val="27"/>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4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920" w:type="dxa"/>
            <w:vAlign w:val="bottom"/>
            <w:gridSpan w:val="27"/>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100" w:type="dxa"/>
            <w:vAlign w:val="bottom"/>
            <w:gridSpan w:val="22"/>
          </w:tcPr>
          <w:p>
            <w:pPr>
              <w:ind w:left="242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183"/>
        </w:trPr>
        <w:tc>
          <w:tcPr>
            <w:tcW w:w="20" w:type="dxa"/>
            <w:vAlign w:val="bottom"/>
          </w:tcPr>
          <w:p>
            <w:pPr>
              <w:spacing w:after="0"/>
              <w:rPr>
                <w:sz w:val="15"/>
                <w:szCs w:val="15"/>
                <w:color w:val="auto"/>
              </w:rPr>
            </w:pPr>
          </w:p>
        </w:tc>
        <w:tc>
          <w:tcPr>
            <w:tcW w:w="9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00" w:type="dxa"/>
            <w:vAlign w:val="bottom"/>
            <w:tcBorders>
              <w:top w:val="single" w:sz="8" w:color="auto"/>
            </w:tcBorders>
            <w:gridSpan w:val="25"/>
          </w:tcPr>
          <w:p>
            <w:pPr>
              <w:spacing w:after="0" w:line="182"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Second Amended and Restated Memorandum and Articles of Association of the Registrant adopted by the shareholders</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of the Registrant on September 15, 2014 (incorporated by reference to Exhibit 1.2 to our annual report on Form 20-F</w:t>
              </w:r>
            </w:hyperlink>
          </w:p>
        </w:tc>
        <w:tc>
          <w:tcPr>
            <w:tcW w:w="180" w:type="dxa"/>
            <w:vAlign w:val="bottom"/>
            <w:tcBorders>
              <w:top w:val="single" w:sz="8" w:color="0000EE"/>
            </w:tcBorders>
            <w:gridSpan w:val="3"/>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26"/>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(File No. 001-35454) filed with the Securities and Exchange Commission on April 16, 2021)</w:t>
              </w:r>
            </w:hyperlink>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8720" w:type="dxa"/>
            <w:vAlign w:val="bottom"/>
            <w:gridSpan w:val="26"/>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Form of Ordinary Share Certificate of the Registrant (incorporated by reference to Exhibit 4.1 to our registration</w:t>
              </w:r>
            </w:hyperlink>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statement on Form F-1 (File No. 333-179581), as amended, initially filed with the Securities and Exchange Commission</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on February 17, 2012)</w:t>
              </w:r>
            </w:hyperlink>
          </w:p>
        </w:tc>
        <w:tc>
          <w:tcPr>
            <w:tcW w:w="7100" w:type="dxa"/>
            <w:vAlign w:val="bottom"/>
            <w:gridSpan w:val="22"/>
          </w:tcPr>
          <w:p>
            <w:pPr>
              <w:spacing w:after="0"/>
              <w:rPr>
                <w:sz w:val="17"/>
                <w:szCs w:val="17"/>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4"/>
                <w:szCs w:val="24"/>
                <w:color w:val="auto"/>
              </w:rPr>
            </w:pPr>
          </w:p>
        </w:tc>
        <w:tc>
          <w:tcPr>
            <w:tcW w:w="83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Deposit Agreement among the Registrant, the depositary and all holders of the American Depositary Receipts of the</w:t>
              </w:r>
            </w:hyperlink>
          </w:p>
        </w:tc>
        <w:tc>
          <w:tcPr>
            <w:tcW w:w="34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Registrant, dated as of March 22, 2012 (incorporated by reference to Exhibit 4.3 to our registration statement on Form</w:t>
              </w:r>
            </w:hyperlink>
          </w:p>
        </w:tc>
        <w:tc>
          <w:tcPr>
            <w:tcW w:w="20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S-8 (File No. 333-181559) filed with the Securities and Exchange Commission on May 21, 2012)</w:t>
              </w:r>
            </w:hyperlink>
          </w:p>
        </w:tc>
        <w:tc>
          <w:tcPr>
            <w:tcW w:w="1680" w:type="dxa"/>
            <w:vAlign w:val="bottom"/>
            <w:gridSpan w:val="18"/>
          </w:tcPr>
          <w:p>
            <w:pPr>
              <w:spacing w:after="0"/>
              <w:rPr>
                <w:sz w:val="17"/>
                <w:szCs w:val="17"/>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81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Form of Amendment to Deposit Agreement among the Registrant, the depositary and all holders of the American</w:t>
              </w:r>
            </w:hyperlink>
          </w:p>
        </w:tc>
        <w:tc>
          <w:tcPr>
            <w:tcW w:w="54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Depositary Receipts of the Registrant (incorporated by reference to Exhibit 99.(A)(2) to the registration statement on</w:t>
              </w:r>
            </w:hyperlink>
          </w:p>
        </w:tc>
        <w:tc>
          <w:tcPr>
            <w:tcW w:w="28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26"/>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Form F-6EF filed by Deutsche Bank Trust Company Americas with the Securities and Exchange Commission on</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October 21, 2014)</w:t>
              </w:r>
            </w:hyperlink>
          </w:p>
        </w:tc>
        <w:tc>
          <w:tcPr>
            <w:tcW w:w="560" w:type="dxa"/>
            <w:vAlign w:val="bottom"/>
            <w:gridSpan w:val="13"/>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8720" w:type="dxa"/>
            <w:vAlign w:val="bottom"/>
            <w:gridSpan w:val="26"/>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Description of Securities (incorporated by reference to Exhibit 2.4 to our annual report on Form 20-F (File No. 001-</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35454) filed with the Securities and Exchange Commission on April 19, 2023)</w:t>
              </w:r>
            </w:hyperlink>
          </w:p>
        </w:tc>
        <w:tc>
          <w:tcPr>
            <w:tcW w:w="2680" w:type="dxa"/>
            <w:vAlign w:val="bottom"/>
            <w:tcBorders>
              <w:top w:val="single" w:sz="8" w:color="0000EE"/>
            </w:tcBorders>
            <w:gridSpan w:val="10"/>
          </w:tcPr>
          <w:p>
            <w:pPr>
              <w:spacing w:after="0"/>
              <w:rPr>
                <w:sz w:val="17"/>
                <w:szCs w:val="17"/>
                <w:color w:val="auto"/>
              </w:rPr>
            </w:pPr>
          </w:p>
        </w:tc>
        <w:tc>
          <w:tcPr>
            <w:tcW w:w="360" w:type="dxa"/>
            <w:vAlign w:val="bottom"/>
            <w:gridSpan w:val="10"/>
          </w:tcPr>
          <w:p>
            <w:pPr>
              <w:spacing w:after="0"/>
              <w:rPr>
                <w:sz w:val="17"/>
                <w:szCs w:val="17"/>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8720" w:type="dxa"/>
            <w:vAlign w:val="bottom"/>
            <w:gridSpan w:val="26"/>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2011 Stock Incentive Plan (incorporated by reference to Exhibit 10.1 to our registration statement on Form F-1 (File No.</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333-179581), as amended, initially filed with the Securities and Exchange Commission on February 17, 2012)</w:t>
              </w:r>
            </w:hyperlink>
          </w:p>
        </w:tc>
        <w:tc>
          <w:tcPr>
            <w:tcW w:w="720" w:type="dxa"/>
            <w:vAlign w:val="bottom"/>
            <w:tcBorders>
              <w:top w:val="single" w:sz="8" w:color="0000EE"/>
            </w:tcBorders>
            <w:gridSpan w:val="15"/>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8720" w:type="dxa"/>
            <w:vAlign w:val="bottom"/>
            <w:gridSpan w:val="26"/>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2012 Share Incentive Plan (incorporated by reference to Exhibit 10.11 to our registration statement on Form F-1 (File</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No. 333-179581), as amended, initially filed with the Securities and Exchange Commission on February 17, 2012)</w:t>
              </w:r>
            </w:hyperlink>
          </w:p>
        </w:tc>
        <w:tc>
          <w:tcPr>
            <w:tcW w:w="200" w:type="dxa"/>
            <w:vAlign w:val="bottom"/>
            <w:tcBorders>
              <w:top w:val="single" w:sz="8" w:color="0000EE"/>
            </w:tcBorders>
            <w:gridSpan w:val="5"/>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84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Amended and Restated 2014 Share Incentive Plan (incorporated by reference to Exhibit 99.2 to our current report on</w:t>
              </w:r>
            </w:hyperlink>
          </w:p>
        </w:tc>
        <w:tc>
          <w:tcPr>
            <w:tcW w:w="30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26"/>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Form 6-K (File No. 001-35454) filed with the Securities and Exchange Commission on August 20, 2024)</w:t>
              </w:r>
            </w:hyperlink>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86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Form of Employment Agreement between the Registrant and the executives of the Registrant (incorporated by reference</w:t>
              </w:r>
            </w:hyperlink>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26"/>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to Exhibit 10.2 to our registration statement on Form F-1 (File No. 333-179581), as amended, initially filed with the</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Securities and Exchange Commission on February 17, 2012)</w:t>
              </w:r>
            </w:hyperlink>
          </w:p>
        </w:tc>
        <w:tc>
          <w:tcPr>
            <w:tcW w:w="360" w:type="dxa"/>
            <w:vAlign w:val="bottom"/>
            <w:gridSpan w:val="10"/>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8720" w:type="dxa"/>
            <w:vAlign w:val="bottom"/>
            <w:gridSpan w:val="26"/>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Form of Exclusive Business Cooperation Agreement between a wholly-owned subsidiary of the Registrant and a</w:t>
              </w:r>
            </w:hyperlink>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6780" w:type="dxa"/>
            <w:vAlign w:val="bottom"/>
            <w:gridSpan w:val="9"/>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consolidated variable interest entity, as currently in effect, and a schedule of all executed exclusive business cooperation</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26"/>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agreements adopting the same form in respect of a consolidated variable interest entity (incorporated by reference to</w:t>
              </w:r>
            </w:hyperlink>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040" w:type="dxa"/>
            <w:vAlign w:val="bottom"/>
            <w:gridSpan w:val="14"/>
            <w:shd w:val="clear" w:color="auto" w:fill="0000EE"/>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Exhibit 4.5 to our annual report on Form 20-F (File No. 001-35454) filed with the Securities and Exchange Commission</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26"/>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on April 18, 2024)</w:t>
              </w:r>
            </w:hyperlink>
          </w:p>
        </w:tc>
      </w:tr>
      <w:tr>
        <w:trPr>
          <w:trHeight w:val="88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Borders>
              <w:top w:val="single" w:sz="8" w:color="0000EE"/>
            </w:tcBorders>
            <w:gridSpan w:val="3"/>
          </w:tcPr>
          <w:p>
            <w:pPr>
              <w:spacing w:after="0"/>
              <w:rPr>
                <w:sz w:val="24"/>
                <w:szCs w:val="24"/>
                <w:color w:val="auto"/>
              </w:rPr>
            </w:pPr>
          </w:p>
        </w:tc>
        <w:tc>
          <w:tcPr>
            <w:tcW w:w="30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164</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920" w:type="dxa"/>
            <w:vAlign w:val="bottom"/>
            <w:gridSpan w:val="31"/>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0" w:type="dxa"/>
            <w:vAlign w:val="bottom"/>
            <w:gridSpan w:val="28"/>
          </w:tcPr>
          <w:p>
            <w:pPr>
              <w:ind w:left="292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183"/>
        </w:trPr>
        <w:tc>
          <w:tcPr>
            <w:tcW w:w="20" w:type="dxa"/>
            <w:vAlign w:val="bottom"/>
          </w:tcPr>
          <w:p>
            <w:pPr>
              <w:spacing w:after="0"/>
              <w:rPr>
                <w:sz w:val="15"/>
                <w:szCs w:val="15"/>
                <w:color w:val="auto"/>
              </w:rPr>
            </w:pPr>
          </w:p>
        </w:tc>
        <w:tc>
          <w:tcPr>
            <w:tcW w:w="9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00" w:type="dxa"/>
            <w:vAlign w:val="bottom"/>
            <w:tcBorders>
              <w:top w:val="single" w:sz="8" w:color="auto"/>
            </w:tcBorders>
            <w:gridSpan w:val="29"/>
          </w:tcPr>
          <w:p>
            <w:pPr>
              <w:spacing w:after="0" w:line="182"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Form of Equity Interest Pledge Agreement among a wholly-owned subsidiary of the Registrant, a consolidated variable</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0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interest entity, and shareholders of the consolidated variable interest entity, as currently in effect, and a schedule of all</w:t>
              </w:r>
            </w:hyperlink>
          </w:p>
        </w:tc>
        <w:tc>
          <w:tcPr>
            <w:tcW w:w="100" w:type="dxa"/>
            <w:vAlign w:val="bottom"/>
            <w:tcBorders>
              <w:top w:val="single" w:sz="8" w:color="0000EE"/>
            </w:tcBorders>
            <w:gridSpan w:val="4"/>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30"/>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executed equity interest pledge agreements adopting the same form in respect of a consolidated variable interest entity</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(incorporated by reference to Exhibit 4.6 to our annual report on Form 20-F (File No. 001-35454) filed with the</w:t>
              </w:r>
            </w:hyperlink>
          </w:p>
        </w:tc>
        <w:tc>
          <w:tcPr>
            <w:tcW w:w="20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Securities and Exchange Commission on April 18, 2024)</w:t>
              </w:r>
            </w:hyperlink>
          </w:p>
        </w:tc>
        <w:tc>
          <w:tcPr>
            <w:tcW w:w="3920" w:type="dxa"/>
            <w:vAlign w:val="bottom"/>
            <w:tcBorders>
              <w:top w:val="single" w:sz="8" w:color="0000EE"/>
            </w:tcBorders>
            <w:gridSpan w:val="9"/>
          </w:tcPr>
          <w:p>
            <w:pPr>
              <w:spacing w:after="0"/>
              <w:rPr>
                <w:sz w:val="17"/>
                <w:szCs w:val="17"/>
                <w:color w:val="auto"/>
              </w:rPr>
            </w:pPr>
          </w:p>
        </w:tc>
        <w:tc>
          <w:tcPr>
            <w:tcW w:w="680" w:type="dxa"/>
            <w:vAlign w:val="bottom"/>
            <w:gridSpan w:val="18"/>
          </w:tcPr>
          <w:p>
            <w:pPr>
              <w:spacing w:after="0"/>
              <w:rPr>
                <w:sz w:val="17"/>
                <w:szCs w:val="17"/>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4"/>
                <w:szCs w:val="24"/>
                <w:color w:val="auto"/>
              </w:rPr>
            </w:pPr>
          </w:p>
        </w:tc>
        <w:tc>
          <w:tcPr>
            <w:tcW w:w="8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Form of Exclusive Option Agreement among a wholly-owned subsidiary of the Registrant, a consolidated variable</w:t>
              </w:r>
            </w:hyperlink>
          </w:p>
        </w:tc>
        <w:tc>
          <w:tcPr>
            <w:tcW w:w="44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interest entity, and shareholders of the consolidated variable interest entity, as currently in effect, and a schedule of all</w:t>
              </w:r>
            </w:hyperlink>
          </w:p>
        </w:tc>
        <w:tc>
          <w:tcPr>
            <w:tcW w:w="22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executed exclusive option agreements adopting the same form in respect of a consolidated variable interest entity</w:t>
              </w:r>
            </w:hyperlink>
          </w:p>
        </w:tc>
        <w:tc>
          <w:tcPr>
            <w:tcW w:w="560" w:type="dxa"/>
            <w:vAlign w:val="bottom"/>
            <w:gridSpan w:val="1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30"/>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(incorporated by reference to Exhibit 4.7 to our annual report on Form 20-F (File No. 001-35454) filed with the</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Securities and Exchange Commission on April 18, 2024)</w:t>
              </w:r>
            </w:hyperlink>
          </w:p>
        </w:tc>
        <w:tc>
          <w:tcPr>
            <w:tcW w:w="3920" w:type="dxa"/>
            <w:vAlign w:val="bottom"/>
            <w:tcBorders>
              <w:top w:val="single" w:sz="8" w:color="0000EE"/>
            </w:tcBorders>
            <w:gridSpan w:val="9"/>
          </w:tcPr>
          <w:p>
            <w:pPr>
              <w:spacing w:after="0"/>
              <w:rPr>
                <w:sz w:val="17"/>
                <w:szCs w:val="17"/>
                <w:color w:val="auto"/>
              </w:rPr>
            </w:pPr>
          </w:p>
        </w:tc>
        <w:tc>
          <w:tcPr>
            <w:tcW w:w="680" w:type="dxa"/>
            <w:vAlign w:val="bottom"/>
            <w:gridSpan w:val="18"/>
          </w:tcPr>
          <w:p>
            <w:pPr>
              <w:spacing w:after="0"/>
              <w:rPr>
                <w:sz w:val="17"/>
                <w:szCs w:val="17"/>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4"/>
                <w:szCs w:val="24"/>
                <w:color w:val="auto"/>
              </w:rPr>
            </w:pPr>
          </w:p>
        </w:tc>
        <w:tc>
          <w:tcPr>
            <w:tcW w:w="81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Form of Power of Attorney by shareholders of a consolidated variable interest entity, as currently in effect, and a</w:t>
              </w:r>
            </w:hyperlink>
          </w:p>
        </w:tc>
        <w:tc>
          <w:tcPr>
            <w:tcW w:w="600" w:type="dxa"/>
            <w:vAlign w:val="bottom"/>
            <w:gridSpan w:val="1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schedule of all executed powers of attorney adopting the same form in respect of a consolidated variable interest entity</w:t>
              </w:r>
            </w:hyperlink>
          </w:p>
        </w:tc>
        <w:tc>
          <w:tcPr>
            <w:tcW w:w="16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30"/>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(incorporated by reference to Exhibit 4.8 to our annual report on Form 20-F (File No. 001-35454) filed with the</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Securities and Exchange Commission on April 18, 2024)</w:t>
              </w:r>
            </w:hyperlink>
          </w:p>
        </w:tc>
        <w:tc>
          <w:tcPr>
            <w:tcW w:w="3920" w:type="dxa"/>
            <w:vAlign w:val="bottom"/>
            <w:tcBorders>
              <w:top w:val="single" w:sz="8" w:color="0000EE"/>
            </w:tcBorders>
            <w:gridSpan w:val="9"/>
          </w:tcPr>
          <w:p>
            <w:pPr>
              <w:spacing w:after="0"/>
              <w:rPr>
                <w:sz w:val="17"/>
                <w:szCs w:val="17"/>
                <w:color w:val="auto"/>
              </w:rPr>
            </w:pPr>
          </w:p>
        </w:tc>
        <w:tc>
          <w:tcPr>
            <w:tcW w:w="680" w:type="dxa"/>
            <w:vAlign w:val="bottom"/>
            <w:gridSpan w:val="18"/>
          </w:tcPr>
          <w:p>
            <w:pPr>
              <w:spacing w:after="0"/>
              <w:rPr>
                <w:sz w:val="17"/>
                <w:szCs w:val="17"/>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83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Form of Loan Agreement between a wholly-owned subsidiary of the Registrant and a consolidated variable interest</w:t>
              </w:r>
            </w:hyperlink>
          </w:p>
        </w:tc>
        <w:tc>
          <w:tcPr>
            <w:tcW w:w="40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entity, as currently in effect, and a schedule of all executed loan agreements adopting the same form in respect of a</w:t>
              </w:r>
            </w:hyperlink>
          </w:p>
        </w:tc>
        <w:tc>
          <w:tcPr>
            <w:tcW w:w="46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consolidated variable interest entity (incorporated by reference to Exhibit 4.9 to our annual report on Form 20-F (File</w:t>
              </w:r>
            </w:hyperlink>
          </w:p>
        </w:tc>
        <w:tc>
          <w:tcPr>
            <w:tcW w:w="26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No. 001-35454) filed with the Securities and Exchange Commission on April 18, 2024)</w:t>
              </w:r>
            </w:hyperlink>
          </w:p>
        </w:tc>
        <w:tc>
          <w:tcPr>
            <w:tcW w:w="2400" w:type="dxa"/>
            <w:vAlign w:val="bottom"/>
            <w:gridSpan w:val="23"/>
          </w:tcPr>
          <w:p>
            <w:pPr>
              <w:spacing w:after="0"/>
              <w:rPr>
                <w:sz w:val="17"/>
                <w:szCs w:val="17"/>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24"/>
                <w:szCs w:val="24"/>
                <w:color w:val="auto"/>
              </w:rPr>
            </w:pPr>
          </w:p>
        </w:tc>
        <w:tc>
          <w:tcPr>
            <w:tcW w:w="8720" w:type="dxa"/>
            <w:vAlign w:val="bottom"/>
            <w:gridSpan w:val="30"/>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English translation of Debt Assignment and Set-off Agreement dated October 27, 2023 among Arthur Xiaobo Hong,</w:t>
              </w:r>
            </w:hyperlink>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30"/>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Chan Huang and Vipshop (China) Co., Ltd. (incorporated by reference to Exhibit 4.10 to our annual report on Form 20-</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F (File No. 001-35454) filed with the Securities and Exchange Commission on April 18, 2024)</w:t>
              </w:r>
            </w:hyperlink>
          </w:p>
        </w:tc>
        <w:tc>
          <w:tcPr>
            <w:tcW w:w="100" w:type="dxa"/>
            <w:vAlign w:val="bottom"/>
            <w:gridSpan w:val="2"/>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24"/>
                <w:szCs w:val="24"/>
                <w:color w:val="auto"/>
              </w:rPr>
            </w:pPr>
          </w:p>
        </w:tc>
        <w:tc>
          <w:tcPr>
            <w:tcW w:w="85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Form of Indemnification Agreement between the Registrant and its directors and officers (incorporated by reference to</w:t>
              </w:r>
            </w:hyperlink>
          </w:p>
        </w:tc>
        <w:tc>
          <w:tcPr>
            <w:tcW w:w="16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Exhibit 10.10 to our registration statement on Form F-1 (File No. 333-179581), as amended, initially filed with the</w:t>
              </w:r>
            </w:hyperlink>
          </w:p>
        </w:tc>
        <w:tc>
          <w:tcPr>
            <w:tcW w:w="440" w:type="dxa"/>
            <w:vAlign w:val="bottom"/>
            <w:gridSpan w:val="1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Securities and Exchange Commission on February 17, 2012)</w:t>
              </w:r>
            </w:hyperlink>
          </w:p>
        </w:tc>
        <w:tc>
          <w:tcPr>
            <w:tcW w:w="4320" w:type="dxa"/>
            <w:vAlign w:val="bottom"/>
            <w:gridSpan w:val="24"/>
          </w:tcPr>
          <w:p>
            <w:pPr>
              <w:spacing w:after="0"/>
              <w:rPr>
                <w:sz w:val="17"/>
                <w:szCs w:val="17"/>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4"/>
                <w:szCs w:val="24"/>
                <w:color w:val="auto"/>
              </w:rPr>
            </w:pPr>
          </w:p>
        </w:tc>
        <w:tc>
          <w:tcPr>
            <w:tcW w:w="8720" w:type="dxa"/>
            <w:vAlign w:val="bottom"/>
            <w:gridSpan w:val="30"/>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Strategic Business Cooperation Agreement dated November 25, 2019 between the Registrant and SF Holding Co., Ltd.</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(incorporated by reference to Exhibit 4.16 to our annual report on Form 20-F (File No. 001-35454) filed with the</w:t>
              </w:r>
            </w:hyperlink>
          </w:p>
        </w:tc>
        <w:tc>
          <w:tcPr>
            <w:tcW w:w="440" w:type="dxa"/>
            <w:vAlign w:val="bottom"/>
            <w:tcBorders>
              <w:top w:val="single" w:sz="8" w:color="0000EE"/>
            </w:tcBorders>
            <w:gridSpan w:val="12"/>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Securities and Exchange Commission on April 27, 2020)</w:t>
              </w:r>
            </w:hyperlink>
          </w:p>
        </w:tc>
        <w:tc>
          <w:tcPr>
            <w:tcW w:w="4600" w:type="dxa"/>
            <w:vAlign w:val="bottom"/>
            <w:gridSpan w:val="27"/>
          </w:tcPr>
          <w:p>
            <w:pPr>
              <w:spacing w:after="0"/>
              <w:rPr>
                <w:sz w:val="17"/>
                <w:szCs w:val="17"/>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24"/>
                <w:szCs w:val="24"/>
                <w:color w:val="auto"/>
              </w:rPr>
            </w:pPr>
          </w:p>
        </w:tc>
        <w:tc>
          <w:tcPr>
            <w:tcW w:w="8720" w:type="dxa"/>
            <w:vAlign w:val="bottom"/>
            <w:gridSpan w:val="30"/>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English translation of Supplemental Agreement to Strategic Business Cooperation Agreement dated October 26, 2023</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between the Registrant and SF Holding Co., Ltd. (incorporated by reference to Exhibit 4.14 to our annual report on</w:t>
              </w:r>
            </w:hyperlink>
          </w:p>
        </w:tc>
        <w:tc>
          <w:tcPr>
            <w:tcW w:w="200" w:type="dxa"/>
            <w:vAlign w:val="bottom"/>
            <w:tcBorders>
              <w:top w:val="single" w:sz="8" w:color="0000EE"/>
            </w:tcBorders>
            <w:gridSpan w:val="5"/>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30"/>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Form 20-F (File No. 001-35454) filed with the Securities and Exchange Commission on April 18, 2024)</w:t>
              </w:r>
            </w:hyperlink>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24"/>
                <w:szCs w:val="24"/>
                <w:color w:val="auto"/>
              </w:rPr>
            </w:pPr>
          </w:p>
        </w:tc>
        <w:tc>
          <w:tcPr>
            <w:tcW w:w="41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List of Significant Consolidated Entities of the Registrant</w:t>
            </w:r>
          </w:p>
        </w:tc>
        <w:tc>
          <w:tcPr>
            <w:tcW w:w="3360" w:type="dxa"/>
            <w:vAlign w:val="bottom"/>
            <w:tcBorders>
              <w:top w:val="single" w:sz="8" w:color="0000EE"/>
            </w:tcBorders>
            <w:gridSpan w:val="7"/>
          </w:tcPr>
          <w:p>
            <w:pPr>
              <w:spacing w:after="0"/>
              <w:rPr>
                <w:sz w:val="24"/>
                <w:szCs w:val="24"/>
                <w:color w:val="auto"/>
              </w:rPr>
            </w:pPr>
          </w:p>
        </w:tc>
        <w:tc>
          <w:tcPr>
            <w:tcW w:w="1200" w:type="dxa"/>
            <w:vAlign w:val="bottom"/>
            <w:gridSpan w:val="19"/>
          </w:tcPr>
          <w:p>
            <w:pPr>
              <w:spacing w:after="0"/>
              <w:rPr>
                <w:sz w:val="24"/>
                <w:szCs w:val="24"/>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4"/>
                <w:szCs w:val="24"/>
                <w:color w:val="auto"/>
              </w:rPr>
            </w:pPr>
          </w:p>
        </w:tc>
        <w:tc>
          <w:tcPr>
            <w:tcW w:w="84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Amended and Restated Code of Business Conduct and Ethics of the Registrant (incorporated by reference to Exhibit</w:t>
              </w:r>
            </w:hyperlink>
          </w:p>
        </w:tc>
        <w:tc>
          <w:tcPr>
            <w:tcW w:w="32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30"/>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our annual report on Form 20-F (File No. 001-35454) filed with the Securities and Exchange Commission on</w:t>
              </w:r>
            </w:hyperlink>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April 19, 2023)</w:t>
              </w:r>
            </w:hyperlink>
          </w:p>
        </w:tc>
        <w:tc>
          <w:tcPr>
            <w:tcW w:w="320" w:type="dxa"/>
            <w:vAlign w:val="bottom"/>
            <w:gridSpan w:val="10"/>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24"/>
                <w:szCs w:val="24"/>
                <w:color w:val="auto"/>
              </w:rPr>
            </w:pPr>
          </w:p>
        </w:tc>
        <w:tc>
          <w:tcPr>
            <w:tcW w:w="86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Amended and Restated Statement of Policies Governing Material Non-Public Information and the Prevention of Insider</w:t>
              </w:r>
            </w:hyperlink>
          </w:p>
        </w:tc>
        <w:tc>
          <w:tcPr>
            <w:tcW w:w="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Trading (incorporated by reference to Exhibit 11.2 to our annual report on Form 20-F (File No. 001-35454) filed with</w:t>
              </w:r>
            </w:hyperlink>
          </w:p>
        </w:tc>
        <w:tc>
          <w:tcPr>
            <w:tcW w:w="24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gridSpan w:val="30"/>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the Securities and Exchange Commission on April 17, 2025)</w:t>
              </w:r>
            </w:hyperlink>
          </w:p>
        </w:tc>
      </w:tr>
      <w:tr>
        <w:trPr>
          <w:trHeight w:val="20"/>
        </w:trPr>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gridSpan w:val="5"/>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20"/>
          </w:tcPr>
          <w:p>
            <w:pPr>
              <w:spacing w:after="0" w:line="20" w:lineRule="exact"/>
              <w:rPr>
                <w:sz w:val="1"/>
                <w:szCs w:val="1"/>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4"/>
                <w:szCs w:val="24"/>
                <w:color w:val="auto"/>
              </w:rPr>
            </w:pPr>
          </w:p>
        </w:tc>
        <w:tc>
          <w:tcPr>
            <w:tcW w:w="87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Chief Executive Officer Certification Pursuant to Section 302 of the Sarbanes-Oxley Act of 2002</w:t>
            </w: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4"/>
                <w:szCs w:val="24"/>
                <w:color w:val="auto"/>
              </w:rPr>
            </w:pPr>
          </w:p>
        </w:tc>
        <w:tc>
          <w:tcPr>
            <w:tcW w:w="69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Chief Financial Officer Certification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1720" w:type="dxa"/>
            <w:vAlign w:val="bottom"/>
            <w:gridSpan w:val="20"/>
          </w:tcPr>
          <w:p>
            <w:pPr>
              <w:spacing w:after="0"/>
              <w:rPr>
                <w:sz w:val="24"/>
                <w:szCs w:val="24"/>
                <w:color w:val="auto"/>
              </w:rPr>
            </w:pP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24"/>
                <w:szCs w:val="24"/>
                <w:color w:val="auto"/>
              </w:rPr>
            </w:pPr>
          </w:p>
        </w:tc>
        <w:tc>
          <w:tcPr>
            <w:tcW w:w="87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Chief Executive Officer Certification Pursuant to Section 906 of the Sarbanes-Oxley Act of 2002</w:t>
            </w:r>
          </w:p>
        </w:tc>
      </w:tr>
      <w:tr>
        <w:trPr>
          <w:trHeight w:val="41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24"/>
                <w:szCs w:val="24"/>
                <w:color w:val="auto"/>
              </w:rPr>
            </w:pPr>
          </w:p>
        </w:tc>
        <w:tc>
          <w:tcPr>
            <w:tcW w:w="69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Chief Financial Officer Certification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1720" w:type="dxa"/>
            <w:vAlign w:val="bottom"/>
            <w:gridSpan w:val="20"/>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9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9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39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24"/>
                <w:szCs w:val="24"/>
                <w:color w:val="auto"/>
              </w:rPr>
            </w:pPr>
          </w:p>
        </w:tc>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Consent of Deloitte Touche Tohmatsu</w:t>
            </w: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24"/>
                <w:szCs w:val="24"/>
                <w:color w:val="auto"/>
              </w:rPr>
            </w:pPr>
          </w:p>
        </w:tc>
        <w:tc>
          <w:tcPr>
            <w:tcW w:w="27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Consent of Han Kun Law Offices</w:t>
            </w:r>
          </w:p>
        </w:tc>
        <w:tc>
          <w:tcPr>
            <w:tcW w:w="598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24"/>
                <w:szCs w:val="24"/>
                <w:color w:val="auto"/>
              </w:rPr>
            </w:pPr>
          </w:p>
        </w:tc>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Consent of Travers Thorp Alberga</w:t>
            </w:r>
          </w:p>
        </w:tc>
      </w:tr>
      <w:tr>
        <w:trPr>
          <w:trHeight w:val="20"/>
        </w:trPr>
        <w:tc>
          <w:tcPr>
            <w:tcW w:w="10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0" w:right="100" w:hanging="1192"/>
        <w:spacing w:after="0" w:line="282" w:lineRule="auto"/>
        <w:tabs>
          <w:tab w:leader="none" w:pos="1200" w:val="left"/>
        </w:tabs>
        <w:numPr>
          <w:ilvl w:val="0"/>
          <w:numId w:val="87"/>
        </w:numPr>
        <w:rPr>
          <w:rFonts w:ascii="Times New Roman" w:cs="Times New Roman" w:eastAsia="Times New Roman" w:hAnsi="Times New Roman"/>
          <w:sz w:val="18"/>
          <w:szCs w:val="18"/>
          <w:u w:val="single" w:color="auto"/>
          <w:color w:val="0000EE"/>
        </w:rPr>
      </w:pPr>
      <w:hyperlink r:id="rId209">
        <w:r>
          <w:rPr>
            <w:rFonts w:ascii="Times New Roman" w:cs="Times New Roman" w:eastAsia="Times New Roman" w:hAnsi="Times New Roman"/>
            <w:sz w:val="18"/>
            <w:szCs w:val="18"/>
            <w:u w:val="single" w:color="auto"/>
            <w:color w:val="0000EE"/>
          </w:rPr>
          <w:t>Clawback Policy of the Registrant (incorporated by reference to Exhibit 97 to our annual report on Form 20-F (File No.</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001-35454) filed with the Securities and Exchange Commission on April 18, 2024)</w:t>
        </w:r>
      </w:hyperlink>
    </w:p>
    <w:p>
      <w:pPr>
        <w:spacing w:after="0" w:line="162"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Inline XBRL Instance Document-this instance document does not appear in the Interactive Data File because its XBRL</w:t>
            </w:r>
          </w:p>
        </w:tc>
      </w:tr>
      <w:tr>
        <w:trPr>
          <w:trHeight w:val="234"/>
        </w:trPr>
        <w:tc>
          <w:tcPr>
            <w:tcW w:w="1000" w:type="dxa"/>
            <w:vAlign w:val="bottom"/>
          </w:tcPr>
          <w:p>
            <w:pPr>
              <w:spacing w:after="0"/>
              <w:rPr>
                <w:sz w:val="20"/>
                <w:szCs w:val="20"/>
                <w:color w:val="auto"/>
              </w:rPr>
            </w:pPr>
          </w:p>
        </w:tc>
        <w:tc>
          <w:tcPr>
            <w:tcW w:w="8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4"/>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320" w:type="dxa"/>
            <w:vAlign w:val="bottom"/>
          </w:tcPr>
          <w:p>
            <w:pPr>
              <w:spacing w:after="0"/>
              <w:rPr>
                <w:sz w:val="8"/>
                <w:szCs w:val="8"/>
                <w:color w:val="auto"/>
              </w:rPr>
            </w:pPr>
          </w:p>
        </w:tc>
      </w:tr>
      <w:tr>
        <w:trPr>
          <w:trHeight w:val="291"/>
        </w:trPr>
        <w:tc>
          <w:tcPr>
            <w:tcW w:w="1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Notes:</w:t>
            </w:r>
          </w:p>
        </w:tc>
        <w:tc>
          <w:tcPr>
            <w:tcW w:w="1480" w:type="dxa"/>
            <w:vAlign w:val="bottom"/>
          </w:tcPr>
          <w:p>
            <w:pPr>
              <w:spacing w:after="0"/>
              <w:rPr>
                <w:sz w:val="24"/>
                <w:szCs w:val="24"/>
                <w:color w:val="auto"/>
              </w:rPr>
            </w:pPr>
          </w:p>
        </w:tc>
        <w:tc>
          <w:tcPr>
            <w:tcW w:w="7320" w:type="dxa"/>
            <w:vAlign w:val="bottom"/>
          </w:tcPr>
          <w:p>
            <w:pPr>
              <w:spacing w:after="0"/>
              <w:rPr>
                <w:sz w:val="24"/>
                <w:szCs w:val="24"/>
                <w:color w:val="auto"/>
              </w:rPr>
            </w:pPr>
          </w:p>
        </w:tc>
      </w:tr>
    </w:tbl>
    <w:p>
      <w:pPr>
        <w:spacing w:after="0" w:line="19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Filed with this annual report on Form 20-F.</w:t>
      </w:r>
    </w:p>
    <w:p>
      <w:pPr>
        <w:spacing w:after="0" w:line="6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Furnished with this annual report on Form 20-F.</w:t>
      </w:r>
    </w:p>
    <w:p>
      <w:pPr>
        <w:spacing w:after="0" w:line="6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229" w:lineRule="exact"/>
        <w:rPr>
          <w:sz w:val="20"/>
          <w:szCs w:val="20"/>
          <w:color w:val="auto"/>
        </w:rPr>
      </w:pPr>
    </w:p>
    <w:p>
      <w:pPr>
        <w:ind w:left="4980"/>
        <w:spacing w:after="0"/>
        <w:tabs>
          <w:tab w:leader="none" w:pos="5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Ya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17145</wp:posOffset>
            </wp:positionV>
            <wp:extent cx="2871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Eric Ya Shen</w:t>
      </w:r>
    </w:p>
    <w:p>
      <w:pPr>
        <w:spacing w:after="0" w:line="23" w:lineRule="exact"/>
        <w:rPr>
          <w:sz w:val="20"/>
          <w:szCs w:val="20"/>
          <w:color w:val="auto"/>
        </w:rPr>
      </w:pPr>
    </w:p>
    <w:p>
      <w:pPr>
        <w:ind w:left="5400"/>
        <w:spacing w:after="0"/>
        <w:tabs>
          <w:tab w:leader="none" w:pos="5940" w:val="left"/>
        </w:tabs>
        <w:rPr>
          <w:sz w:val="20"/>
          <w:szCs w:val="20"/>
          <w:color w:val="auto"/>
        </w:rPr>
      </w:pPr>
      <w:r>
        <w:rPr>
          <w:rFonts w:ascii="Times New Roman" w:cs="Times New Roman" w:eastAsia="Times New Roman" w:hAnsi="Times New Roman"/>
          <w:sz w:val="18"/>
          <w:szCs w:val="18"/>
          <w:color w:val="auto"/>
        </w:rPr>
        <w:t>Title:</w:t>
        <w:tab/>
        <w:t>Chairman of the Board of Directors and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07"/>
        </w:trPr>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5840" w:type="dxa"/>
            <w:vAlign w:val="bottom"/>
            <w:gridSpan w:val="7"/>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VIPSHOP HOLDINGS LIMITED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gridSpan w:val="8"/>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INDEX TO THE CONSOLIDATED FINANCIAL STATEMENTS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2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(PCAOB ID: 1104)</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9260" w:type="dxa"/>
            <w:vAlign w:val="bottom"/>
            <w:gridSpan w:val="11"/>
            <w:vMerge w:val="continue"/>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4600" w:type="dxa"/>
            <w:vAlign w:val="bottom"/>
            <w:gridSpan w:val="5"/>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92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Income and Comprehensive Income for each of the three years in the period ended December 31,</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80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 for each of the three years in the period ended December 31, 2025</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196"/>
        </w:trPr>
        <w:tc>
          <w:tcPr>
            <w:tcW w:w="83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each of the three years in the period ended December 31, 2025</w:t>
            </w:r>
          </w:p>
        </w:tc>
        <w:tc>
          <w:tcPr>
            <w:tcW w:w="900" w:type="dxa"/>
            <w:vAlign w:val="bottom"/>
            <w:gridSpan w:val="2"/>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F-13</w:t>
            </w:r>
          </w:p>
        </w:tc>
        <w:tc>
          <w:tcPr>
            <w:tcW w:w="0" w:type="dxa"/>
            <w:vAlign w:val="bottom"/>
          </w:tcPr>
          <w:p>
            <w:pPr>
              <w:spacing w:after="0"/>
              <w:rPr>
                <w:sz w:val="1"/>
                <w:szCs w:val="1"/>
                <w:color w:val="auto"/>
              </w:rPr>
            </w:pPr>
          </w:p>
        </w:tc>
      </w:tr>
      <w:tr>
        <w:trPr>
          <w:trHeight w:val="196"/>
        </w:trPr>
        <w:tc>
          <w:tcPr>
            <w:tcW w:w="76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580" w:type="dxa"/>
            <w:vAlign w:val="bottom"/>
            <w:gridSpan w:val="3"/>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F-16</w:t>
            </w:r>
          </w:p>
        </w:tc>
        <w:tc>
          <w:tcPr>
            <w:tcW w:w="0" w:type="dxa"/>
            <w:vAlign w:val="bottom"/>
          </w:tcPr>
          <w:p>
            <w:pPr>
              <w:spacing w:after="0"/>
              <w:rPr>
                <w:sz w:val="1"/>
                <w:szCs w:val="1"/>
                <w:color w:val="auto"/>
              </w:rPr>
            </w:pPr>
          </w:p>
        </w:tc>
      </w:tr>
      <w:tr>
        <w:trPr>
          <w:trHeight w:val="20"/>
        </w:trPr>
        <w:tc>
          <w:tcPr>
            <w:tcW w:w="3420" w:type="dxa"/>
            <w:vAlign w:val="bottom"/>
            <w:gridSpan w:val="4"/>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Schedule I—Condensed Financial Information of the Parent Company</w:t>
            </w: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F-66</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Vipshop Holdings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Vipshop Holdings Limited and its subsidiaries (collectively referred to as the “Company”) as of December 31, 2025 and 2024, the related consolidated statements of income and comprehensive income, shareholders’ equity, and cash flows, for each of the three years in the period ended December 31, 2025, the related notes and the schedule listed in the Schedule I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 Integrated Framework (2013) issued by the Committee of Sponsoring Organizations of the Treadway Commission and our report dated April 16, 2026,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Convenience translation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audits also comprehended the translation of Renminbi amounts into United States dollar amounts and, in our opinion, such translation has been made in conformity with the basis stated in Note 2(z) to the financial statements. Such United States dollar amounts are presented solely for the convenience of readers outside the People’s Republic of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Inventory—Inventory write-down—Refer to Note 2(g)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The Company had inventories of RMB5.15 billion as of December 31, 2025, which represented approximately 13.0% of the Company’s total current assets. Inventories are valued at cost or net realizable value. Inventory write-downs are recorded when estimated future net realizable values are less than costs as well as estimated based on significant management estimates and assumptions used to determine the write-down including the percentages that are applied to different aging and condition of the merchandizes within each product category. In determining the write-down percentages on inventories, the Company takes into considerations of factors such as the inventories’ aging, historical trends, forecasted demands, expected selling prices and future promotional events. Changes in the write-down percentages could have a significant impact on the recorded balance of inventories in the financial statements.</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Auditing management’s estimates related to the inventory write-down percentages involves subjective and complex auditors’ judgments on the appropriateness of the percentages applied.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valuation of inventories included the following, among others:</w:t>
      </w:r>
    </w:p>
    <w:p>
      <w:pPr>
        <w:spacing w:after="0" w:line="225" w:lineRule="exact"/>
        <w:rPr>
          <w:sz w:val="20"/>
          <w:szCs w:val="20"/>
          <w:color w:val="auto"/>
        </w:rPr>
      </w:pPr>
    </w:p>
    <w:p>
      <w:pPr>
        <w:ind w:left="340" w:right="140" w:hanging="332"/>
        <w:spacing w:after="0" w:line="282"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implementation, as well as the operating effectiveness of internal controls over management’s assessment of inventories write-downs;</w:t>
      </w:r>
    </w:p>
    <w:p>
      <w:pPr>
        <w:spacing w:after="0" w:line="16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and consistency of management’s methods and assumptions used in developing their estimates of the inventories write-downs;</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inquiries with management to obtain an understanding of the planned promotion events, forecasted demand, expected sales trends in the upcoming promotion cycles and evaluate whether these factors have been appropriately incorporated into the valuation assessments;</w:t>
      </w:r>
    </w:p>
    <w:p>
      <w:pPr>
        <w:spacing w:after="0" w:line="175"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accuracy and completeness of the underlying data utilized in the management’s write-down assessment, including categorization of the inventories and the aging distribution of the inventory by category;</w:t>
      </w:r>
    </w:p>
    <w:p>
      <w:pPr>
        <w:spacing w:after="0" w:line="161"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substantive analytical procedure and retrospective review to assess the reasonableness of management’s estimates on write-down percentages by comparing current period trends to historical trends across multiple fiscal periods, including sales trends, inventory aging and gross margin rates to evaluate management’s ability to reasonably estimate inventory write-downs.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Vipshop Holdings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Vipshop Holdings Limited and its subsidiaries (collectively referred to as the “Company”) as of December 31, 2025,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Integrated Framework (2013) issued by COSO.</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April 16,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Financing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vMerge w:val="restart"/>
          </w:tcPr>
          <w:p>
            <w:pPr>
              <w:ind w:left="66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40" w:type="dxa"/>
            <w:vAlign w:val="bottom"/>
            <w:vMerge w:val="continue"/>
          </w:tcPr>
          <w:p>
            <w:pPr>
              <w:spacing w:after="0"/>
              <w:rPr>
                <w:sz w:val="12"/>
                <w:szCs w:val="12"/>
                <w:color w:val="auto"/>
              </w:rPr>
            </w:pPr>
          </w:p>
        </w:tc>
        <w:tc>
          <w:tcPr>
            <w:tcW w:w="9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840" w:type="dxa"/>
            <w:vAlign w:val="bottom"/>
          </w:tcPr>
          <w:p>
            <w:pPr>
              <w:spacing w:after="0"/>
              <w:rPr>
                <w:sz w:val="10"/>
                <w:szCs w:val="10"/>
                <w:color w:val="auto"/>
              </w:rPr>
            </w:pPr>
          </w:p>
        </w:tc>
        <w:tc>
          <w:tcPr>
            <w:tcW w:w="900" w:type="dxa"/>
            <w:vAlign w:val="bottom"/>
            <w:tcBorders>
              <w:top w:val="single" w:sz="8" w:color="auto"/>
            </w:tcBorders>
          </w:tcPr>
          <w:p>
            <w:pPr>
              <w:jc w:val="right"/>
              <w:ind w:right="192"/>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72"/>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color w:val="auto"/>
              </w:rPr>
              <w:t>Note 2(z)</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00" w:type="dxa"/>
            <w:vAlign w:val="bottom"/>
          </w:tcPr>
          <w:p>
            <w:pPr>
              <w:spacing w:after="0"/>
              <w:rPr>
                <w:sz w:val="18"/>
                <w:szCs w:val="18"/>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26,352,161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22,990,435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5,777,222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receivables, net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 net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and prepayments, net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2,473,050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2,860,301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receivables, net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5,032,069</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5,153,413</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37,802,559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39,575,267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18,292,771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18,311,533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for property and equipment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10,686,400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10,426,682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equity method investees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2,002,043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3,136,784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3,355,489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4,800,356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433,617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398,798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74,936,126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78,843,318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11,274,444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1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9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2"/>
        </w:trPr>
        <w:tc>
          <w:tcPr>
            <w:tcW w:w="6940" w:type="dxa"/>
            <w:vAlign w:val="bottom"/>
          </w:tcPr>
          <w:p>
            <w:pPr>
              <w:ind w:left="68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13"/>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gridSpan w:val="2"/>
          </w:tcPr>
          <w:p>
            <w:pPr>
              <w:jc w:val="right"/>
              <w:ind w:right="218"/>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2025</w:t>
            </w:r>
          </w:p>
        </w:tc>
        <w:tc>
          <w:tcPr>
            <w:tcW w:w="2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r>
      <w:tr>
        <w:trPr>
          <w:trHeight w:val="119"/>
        </w:trPr>
        <w:tc>
          <w:tcPr>
            <w:tcW w:w="6940" w:type="dxa"/>
            <w:vAlign w:val="bottom"/>
          </w:tcPr>
          <w:p>
            <w:pPr>
              <w:spacing w:after="0"/>
              <w:rPr>
                <w:sz w:val="10"/>
                <w:szCs w:val="10"/>
                <w:color w:val="auto"/>
              </w:rPr>
            </w:pPr>
          </w:p>
        </w:tc>
        <w:tc>
          <w:tcPr>
            <w:tcW w:w="880" w:type="dxa"/>
            <w:vAlign w:val="bottom"/>
            <w:tcBorders>
              <w:top w:val="single" w:sz="8" w:color="auto"/>
            </w:tcBorders>
          </w:tcPr>
          <w:p>
            <w:pPr>
              <w:jc w:val="right"/>
              <w:ind w:right="193"/>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920" w:type="dxa"/>
            <w:vAlign w:val="bottom"/>
            <w:tcBorders>
              <w:top w:val="single" w:sz="8" w:color="auto"/>
            </w:tcBorders>
          </w:tcPr>
          <w:p>
            <w:pPr>
              <w:jc w:val="right"/>
              <w:ind w:right="198"/>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1"/>
        </w:trPr>
        <w:tc>
          <w:tcPr>
            <w:tcW w:w="6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color w:val="auto"/>
              </w:rPr>
              <w:t>Note 2(z)</w:t>
            </w:r>
          </w:p>
        </w:tc>
      </w:tr>
      <w:tr>
        <w:trPr>
          <w:trHeight w:val="216"/>
        </w:trPr>
        <w:tc>
          <w:tcPr>
            <w:tcW w:w="6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80" w:type="dxa"/>
            <w:vAlign w:val="bottom"/>
          </w:tcPr>
          <w:p>
            <w:pPr>
              <w:spacing w:after="0"/>
              <w:rPr>
                <w:sz w:val="18"/>
                <w:szCs w:val="18"/>
                <w:color w:val="auto"/>
              </w:rPr>
            </w:pPr>
          </w:p>
        </w:tc>
        <w:tc>
          <w:tcPr>
            <w:tcW w:w="1080" w:type="dxa"/>
            <w:vAlign w:val="bottom"/>
            <w:gridSpan w:val="2"/>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(Including accounts payable of the consolidated variable interest entities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(“VIEs”) and VIEs’ subsidiaries without recourse to the Company of RMB837 and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RMB1,540 as of December 31, 2024 and 2025, respectively)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15,190,560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12,536,639</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1,792,716</w:t>
            </w:r>
          </w:p>
        </w:tc>
        <w:tc>
          <w:tcPr>
            <w:tcW w:w="40" w:type="dxa"/>
            <w:vAlign w:val="bottom"/>
          </w:tcPr>
          <w:p>
            <w:pPr>
              <w:spacing w:after="0"/>
              <w:rPr>
                <w:sz w:val="20"/>
                <w:szCs w:val="20"/>
                <w:color w:val="auto"/>
              </w:rPr>
            </w:pPr>
          </w:p>
        </w:tc>
      </w:tr>
      <w:tr>
        <w:trPr>
          <w:trHeight w:val="198"/>
        </w:trPr>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Advances from customers (Including advances from customers of the consolidated VIEs and</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VIEs’ subsidiaries without recourse to the Company of RMB367,640 and RMB387,965 as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December 31, 2024 and 2025, respectively)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1,890,586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270,350</w:t>
            </w:r>
          </w:p>
        </w:tc>
        <w:tc>
          <w:tcPr>
            <w:tcW w:w="40" w:type="dxa"/>
            <w:vAlign w:val="bottom"/>
          </w:tcPr>
          <w:p>
            <w:pPr>
              <w:spacing w:after="0"/>
              <w:rPr>
                <w:sz w:val="20"/>
                <w:szCs w:val="20"/>
                <w:color w:val="auto"/>
              </w:rPr>
            </w:pPr>
          </w:p>
        </w:tc>
      </w:tr>
      <w:tr>
        <w:trPr>
          <w:trHeight w:val="198"/>
        </w:trPr>
        <w:tc>
          <w:tcPr>
            <w:tcW w:w="6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(Including accrued expenses and other current</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of the consolidated VIEs and VIEs’ subsidiaries without recourse to the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of RMB524,165 and RMB528,018 as of December 31, 2024 and 2025,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9,663,421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9,941,146</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1,421,565</w:t>
            </w:r>
          </w:p>
        </w:tc>
        <w:tc>
          <w:tcPr>
            <w:tcW w:w="40" w:type="dxa"/>
            <w:vAlign w:val="bottom"/>
          </w:tcPr>
          <w:p>
            <w:pPr>
              <w:spacing w:after="0"/>
              <w:rPr>
                <w:sz w:val="20"/>
                <w:szCs w:val="20"/>
                <w:color w:val="auto"/>
              </w:rPr>
            </w:pPr>
          </w:p>
        </w:tc>
      </w:tr>
      <w:tr>
        <w:trPr>
          <w:trHeight w:val="198"/>
        </w:trPr>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Amounts due to related parties (Including amounts due to related parties of the consolidated</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VIEs and VIEs’ subsidiaries without recourse to the Company of RMB4,975 and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RMB3,708 as of December 31, 2024 and 2025, respectively)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101,782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40" w:type="dxa"/>
            <w:vAlign w:val="bottom"/>
          </w:tcPr>
          <w:p>
            <w:pPr>
              <w:spacing w:after="0"/>
              <w:rPr>
                <w:sz w:val="20"/>
                <w:szCs w:val="20"/>
                <w:color w:val="auto"/>
              </w:rPr>
            </w:pPr>
          </w:p>
        </w:tc>
      </w:tr>
      <w:tr>
        <w:trPr>
          <w:trHeight w:val="198"/>
        </w:trPr>
        <w:tc>
          <w:tcPr>
            <w:tcW w:w="6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income (Including deferred income of the consolidated VIEs and VIEs’ subsidiaries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without recourse to the Company of RMB1,066 and RMB172 as of December 31, 2024</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2025, respectively)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520,853</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74,481</w:t>
            </w:r>
          </w:p>
        </w:tc>
        <w:tc>
          <w:tcPr>
            <w:tcW w:w="40" w:type="dxa"/>
            <w:vAlign w:val="bottom"/>
          </w:tcPr>
          <w:p>
            <w:pPr>
              <w:spacing w:after="0"/>
              <w:rPr>
                <w:sz w:val="20"/>
                <w:szCs w:val="20"/>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2,399,629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5,844,620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835,770</w:t>
            </w:r>
          </w:p>
        </w:tc>
        <w:tc>
          <w:tcPr>
            <w:tcW w:w="40" w:type="dxa"/>
            <w:vAlign w:val="bottom"/>
          </w:tcPr>
          <w:p>
            <w:pPr>
              <w:spacing w:after="0"/>
              <w:rPr>
                <w:sz w:val="18"/>
                <w:szCs w:val="18"/>
                <w:color w:val="auto"/>
              </w:rPr>
            </w:pPr>
          </w:p>
        </w:tc>
      </w:tr>
      <w:tr>
        <w:trPr>
          <w:trHeight w:val="198"/>
        </w:trPr>
        <w:tc>
          <w:tcPr>
            <w:tcW w:w="6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(Including operating lease liabilities of the consolidated VIEs and</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VIEs’ subsidiaries without recourse to the Company of RMB814 and RMB6,896 as of</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2024 and 2025, respectively)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47,458</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40" w:type="dxa"/>
            <w:vAlign w:val="bottom"/>
          </w:tcPr>
          <w:p>
            <w:pPr>
              <w:spacing w:after="0"/>
              <w:rPr>
                <w:sz w:val="20"/>
                <w:szCs w:val="20"/>
                <w:color w:val="auto"/>
              </w:rPr>
            </w:pPr>
          </w:p>
        </w:tc>
      </w:tr>
      <w:tr>
        <w:trPr>
          <w:trHeight w:val="210"/>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29,927,001</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30,883,084</w:t>
            </w:r>
          </w:p>
        </w:tc>
        <w:tc>
          <w:tcPr>
            <w:tcW w:w="16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4,416,223</w:t>
            </w:r>
          </w:p>
        </w:tc>
        <w:tc>
          <w:tcPr>
            <w:tcW w:w="40" w:type="dxa"/>
            <w:vAlign w:val="bottom"/>
          </w:tcPr>
          <w:p>
            <w:pPr>
              <w:spacing w:after="0"/>
              <w:rPr>
                <w:sz w:val="18"/>
                <w:szCs w:val="18"/>
                <w:color w:val="auto"/>
              </w:rPr>
            </w:pPr>
          </w:p>
        </w:tc>
      </w:tr>
      <w:tr>
        <w:trPr>
          <w:trHeight w:val="178"/>
        </w:trPr>
        <w:tc>
          <w:tcPr>
            <w:tcW w:w="6940" w:type="dxa"/>
            <w:vAlign w:val="bottom"/>
            <w:tcBorders>
              <w:right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Deferred tax liabilities (Including deferred tax liabilities of the consolidated VIEs and VIEs’</w:t>
            </w: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subsidiaries without recourse to the Company of RMB1,735 and RMB1,735 as of</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2024 and 2025, respectively)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783,863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707,322</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101,146</w:t>
            </w:r>
          </w:p>
        </w:tc>
        <w:tc>
          <w:tcPr>
            <w:tcW w:w="40" w:type="dxa"/>
            <w:vAlign w:val="bottom"/>
          </w:tcPr>
          <w:p>
            <w:pPr>
              <w:spacing w:after="0"/>
              <w:rPr>
                <w:sz w:val="20"/>
                <w:szCs w:val="20"/>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income-non-current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2,084,038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2,252,797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322,146</w:t>
            </w:r>
          </w:p>
        </w:tc>
        <w:tc>
          <w:tcPr>
            <w:tcW w:w="40" w:type="dxa"/>
            <w:vAlign w:val="bottom"/>
          </w:tcPr>
          <w:p>
            <w:pPr>
              <w:spacing w:after="0"/>
              <w:rPr>
                <w:sz w:val="18"/>
                <w:szCs w:val="18"/>
                <w:color w:val="auto"/>
              </w:rPr>
            </w:pPr>
          </w:p>
        </w:tc>
      </w:tr>
      <w:tr>
        <w:trPr>
          <w:trHeight w:val="198"/>
        </w:trPr>
        <w:tc>
          <w:tcPr>
            <w:tcW w:w="6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liabilities-non-current (Including operating lease liabilities-non-current of the</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VIEs and VIEs’ subsidiaries without recourse to the Company of RMB24 and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9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RMB493 as of December 31, 2024 and 2025, respectively)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591,995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556,951</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79,643</w:t>
            </w:r>
          </w:p>
        </w:tc>
        <w:tc>
          <w:tcPr>
            <w:tcW w:w="40" w:type="dxa"/>
            <w:vAlign w:val="bottom"/>
          </w:tcPr>
          <w:p>
            <w:pPr>
              <w:spacing w:after="0"/>
              <w:rPr>
                <w:sz w:val="20"/>
                <w:szCs w:val="20"/>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33,386,897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34,400,154</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4,919,158</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900" w:type="dxa"/>
            <w:vAlign w:val="bottom"/>
            <w:gridSpan w:val="2"/>
          </w:tcPr>
          <w:p>
            <w:pPr>
              <w:ind w:left="6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119"/>
        </w:trPr>
        <w:tc>
          <w:tcPr>
            <w:tcW w:w="68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3"/>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3"/>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1"/>
        </w:trPr>
        <w:tc>
          <w:tcPr>
            <w:tcW w:w="6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color w:val="auto"/>
              </w:rPr>
              <w:t>Note 2(z)</w:t>
            </w: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21)</w:t>
            </w:r>
          </w:p>
        </w:tc>
        <w:tc>
          <w:tcPr>
            <w:tcW w:w="8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(US$0.0001 par value, 483,489,642 shares authorized, and</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100,640,510 and 94,482,014 shares issued, of which 86,982,144 and 80,208,937 shares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were outstanding as of December 31, 2024 and 2025, respectively)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r>
      <w:tr>
        <w:trPr>
          <w:trHeight w:val="198"/>
        </w:trPr>
        <w:tc>
          <w:tcPr>
            <w:tcW w:w="6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(US$0.0001 par value, 16,510,358 shares authorized, and</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15,560,358 shares issued and outstanding as of December 31, 2024 and 2025, respectively)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r>
      <w:tr>
        <w:trPr>
          <w:trHeight w:val="198"/>
        </w:trPr>
        <w:tc>
          <w:tcPr>
            <w:tcW w:w="6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shares, at cost (13,028,013 and 14,273,077 Class A shares as of December 31,</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and 2025, respectively)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(7,042,759)</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(7,876,965)</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(1,126,391)</w:t>
            </w:r>
          </w:p>
        </w:tc>
        <w:tc>
          <w:tcPr>
            <w:tcW w:w="40" w:type="dxa"/>
            <w:vAlign w:val="bottom"/>
          </w:tcPr>
          <w:p>
            <w:pPr>
              <w:spacing w:after="0"/>
              <w:rPr>
                <w:sz w:val="20"/>
                <w:szCs w:val="20"/>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4,912,703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213,904</w:t>
            </w:r>
          </w:p>
        </w:tc>
        <w:tc>
          <w:tcPr>
            <w:tcW w:w="4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42,906,188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48,591,829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6,948,539</w:t>
            </w:r>
          </w:p>
        </w:tc>
        <w:tc>
          <w:tcPr>
            <w:tcW w:w="40" w:type="dxa"/>
            <w:vAlign w:val="bottom"/>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(807,394)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(172,464)</w:t>
            </w:r>
          </w:p>
        </w:tc>
        <w:tc>
          <w:tcPr>
            <w:tcW w:w="40" w:type="dxa"/>
            <w:vAlign w:val="bottom"/>
          </w:tcPr>
          <w:p>
            <w:pPr>
              <w:spacing w:after="0"/>
              <w:rPr>
                <w:sz w:val="18"/>
                <w:szCs w:val="18"/>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Vipshop Holdings Limited shareholders’ equity</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39,968,813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41,004,749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5,863,599</w:t>
            </w:r>
          </w:p>
        </w:tc>
        <w:tc>
          <w:tcPr>
            <w:tcW w:w="40" w:type="dxa"/>
            <w:vAlign w:val="bottom"/>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1,580,416</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3,438,415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491,687</w:t>
            </w:r>
          </w:p>
        </w:tc>
        <w:tc>
          <w:tcPr>
            <w:tcW w:w="40" w:type="dxa"/>
            <w:vAlign w:val="bottom"/>
          </w:tcPr>
          <w:p>
            <w:pPr>
              <w:spacing w:after="0"/>
              <w:rPr>
                <w:sz w:val="18"/>
                <w:szCs w:val="18"/>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41,549,229</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44,443,164</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6,355,286</w:t>
            </w:r>
          </w:p>
        </w:tc>
        <w:tc>
          <w:tcPr>
            <w:tcW w:w="40" w:type="dxa"/>
            <w:vAlign w:val="bottom"/>
          </w:tcPr>
          <w:p>
            <w:pPr>
              <w:spacing w:after="0"/>
              <w:rPr>
                <w:sz w:val="18"/>
                <w:szCs w:val="18"/>
                <w:color w:val="auto"/>
              </w:rPr>
            </w:pP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74,936,126</w:t>
            </w: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78,843,318</w:t>
            </w: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11,274,444</w:t>
            </w:r>
          </w:p>
        </w:tc>
        <w:tc>
          <w:tcPr>
            <w:tcW w:w="4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480" w:type="dxa"/>
            <w:vAlign w:val="bottom"/>
            <w:gridSpan w:val="2"/>
          </w:tcPr>
          <w:p>
            <w:pPr>
              <w:ind w:left="5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r>
      <w:tr>
        <w:trPr>
          <w:trHeight w:val="119"/>
        </w:trPr>
        <w:tc>
          <w:tcPr>
            <w:tcW w:w="54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32"/>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32"/>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52"/>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1"/>
        </w:trPr>
        <w:tc>
          <w:tcPr>
            <w:tcW w:w="5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color w:val="auto"/>
              </w:rPr>
              <w:t>Note 2(z)</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105,613,485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100,734,550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97,398,826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13,927,847</w:t>
            </w:r>
          </w:p>
        </w:tc>
        <w:tc>
          <w:tcPr>
            <w:tcW w:w="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7,242,535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7,686,282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8,520,720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1,218,447</w:t>
            </w:r>
          </w:p>
        </w:tc>
        <w:tc>
          <w:tcPr>
            <w:tcW w:w="40" w:type="dxa"/>
            <w:vAlign w:val="bottom"/>
          </w:tcPr>
          <w:p>
            <w:pPr>
              <w:spacing w:after="0"/>
              <w:rPr>
                <w:sz w:val="18"/>
                <w:szCs w:val="18"/>
                <w:color w:val="auto"/>
              </w:rPr>
            </w:pPr>
          </w:p>
        </w:tc>
      </w:tr>
      <w:tr>
        <w:trPr>
          <w:trHeight w:val="210"/>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112,856,020</w:t>
            </w:r>
          </w:p>
        </w:tc>
        <w:tc>
          <w:tcPr>
            <w:tcW w:w="1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108,420,832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105,919,546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15,146,294</w:t>
            </w:r>
          </w:p>
        </w:tc>
        <w:tc>
          <w:tcPr>
            <w:tcW w:w="40" w:type="dxa"/>
            <w:vAlign w:val="bottom"/>
          </w:tcPr>
          <w:p>
            <w:pPr>
              <w:spacing w:after="0"/>
              <w:rPr>
                <w:sz w:val="18"/>
                <w:szCs w:val="18"/>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(87,135,128)</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(82,951,178)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(81,429,230)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(11,644,225)</w:t>
            </w:r>
          </w:p>
        </w:tc>
        <w:tc>
          <w:tcPr>
            <w:tcW w:w="40" w:type="dxa"/>
            <w:vAlign w:val="bottom"/>
          </w:tcPr>
          <w:p>
            <w:pPr>
              <w:spacing w:after="0"/>
              <w:rPr>
                <w:sz w:val="18"/>
                <w:szCs w:val="18"/>
                <w:color w:val="auto"/>
              </w:rPr>
            </w:pPr>
          </w:p>
        </w:tc>
      </w:tr>
      <w:tr>
        <w:trPr>
          <w:trHeight w:val="20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25,720,892</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25,469,654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24,490,316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3,502,069</w:t>
            </w:r>
          </w:p>
        </w:tc>
        <w:tc>
          <w:tcPr>
            <w:tcW w:w="40" w:type="dxa"/>
            <w:vAlign w:val="bottom"/>
          </w:tcPr>
          <w:p>
            <w:pPr>
              <w:spacing w:after="0"/>
              <w:rPr>
                <w:sz w:val="18"/>
                <w:szCs w:val="18"/>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5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Fulfillment expenses (Including shipping and handling expenses of</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RMB5,837,096, RMB5,822,405 and RMB5,822,804 for the years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ended December 31, 2023, 2024 and 2025, respectively)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(8,262,004)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(8,346,864)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(8,291,670)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(1,185,693)</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(3,242,215)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(2,979,654)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(427,421)</w:t>
            </w:r>
          </w:p>
        </w:tc>
        <w:tc>
          <w:tcPr>
            <w:tcW w:w="4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and content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(1,767,530)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(1,892,434)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(1,755,123)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(250,979)</w:t>
            </w:r>
          </w:p>
        </w:tc>
        <w:tc>
          <w:tcPr>
            <w:tcW w:w="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(4,146,568)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(3,992,657)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(4,374,425)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(625,534)</w:t>
            </w:r>
          </w:p>
        </w:tc>
        <w:tc>
          <w:tcPr>
            <w:tcW w:w="40" w:type="dxa"/>
            <w:vAlign w:val="bottom"/>
          </w:tcPr>
          <w:p>
            <w:pPr>
              <w:spacing w:after="0"/>
              <w:rPr>
                <w:sz w:val="18"/>
                <w:szCs w:val="18"/>
                <w:color w:val="auto"/>
              </w:rPr>
            </w:pPr>
          </w:p>
        </w:tc>
      </w:tr>
      <w:tr>
        <w:trPr>
          <w:trHeight w:val="20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(17,418,317)</w:t>
            </w:r>
          </w:p>
        </w:tc>
        <w:tc>
          <w:tcPr>
            <w:tcW w:w="1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(17,211,609)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(17,410,213)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(2,489,627)</w:t>
            </w:r>
          </w:p>
        </w:tc>
        <w:tc>
          <w:tcPr>
            <w:tcW w:w="40" w:type="dxa"/>
            <w:vAlign w:val="bottom"/>
          </w:tcPr>
          <w:p>
            <w:pPr>
              <w:spacing w:after="0"/>
              <w:rPr>
                <w:sz w:val="18"/>
                <w:szCs w:val="18"/>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801,560</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150,984</w:t>
            </w:r>
          </w:p>
        </w:tc>
        <w:tc>
          <w:tcPr>
            <w:tcW w:w="40" w:type="dxa"/>
            <w:vAlign w:val="bottom"/>
          </w:tcPr>
          <w:p>
            <w:pPr>
              <w:spacing w:after="0"/>
              <w:rPr>
                <w:sz w:val="18"/>
                <w:szCs w:val="18"/>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9,104,135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9,173,253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8,135,946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1,163,426</w:t>
            </w:r>
          </w:p>
        </w:tc>
        <w:tc>
          <w:tcPr>
            <w:tcW w:w="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investments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4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(57,676)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(90,037)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780,292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114,625</w:t>
            </w:r>
          </w:p>
        </w:tc>
        <w:tc>
          <w:tcPr>
            <w:tcW w:w="4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gain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(24,813)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(62,086)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(loss) gain and revaluation of investments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20,695</w:t>
            </w:r>
          </w:p>
        </w:tc>
        <w:tc>
          <w:tcPr>
            <w:tcW w:w="40" w:type="dxa"/>
            <w:vAlign w:val="bottom"/>
          </w:tcPr>
          <w:p>
            <w:pPr>
              <w:spacing w:after="0"/>
              <w:rPr>
                <w:sz w:val="18"/>
                <w:szCs w:val="18"/>
                <w:color w:val="auto"/>
              </w:rPr>
            </w:pPr>
          </w:p>
        </w:tc>
      </w:tr>
      <w:tr>
        <w:trPr>
          <w:trHeight w:val="178"/>
        </w:trPr>
        <w:tc>
          <w:tcPr>
            <w:tcW w:w="54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 and share of income of equity method</w:t>
            </w:r>
          </w:p>
        </w:tc>
        <w:tc>
          <w:tcPr>
            <w:tcW w:w="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investees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9,987,002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9,987,480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8,914,683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1,274,784</w:t>
            </w:r>
          </w:p>
        </w:tc>
        <w:tc>
          <w:tcPr>
            <w:tcW w:w="40" w:type="dxa"/>
            <w:vAlign w:val="bottom"/>
          </w:tcPr>
          <w:p>
            <w:pPr>
              <w:spacing w:after="0"/>
              <w:rPr>
                <w:sz w:val="20"/>
                <w:szCs w:val="20"/>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(1,866,004)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(2,315,515)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(257,248)</w:t>
            </w:r>
          </w:p>
        </w:tc>
        <w:tc>
          <w:tcPr>
            <w:tcW w:w="4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income of equity method investees, net of tax of nil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42,030</w:t>
            </w:r>
          </w:p>
        </w:tc>
        <w:tc>
          <w:tcPr>
            <w:tcW w:w="40" w:type="dxa"/>
            <w:vAlign w:val="bottom"/>
          </w:tcPr>
          <w:p>
            <w:pPr>
              <w:spacing w:after="0"/>
              <w:rPr>
                <w:sz w:val="18"/>
                <w:szCs w:val="18"/>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8,201,299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7,838,945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7,409,639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1,059,566</w:t>
            </w:r>
          </w:p>
        </w:tc>
        <w:tc>
          <w:tcPr>
            <w:tcW w:w="4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(99,010)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w:t>
            </w:r>
          </w:p>
        </w:tc>
        <w:tc>
          <w:tcPr>
            <w:tcW w:w="40" w:type="dxa"/>
            <w:vAlign w:val="bottom"/>
          </w:tcPr>
          <w:p>
            <w:pPr>
              <w:spacing w:after="0"/>
              <w:rPr>
                <w:sz w:val="18"/>
                <w:szCs w:val="18"/>
                <w:color w:val="auto"/>
              </w:rPr>
            </w:pPr>
          </w:p>
        </w:tc>
      </w:tr>
      <w:tr>
        <w:trPr>
          <w:trHeight w:val="21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Vipshop Holdings Limited’s shareholders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8,116,624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7,739,935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7,242,490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1,035,664</w:t>
            </w:r>
          </w:p>
        </w:tc>
        <w:tc>
          <w:tcPr>
            <w:tcW w:w="4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gridSpan w:val="2"/>
          </w:tcPr>
          <w:p>
            <w:pPr>
              <w:ind w:left="5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3"/>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5"/>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3"/>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color w:val="auto"/>
              </w:rPr>
              <w:t>Note 2(z)</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calculating earnings per share:</w:t>
            </w: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Class A and Class B ordinary shares for</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computing earnings per Class A and Class B ordinary share:</w:t>
            </w: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110,695,778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106,074,914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100,072,178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100,072,178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112,552,398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107,855,806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102,383,890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102,383,890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Class A and Class B ordinary share</w:t>
            </w: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8,201,299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7,838,945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7,409,639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 of equity adjustments for other comprehensive income (loss) of an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method investee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(52,510)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net of tax of nil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8,213,338</w:t>
            </w: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7,727,140</w:t>
            </w: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7,392,707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84,675</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99,010</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4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Comprehensive income attributable to Vipshop Holdings Limited’s</w:t>
            </w:r>
          </w:p>
        </w:tc>
        <w:tc>
          <w:tcPr>
            <w:tcW w:w="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8,128,663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7,628,130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7,225,558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1,033,243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8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w w:val="95"/>
              </w:rPr>
              <w:t>Vipshop Holdings Limited Shareholders’ Equity</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Total Vipshop</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Holdings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Limited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Class A ordinary shares</w:t>
            </w:r>
          </w:p>
        </w:tc>
        <w:tc>
          <w:tcPr>
            <w:tcW w:w="120" w:type="dxa"/>
            <w:vAlign w:val="bottom"/>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Class B ordinary shares</w:t>
            </w:r>
          </w:p>
        </w:tc>
        <w:tc>
          <w:tcPr>
            <w:tcW w:w="12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40" w:type="dxa"/>
            <w:vAlign w:val="bottom"/>
          </w:tcPr>
          <w:p>
            <w:pPr>
              <w:spacing w:after="0"/>
              <w:rPr>
                <w:sz w:val="13"/>
                <w:szCs w:val="13"/>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paid in</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0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14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 of shares</w:t>
            </w: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 of shares</w:t>
            </w:r>
          </w:p>
        </w:tc>
        <w:tc>
          <w:tcPr>
            <w:tcW w:w="5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 of shares</w:t>
            </w:r>
          </w:p>
        </w:tc>
        <w:tc>
          <w:tcPr>
            <w:tcW w:w="74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Amount</w:t>
            </w:r>
          </w:p>
        </w:tc>
        <w:tc>
          <w:tcPr>
            <w:tcW w:w="80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capital</w:t>
            </w:r>
          </w:p>
        </w:tc>
        <w:tc>
          <w:tcPr>
            <w:tcW w:w="68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earnings</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900" w:type="dxa"/>
            <w:vAlign w:val="bottom"/>
            <w:gridSpan w:val="2"/>
          </w:tcPr>
          <w:p>
            <w:pPr>
              <w:jc w:val="right"/>
              <w:ind w:right="138"/>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Equity</w:t>
            </w:r>
          </w:p>
        </w:tc>
        <w:tc>
          <w:tcPr>
            <w:tcW w:w="2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3"/>
              </w:rPr>
              <w:t>interests</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15"/>
        </w:trPr>
        <w:tc>
          <w:tcPr>
            <w:tcW w:w="11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101,621,330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15,560,358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22,438,760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(8,352,511)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13,091,781</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28,720,304</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(707,628)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32,752,037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1,321,006</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34,073,043</w:t>
            </w:r>
          </w:p>
        </w:tc>
        <w:tc>
          <w:tcPr>
            <w:tcW w:w="0" w:type="dxa"/>
            <w:vAlign w:val="bottom"/>
          </w:tcPr>
          <w:p>
            <w:pPr>
              <w:spacing w:after="0"/>
              <w:rPr>
                <w:sz w:val="1"/>
                <w:szCs w:val="1"/>
                <w:color w:val="auto"/>
              </w:rPr>
            </w:pPr>
          </w:p>
        </w:tc>
      </w:tr>
      <w:tr>
        <w:trPr>
          <w:trHeight w:val="128"/>
        </w:trPr>
        <w:tc>
          <w:tcPr>
            <w:tcW w:w="11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8,116,624</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8,116,624</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84,675</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8,201,299</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Repurchase of</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ordinary shares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 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(9,755,695)</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9,755,695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(4,968,545)</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(4,968,545)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(4,968,545)</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Cancellation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treasury shares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 16)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(26,216,773)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9,696,293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(9,696,274)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upon vesting</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of shares awards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 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1,034,612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Share-based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 (Note 23)</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1,068,611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1,068,611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1,068,611</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Acquisition of</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additional equity</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interests in</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subsidiaries (Note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(64,268)</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(73,000)</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 distribution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to non-controlling</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shareholders (Note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(39,107)</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(39,107)</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 of equity</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adjustments for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income of an equity</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method investee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23,124</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Capital contribution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from non-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controlling interests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shareholders (Note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(10,630)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296,080</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285,450</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Deregistration of a</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subsidiary (Note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translation.</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(11,085)</w:t>
            </w: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(11,085)</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(11,085)</w:t>
            </w:r>
          </w:p>
        </w:tc>
        <w:tc>
          <w:tcPr>
            <w:tcW w:w="0" w:type="dxa"/>
            <w:vAlign w:val="bottom"/>
          </w:tcPr>
          <w:p>
            <w:pPr>
              <w:spacing w:after="0"/>
              <w:rPr>
                <w:sz w:val="1"/>
                <w:szCs w:val="1"/>
                <w:color w:val="auto"/>
              </w:rPr>
            </w:pPr>
          </w:p>
        </w:tc>
      </w:tr>
      <w:tr>
        <w:trPr>
          <w:trHeight w:val="95"/>
        </w:trPr>
        <w:tc>
          <w:tcPr>
            <w:tcW w:w="11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92,900,247</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15,560,358</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5,977,682</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(3,624,763)</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4,444,755</w:t>
            </w:r>
          </w:p>
        </w:tc>
        <w:tc>
          <w:tcPr>
            <w:tcW w:w="6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36,836,928</w:t>
            </w: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(695,589)</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36,961,404</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1,598,354</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38,559,758</w:t>
            </w: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80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74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680"/>
          </w:cols>
          <w:pgMar w:left="840" w:top="513" w:right="3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(Continued)</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8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gridSpan w:val="8"/>
          </w:tcPr>
          <w:p>
            <w:pPr>
              <w:ind w:left="200"/>
              <w:spacing w:after="0"/>
              <w:rPr>
                <w:sz w:val="20"/>
                <w:szCs w:val="20"/>
                <w:color w:val="auto"/>
              </w:rPr>
            </w:pPr>
            <w:r>
              <w:rPr>
                <w:rFonts w:ascii="Times New Roman" w:cs="Times New Roman" w:eastAsia="Times New Roman" w:hAnsi="Times New Roman"/>
                <w:sz w:val="13"/>
                <w:szCs w:val="13"/>
                <w:b w:val="1"/>
                <w:bCs w:val="1"/>
                <w:color w:val="auto"/>
                <w:w w:val="95"/>
              </w:rPr>
              <w:t>Vipshop Holdings Limited Shareholders’ Equity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Total Vipshop</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Holdings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Limited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Class A ordinary shares</w:t>
            </w:r>
          </w:p>
        </w:tc>
        <w:tc>
          <w:tcPr>
            <w:tcW w:w="120" w:type="dxa"/>
            <w:vAlign w:val="bottom"/>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Class B ordinary shares</w:t>
            </w:r>
          </w:p>
        </w:tc>
        <w:tc>
          <w:tcPr>
            <w:tcW w:w="12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40" w:type="dxa"/>
            <w:vAlign w:val="bottom"/>
          </w:tcPr>
          <w:p>
            <w:pPr>
              <w:spacing w:after="0"/>
              <w:rPr>
                <w:sz w:val="13"/>
                <w:szCs w:val="13"/>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paid in</w:t>
            </w: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4"/>
              </w:rPr>
              <w:t>Shareholders’</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 of shares</w:t>
            </w: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 of shares</w:t>
            </w:r>
          </w:p>
        </w:tc>
        <w:tc>
          <w:tcPr>
            <w:tcW w:w="5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 of shares</w:t>
            </w:r>
          </w:p>
        </w:tc>
        <w:tc>
          <w:tcPr>
            <w:tcW w:w="74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Amount</w:t>
            </w:r>
          </w:p>
        </w:tc>
        <w:tc>
          <w:tcPr>
            <w:tcW w:w="7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capital</w:t>
            </w:r>
          </w:p>
        </w:tc>
        <w:tc>
          <w:tcPr>
            <w:tcW w:w="68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earnings</w:t>
            </w:r>
          </w:p>
        </w:tc>
        <w:tc>
          <w:tcPr>
            <w:tcW w:w="1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900" w:type="dxa"/>
            <w:vAlign w:val="bottom"/>
            <w:gridSpan w:val="2"/>
          </w:tcPr>
          <w:p>
            <w:pPr>
              <w:jc w:val="right"/>
              <w:ind w:right="138"/>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Equity</w:t>
            </w:r>
          </w:p>
        </w:tc>
        <w:tc>
          <w:tcPr>
            <w:tcW w:w="2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interests</w:t>
            </w:r>
          </w:p>
        </w:tc>
        <w:tc>
          <w:tcPr>
            <w:tcW w:w="18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15"/>
        </w:trPr>
        <w:tc>
          <w:tcPr>
            <w:tcW w:w="11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92,900,247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15,560,358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5,977,682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(3,624,763)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4,444,755</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36,836,928</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(695,589)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36,961,404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1,598,354</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38,559,758</w:t>
            </w:r>
          </w:p>
        </w:tc>
        <w:tc>
          <w:tcPr>
            <w:tcW w:w="0" w:type="dxa"/>
            <w:vAlign w:val="bottom"/>
          </w:tcPr>
          <w:p>
            <w:pPr>
              <w:spacing w:after="0"/>
              <w:rPr>
                <w:sz w:val="1"/>
                <w:szCs w:val="1"/>
                <w:color w:val="auto"/>
              </w:rPr>
            </w:pPr>
          </w:p>
        </w:tc>
      </w:tr>
      <w:tr>
        <w:trPr>
          <w:trHeight w:val="128"/>
        </w:trPr>
        <w:tc>
          <w:tcPr>
            <w:tcW w:w="11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7,739,935</w:t>
            </w: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7,739,935</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99,010</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7,838,945</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Repurchase of</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ordinary shares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 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(7,680,684)</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7,680,684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(3,852,387)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(3,852,387)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(3,852,387)</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upon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exercises of share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(Note 16)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14,000</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upon vesting</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of shares awards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 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1,118,228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Re-issuance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treasury shares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upon vesting 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awards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 16)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630,353</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(630,353)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434,391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(434,391)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Share-based</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 (Note 23)</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1,177,685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1,177,685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1,177,685</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Capital contribution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from non-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controlling interests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shareholders (Note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8,297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8,297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155,563</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163,860</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Deregistration of a</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subsidiary (Note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Acquisition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additional equity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interests in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subsidiaries (Note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(283,892)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(283,892)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(228,345)</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(512,237)</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 distribution</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to non-controlling</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shareholders (Note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(42,891)</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(42,891)</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 distribution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to the Company’s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shareholders (Note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(1,670,675)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(1,670,675)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(1,670,675)</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 of equity</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adjustments for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comprehensive loss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of an equity method</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investee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(148,886)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(148,886)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(148,886)</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translation</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37,081</w:t>
            </w: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37,081</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37,081</w:t>
            </w:r>
          </w:p>
        </w:tc>
        <w:tc>
          <w:tcPr>
            <w:tcW w:w="0" w:type="dxa"/>
            <w:vAlign w:val="bottom"/>
          </w:tcPr>
          <w:p>
            <w:pPr>
              <w:spacing w:after="0"/>
              <w:rPr>
                <w:sz w:val="1"/>
                <w:szCs w:val="1"/>
                <w:color w:val="auto"/>
              </w:rPr>
            </w:pPr>
          </w:p>
        </w:tc>
      </w:tr>
      <w:tr>
        <w:trPr>
          <w:trHeight w:val="95"/>
        </w:trPr>
        <w:tc>
          <w:tcPr>
            <w:tcW w:w="11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86,982,144</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15,560,358</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13,028,013</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(7,042,759)</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4,912,703</w:t>
            </w:r>
          </w:p>
        </w:tc>
        <w:tc>
          <w:tcPr>
            <w:tcW w:w="6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42,906,188</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(807,394)</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39,968,813</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1,580,416</w:t>
            </w:r>
          </w:p>
        </w:tc>
        <w:tc>
          <w:tcPr>
            <w:tcW w:w="7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41,549,229</w:t>
            </w: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80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76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660"/>
          </w:cols>
          <w:pgMar w:left="840" w:top="513" w:right="3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(Continued)</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8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gridSpan w:val="8"/>
          </w:tcPr>
          <w:p>
            <w:pPr>
              <w:ind w:left="200"/>
              <w:spacing w:after="0"/>
              <w:rPr>
                <w:sz w:val="20"/>
                <w:szCs w:val="20"/>
                <w:color w:val="auto"/>
              </w:rPr>
            </w:pPr>
            <w:r>
              <w:rPr>
                <w:rFonts w:ascii="Times New Roman" w:cs="Times New Roman" w:eastAsia="Times New Roman" w:hAnsi="Times New Roman"/>
                <w:sz w:val="13"/>
                <w:szCs w:val="13"/>
                <w:b w:val="1"/>
                <w:bCs w:val="1"/>
                <w:color w:val="auto"/>
                <w:w w:val="95"/>
              </w:rPr>
              <w:t>Vipshop Holdings Limited Shareholders’ Equity</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Total Vipshop</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Holdings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Limited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Class A ordinary shares</w:t>
            </w:r>
          </w:p>
        </w:tc>
        <w:tc>
          <w:tcPr>
            <w:tcW w:w="120" w:type="dxa"/>
            <w:vAlign w:val="bottom"/>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Class B ordinary shares</w:t>
            </w:r>
          </w:p>
        </w:tc>
        <w:tc>
          <w:tcPr>
            <w:tcW w:w="12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4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paid in</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14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 of shares</w:t>
            </w: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 of shares</w:t>
            </w:r>
          </w:p>
        </w:tc>
        <w:tc>
          <w:tcPr>
            <w:tcW w:w="5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 of shares</w:t>
            </w:r>
          </w:p>
        </w:tc>
        <w:tc>
          <w:tcPr>
            <w:tcW w:w="74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Amount</w:t>
            </w:r>
          </w:p>
        </w:tc>
        <w:tc>
          <w:tcPr>
            <w:tcW w:w="7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capital</w:t>
            </w: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earnings</w:t>
            </w:r>
          </w:p>
        </w:tc>
        <w:tc>
          <w:tcPr>
            <w:tcW w:w="18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880" w:type="dxa"/>
            <w:vAlign w:val="bottom"/>
            <w:gridSpan w:val="2"/>
          </w:tcPr>
          <w:p>
            <w:pPr>
              <w:jc w:val="right"/>
              <w:ind w:right="137"/>
              <w:spacing w:after="0" w:line="12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Equity</w:t>
            </w:r>
          </w:p>
        </w:tc>
        <w:tc>
          <w:tcPr>
            <w:tcW w:w="2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interests</w:t>
            </w:r>
          </w:p>
        </w:tc>
        <w:tc>
          <w:tcPr>
            <w:tcW w:w="1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0" w:type="dxa"/>
            <w:vAlign w:val="bottom"/>
          </w:tcPr>
          <w:p>
            <w:pPr>
              <w:spacing w:after="0"/>
              <w:rPr>
                <w:sz w:val="1"/>
                <w:szCs w:val="1"/>
                <w:color w:val="auto"/>
              </w:rPr>
            </w:pPr>
          </w:p>
        </w:tc>
      </w:tr>
      <w:tr>
        <w:trPr>
          <w:trHeight w:val="115"/>
        </w:trPr>
        <w:tc>
          <w:tcPr>
            <w:tcW w:w="11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86,982,144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15,560,358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13,028,013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(7,042,759)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4,912,703</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42,906,188</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(807,394)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39,968,813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1,580,416</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41,549,229</w:t>
            </w:r>
          </w:p>
        </w:tc>
        <w:tc>
          <w:tcPr>
            <w:tcW w:w="0" w:type="dxa"/>
            <w:vAlign w:val="bottom"/>
          </w:tcPr>
          <w:p>
            <w:pPr>
              <w:spacing w:after="0"/>
              <w:rPr>
                <w:sz w:val="1"/>
                <w:szCs w:val="1"/>
                <w:color w:val="auto"/>
              </w:rPr>
            </w:pPr>
          </w:p>
        </w:tc>
      </w:tr>
      <w:tr>
        <w:trPr>
          <w:trHeight w:val="128"/>
        </w:trPr>
        <w:tc>
          <w:tcPr>
            <w:tcW w:w="11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7,242,490</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7,242,490</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167,149</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7,409,639</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Repurchase of</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ordinary shares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 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(8,686,612)</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8,686,612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(4,996,975)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(4,996,975)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(4,996,975)</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Re-issuance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treasury shares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upon exercises 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options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 16)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372,000</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(372,000)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261,434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(260,080)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ordinary</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upon</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exercises of share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(Note 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61,810</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Re-issuance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treasury shares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upon vesting 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awards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 16)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1,479,595</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(1,479,595)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1,039,830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(1,039,830)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Share-based</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 (Note 23)</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1,070,344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1,070,344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1,070,344</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Cancellation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treasury shares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 16)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(5,589,953)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2,861,505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(2,861,501)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Capital contribution</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from non-</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controlling interests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shareholders (Note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Capital contribution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from outlet real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estate investment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trust (“Vipshop</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Outlet REIT”)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(Note 17)</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(319,413)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(319,413)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1,705,200</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1,385,787</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 distribution</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to non-controlling</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shareholders (Note</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(22,350)</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(22,350)</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 distribution</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to the Company’s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shareholders (Note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(1,803,895)</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(1,803,895)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(1,803,895)</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Impact of an equity</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method investment</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adopting ASU</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2018-12</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247,046</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(381,713)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(134,667)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(134,667)</w:t>
            </w:r>
          </w:p>
        </w:tc>
        <w:tc>
          <w:tcPr>
            <w:tcW w:w="0" w:type="dxa"/>
            <w:vAlign w:val="bottom"/>
          </w:tcPr>
          <w:p>
            <w:pPr>
              <w:spacing w:after="0"/>
              <w:rPr>
                <w:sz w:val="1"/>
                <w:szCs w:val="1"/>
                <w:color w:val="auto"/>
              </w:rPr>
            </w:pPr>
          </w:p>
        </w:tc>
      </w:tr>
      <w:tr>
        <w:trPr>
          <w:trHeight w:val="117"/>
        </w:trPr>
        <w:tc>
          <w:tcPr>
            <w:tcW w:w="1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Share of equity</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adjustments for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comprehensive loss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9"/>
              </w:rPr>
              <w:t>of an equity method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investee</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(52,510)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(52,510)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(52,510)</w:t>
            </w:r>
          </w:p>
        </w:tc>
        <w:tc>
          <w:tcPr>
            <w:tcW w:w="0" w:type="dxa"/>
            <w:vAlign w:val="bottom"/>
          </w:tcPr>
          <w:p>
            <w:pPr>
              <w:spacing w:after="0"/>
              <w:rPr>
                <w:sz w:val="1"/>
                <w:szCs w:val="1"/>
                <w:color w:val="auto"/>
              </w:rPr>
            </w:pPr>
          </w:p>
        </w:tc>
      </w:tr>
      <w:tr>
        <w:trPr>
          <w:trHeight w:val="117"/>
        </w:trPr>
        <w:tc>
          <w:tcPr>
            <w:tcW w:w="1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Foreign currency</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translation</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35,578</w:t>
            </w:r>
          </w:p>
        </w:tc>
        <w:tc>
          <w:tcPr>
            <w:tcW w:w="0" w:type="dxa"/>
            <w:vAlign w:val="bottom"/>
          </w:tcPr>
          <w:p>
            <w:pPr>
              <w:spacing w:after="0"/>
              <w:rPr>
                <w:sz w:val="1"/>
                <w:szCs w:val="1"/>
                <w:color w:val="auto"/>
              </w:rPr>
            </w:pPr>
          </w:p>
        </w:tc>
      </w:tr>
      <w:tr>
        <w:trPr>
          <w:trHeight w:val="135"/>
        </w:trPr>
        <w:tc>
          <w:tcPr>
            <w:tcW w:w="11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Others</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(6,370)</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(6,370)</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(6,370)</w:t>
            </w:r>
          </w:p>
        </w:tc>
        <w:tc>
          <w:tcPr>
            <w:tcW w:w="0" w:type="dxa"/>
            <w:vAlign w:val="bottom"/>
          </w:tcPr>
          <w:p>
            <w:pPr>
              <w:spacing w:after="0"/>
              <w:rPr>
                <w:sz w:val="1"/>
                <w:szCs w:val="1"/>
                <w:color w:val="auto"/>
              </w:rPr>
            </w:pPr>
          </w:p>
        </w:tc>
      </w:tr>
      <w:tr>
        <w:trPr>
          <w:trHeight w:val="95"/>
        </w:trPr>
        <w:tc>
          <w:tcPr>
            <w:tcW w:w="118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80,208,937</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15,560,358</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14,273,077</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(7,876,965)</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1,495,853</w:t>
            </w:r>
          </w:p>
        </w:tc>
        <w:tc>
          <w:tcPr>
            <w:tcW w:w="6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48,591,829</w:t>
            </w: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(1,206,039)</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41,004,749</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3,438,415</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44,443,164</w:t>
            </w: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80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74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660"/>
          </w:cols>
          <w:pgMar w:left="840" w:top="513" w:right="3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200" w:type="dxa"/>
            <w:vAlign w:val="bottom"/>
            <w:gridSpan w:val="2"/>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0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top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top w:val="single" w:sz="8" w:color="auto"/>
            </w:tcBorders>
          </w:tcPr>
          <w:p>
            <w:pPr>
              <w:jc w:val="right"/>
              <w:ind w:right="218"/>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2"/>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2"/>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color w:val="auto"/>
              </w:rPr>
              <w:t>Note 2(z)</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8,201,299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7,838,945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7,409,639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1,059,566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by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allowance for doubtful accounts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28,114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of inventory write-down</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(681,173)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(312,414)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1,299,384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1,418,492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income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156,241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land use rights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217,323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118,758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(gain) on disposal of property and equipment and land use rights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based compensation expenses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1,509,806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1,537,740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1,731,063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of income of equity method investees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loss of other investments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gain and revaluation of investments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disposal of equity method investees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loss on disposal of other investments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receivables and prepayments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(340,829)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receivables on short-term investments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601,440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944,727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received from equity method investees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102,545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156,517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131,684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2,565,874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(2,170,812)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(2,169,266)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Advances from customers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345,303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666,260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(356,287)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(40,063)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14,414,513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9,128,983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7,454,245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1,065,943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VIPSHOP HOLDINGS LIMITED CONSOLIDATED STATEMENTS OF CASH FLOWS (Continued) (All amounts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020" w:type="dxa"/>
            <w:vAlign w:val="bottom"/>
            <w:gridSpan w:val="2"/>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119"/>
        </w:trPr>
        <w:tc>
          <w:tcPr>
            <w:tcW w:w="5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tcPr>
          <w:p>
            <w:pPr>
              <w:jc w:val="right"/>
              <w:ind w:right="198"/>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4"/>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3"/>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1"/>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Note 2(z)</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(2,167,178)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(2,723,247)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(1,985,766)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(283,961)</w:t>
            </w:r>
          </w:p>
        </w:tc>
        <w:tc>
          <w:tcPr>
            <w:tcW w:w="40" w:type="dxa"/>
            <w:vAlign w:val="bottom"/>
          </w:tcPr>
          <w:p>
            <w:pPr>
              <w:spacing w:after="0"/>
              <w:rPr>
                <w:sz w:val="18"/>
                <w:szCs w:val="18"/>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land use rights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(3,063,559)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(839,339)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40" w:type="dxa"/>
            <w:vAlign w:val="bottom"/>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subsidies received for land use rights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347,070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412,926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278,516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39,827</w:t>
            </w:r>
          </w:p>
        </w:tc>
        <w:tc>
          <w:tcPr>
            <w:tcW w:w="40" w:type="dxa"/>
            <w:vAlign w:val="bottom"/>
          </w:tcPr>
          <w:p>
            <w:pPr>
              <w:spacing w:after="0"/>
              <w:rPr>
                <w:sz w:val="18"/>
                <w:szCs w:val="18"/>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 from disposal of property and equipment and land use rights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40" w:type="dxa"/>
            <w:vAlign w:val="bottom"/>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(3,959,000)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(4,484,636)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(10,948,688)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(1,565,642)</w:t>
            </w:r>
          </w:p>
        </w:tc>
        <w:tc>
          <w:tcPr>
            <w:tcW w:w="40" w:type="dxa"/>
            <w:vAlign w:val="bottom"/>
          </w:tcPr>
          <w:p>
            <w:pPr>
              <w:spacing w:after="0"/>
              <w:rPr>
                <w:sz w:val="18"/>
                <w:szCs w:val="18"/>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short-term investments upon maturities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3,565,610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4,608,304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7,028,856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1,005,113</w:t>
            </w:r>
          </w:p>
        </w:tc>
        <w:tc>
          <w:tcPr>
            <w:tcW w:w="40" w:type="dxa"/>
            <w:vAlign w:val="bottom"/>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equity method investees and other investments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(282,542)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(374,921)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(2,482,589)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(355,006)</w:t>
            </w:r>
          </w:p>
        </w:tc>
        <w:tc>
          <w:tcPr>
            <w:tcW w:w="40" w:type="dxa"/>
            <w:vAlign w:val="bottom"/>
          </w:tcPr>
          <w:p>
            <w:pPr>
              <w:spacing w:after="0"/>
              <w:rPr>
                <w:sz w:val="18"/>
                <w:szCs w:val="18"/>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 from disposal of equity method investments and other investments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 paid for equity method investments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40" w:type="dxa"/>
            <w:vAlign w:val="bottom"/>
          </w:tcPr>
          <w:p>
            <w:pPr>
              <w:spacing w:after="0"/>
              <w:rPr>
                <w:sz w:val="18"/>
                <w:szCs w:val="18"/>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loan originations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(15,284)</w:t>
            </w:r>
          </w:p>
        </w:tc>
        <w:tc>
          <w:tcPr>
            <w:tcW w:w="40" w:type="dxa"/>
            <w:vAlign w:val="bottom"/>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inflow (outflow) for disposal of subsidiaries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40" w:type="dxa"/>
            <w:vAlign w:val="bottom"/>
          </w:tcPr>
          <w:p>
            <w:pPr>
              <w:spacing w:after="0"/>
              <w:rPr>
                <w:sz w:val="18"/>
                <w:szCs w:val="18"/>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received from loan repayments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40" w:type="dxa"/>
            <w:vAlign w:val="bottom"/>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156,425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40" w:type="dxa"/>
            <w:vAlign w:val="bottom"/>
          </w:tcPr>
          <w:p>
            <w:pPr>
              <w:spacing w:after="0"/>
              <w:rPr>
                <w:sz w:val="18"/>
                <w:szCs w:val="18"/>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(5,160,337)</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(3,565,550)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(8,297,050)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(1,186,464)</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VIPSHOP HOLDINGS LIMITED CONSOLIDATED STATEMENTS OF CASH FLOWS (Continued) (All amounts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080" w:type="dxa"/>
            <w:vAlign w:val="bottom"/>
            <w:gridSpan w:val="2"/>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jc w:val="right"/>
              <w:ind w:right="213"/>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2"/>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1"/>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Note 2(z)</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bank and other borrowings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2,093,483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6,399,917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13,151,312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to bank and other borrowings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(3,355,887)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(5,444,814)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(9,677,000)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(1,383,793)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 from equity method investees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loans from equity method investees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loans from non-controlling interests shareholders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(47,250)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 from non-controlling interests shareholders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contributions from non-controlling interests shareholders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285,450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(5,106,944)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(3,865,781)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(4,940,778)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proceeds of Vipshop Outlet REIT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1,385,787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paid to non-controlling interests shareholders for deregistration of</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subsidiaries</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non-controlling interests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(512,237)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distribution to non-controlling interest shareholders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distribution to shareholders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(1,684,721)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(1,795,384)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ordinary shares upon exercise of share options</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(6,146,005)</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(4,969,579)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(1,935,572)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(276,783)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66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85,794</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63,283</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(52,962)</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3,193,965</w:t>
            </w:r>
          </w:p>
        </w:tc>
        <w:tc>
          <w:tcPr>
            <w:tcW w:w="1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657,137</w:t>
            </w: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(2,831,339)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23,103,401</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26,297,366</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26,954,503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1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26,297,366</w:t>
            </w: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26,954,503</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24,123,164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3,449,566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in amounts on the consolidated balance sheets: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25,414,729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26,352,161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22,990,435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882,637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the year</w:t>
            </w:r>
          </w:p>
        </w:tc>
        <w:tc>
          <w:tcPr>
            <w:tcW w:w="1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26,297,366</w:t>
            </w:r>
          </w:p>
        </w:tc>
        <w:tc>
          <w:tcPr>
            <w:tcW w:w="14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26,954,503</w:t>
            </w:r>
          </w:p>
        </w:tc>
        <w:tc>
          <w:tcPr>
            <w:tcW w:w="14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24,123,164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3,449,566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paid, net of amount capitalized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26,480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paid</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1,778,785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2,169,488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2,443,103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349,359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Capital contribution from non-controlling interests shareholders settled by</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payable, net of tax of nil, RMB840 and nil in the years ended</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2023, 2024 and 2025, respectively</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assets obtained under operating lease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32,594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566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F-15</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rFonts w:ascii="Times New Roman" w:cs="Times New Roman" w:eastAsia="Times New Roman" w:hAnsi="Times New Roman"/>
          <w:sz w:val="18"/>
          <w:szCs w:val="18"/>
          <w:b w:val="1"/>
          <w:bCs w:val="1"/>
          <w:color w:val="auto"/>
        </w:rPr>
      </w:pPr>
    </w:p>
    <w:p>
      <w:pPr>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Vipshop Holdings Limited (the “Company”) was incorporated in the Cayman Islands on August 27, 2010. The Company, through its subsidiaries, VIEs and VIEs’ subsidiaries (collectively, the “Group”), operates online platforms that offer high-quality branded products to consumers in the People’s Republic of China (the “PRC”) through flash sales on its vipshop.com, vip.com online platforms. Flash sale represents an online retail format combining the advantages of e-commerce and discount sales through selling a finite quantity of discounted products or services online for a limited period of time.</w:t>
      </w:r>
    </w:p>
    <w:p>
      <w:pPr>
        <w:spacing w:after="0" w:line="183" w:lineRule="exact"/>
        <w:rPr>
          <w:rFonts w:ascii="Times New Roman" w:cs="Times New Roman" w:eastAsia="Times New Roman" w:hAnsi="Times New Roman"/>
          <w:sz w:val="18"/>
          <w:szCs w:val="18"/>
          <w:b w:val="1"/>
          <w:bCs w:val="1"/>
          <w:color w:val="auto"/>
        </w:rPr>
      </w:pPr>
    </w:p>
    <w:p>
      <w:pPr>
        <w:ind w:left="34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also operates retail stores in China to supplement its online growth strategy. The Group acquired Shan Shan Outlets in July 2019, a leading player in the outlets industry in China, to establish presence in the offline outlet business in China.</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in accordance with U.S. GAAP.</w:t>
      </w:r>
    </w:p>
    <w:p>
      <w:pPr>
        <w:spacing w:after="0" w:line="22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rFonts w:ascii="Times New Roman" w:cs="Times New Roman" w:eastAsia="Times New Roman" w:hAnsi="Times New Roman"/>
          <w:sz w:val="18"/>
          <w:szCs w:val="18"/>
          <w:b w:val="1"/>
          <w:bCs w:val="1"/>
          <w:color w:val="auto"/>
        </w:rPr>
      </w:pPr>
    </w:p>
    <w:p>
      <w:pPr>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the consolidated VIEs and VIEs’ subsidiaries for which the Company is the primary beneficiary. All intercompany transactions, balances and unrealized profit and losses have been eliminated upon consolidation.</w:t>
      </w:r>
    </w:p>
    <w:p>
      <w:pPr>
        <w:spacing w:after="0" w:line="175" w:lineRule="exact"/>
        <w:rPr>
          <w:rFonts w:ascii="Times New Roman" w:cs="Times New Roman" w:eastAsia="Times New Roman" w:hAnsi="Times New Roman"/>
          <w:sz w:val="18"/>
          <w:szCs w:val="18"/>
          <w:b w:val="1"/>
          <w:bCs w:val="1"/>
          <w:color w:val="auto"/>
        </w:rPr>
      </w:pPr>
    </w:p>
    <w:p>
      <w:pPr>
        <w:ind w:left="660" w:righ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evaluates the need to consolidate the VIEs and VIEs’ subsidiaries in which equity holders do not have the characteristics of a controlling financial interest or do not have sufficient equity at risk for the entity to finance its activities without additional subordinated financial support.</w:t>
      </w:r>
    </w:p>
    <w:p>
      <w:pPr>
        <w:spacing w:after="0" w:line="175"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foreign-invested companies engaged in internet-based businesses is subject to significant restrictions under current PRC laws and regulations, the Group and its PRC subsidiary, Vipshop (China) Co., Ltd. (“Vipshop China”), as a wholly foreign owned enterprise (“WFOE”), are restricted from holding the licenses that are necessary for the online operation in China. To comply with these restrictions, the Group conducts the Internet-related operations in the PRC through certain PRC domestic companies, whose equity interests are held by certain management members of the Group (“Nominee Shareholders”).</w:t>
      </w:r>
    </w:p>
    <w:p>
      <w:pPr>
        <w:spacing w:after="0" w:line="183" w:lineRule="exact"/>
        <w:rPr>
          <w:rFonts w:ascii="Times New Roman" w:cs="Times New Roman" w:eastAsia="Times New Roman" w:hAnsi="Times New Roman"/>
          <w:sz w:val="18"/>
          <w:szCs w:val="18"/>
          <w:b w:val="1"/>
          <w:bCs w:val="1"/>
          <w:color w:val="auto"/>
        </w:rPr>
      </w:pPr>
    </w:p>
    <w:p>
      <w:pPr>
        <w:ind w:left="6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through Vipshop China, entered into a series of contractual arrangements with certain PRC domestic companies and the Nominee Shareholders, pursuant to which the Group is entitled to have the power to direct the activities that most significantly impact the VIEs, and receive effectively all economic benefits generated from the Nominee Shareholders’ equity interests in these VIEs. By entering into a series of contractual arrangements, the Group established three sets of VIEs:</w:t>
      </w:r>
    </w:p>
    <w:p>
      <w:pPr>
        <w:spacing w:after="0" w:line="2" w:lineRule="exact"/>
        <w:rPr>
          <w:rFonts w:ascii="Times New Roman" w:cs="Times New Roman" w:eastAsia="Times New Roman" w:hAnsi="Times New Roman"/>
          <w:sz w:val="18"/>
          <w:szCs w:val="18"/>
          <w:b w:val="1"/>
          <w:bCs w:val="1"/>
          <w:color w:val="auto"/>
        </w:rPr>
      </w:pPr>
    </w:p>
    <w:p>
      <w:pPr>
        <w:jc w:val="both"/>
        <w:ind w:left="660" w:right="320"/>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 Guangzhou Vipshop E-Commerce Co., Ltd. (“Vipshop E-Commerce”); (ii) Guangzhou Vipshop Information Technology Co., Ltd. (“Vipshop Information”); and (iii) Pin Jun Tong Enterprise Management &amp; Consulting Co., Ltd. (“Pin Jun Tong”).</w:t>
      </w:r>
    </w:p>
    <w:p>
      <w:pPr>
        <w:spacing w:after="0" w:line="157" w:lineRule="exact"/>
        <w:rPr>
          <w:sz w:val="20"/>
          <w:szCs w:val="20"/>
          <w:color w:val="auto"/>
        </w:rPr>
      </w:pPr>
    </w:p>
    <w:p>
      <w:pPr>
        <w:ind w:left="660" w:right="680"/>
        <w:spacing w:after="0" w:line="282" w:lineRule="auto"/>
        <w:rPr>
          <w:sz w:val="20"/>
          <w:szCs w:val="20"/>
          <w:color w:val="auto"/>
        </w:rPr>
      </w:pPr>
      <w:r>
        <w:rPr>
          <w:rFonts w:ascii="Times New Roman" w:cs="Times New Roman" w:eastAsia="Times New Roman" w:hAnsi="Times New Roman"/>
          <w:sz w:val="18"/>
          <w:szCs w:val="18"/>
          <w:color w:val="auto"/>
        </w:rPr>
        <w:t>The Group has concluded that it is the ultimate primary beneficiary of these PRC domestic companies and accordingly, consolidates these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8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 (Continued)</w:t>
      </w:r>
    </w:p>
    <w:p>
      <w:pPr>
        <w:spacing w:after="0" w:line="188"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the contractual agreements (collectively, “Contractual Agreements”) that the Group, through the WFOE, entered into with the consolidated VIEs and their Nominee Shareholders:</w:t>
      </w:r>
    </w:p>
    <w:p>
      <w:pPr>
        <w:spacing w:after="0" w:line="13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Equity Interest Pledge Agreements</w:t>
      </w:r>
    </w:p>
    <w:p>
      <w:pPr>
        <w:spacing w:after="0" w:line="186" w:lineRule="exact"/>
        <w:rPr>
          <w:rFonts w:ascii="Times New Roman" w:cs="Times New Roman" w:eastAsia="Times New Roman" w:hAnsi="Times New Roman"/>
          <w:sz w:val="18"/>
          <w:szCs w:val="18"/>
          <w:b w:val="1"/>
          <w:bCs w:val="1"/>
          <w:color w:val="auto"/>
        </w:rPr>
      </w:pPr>
    </w:p>
    <w:p>
      <w:pPr>
        <w:ind w:left="6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Nominee Shareholders of these PRC domestic companies pledged all of their equity interests in these PRC domestic companies as collateral to ensure that these PRC domestic companies fully perform its obligations under the Exclusive Business Cooperation Agreement, Exclusive Option Agreement and other applicable Agreement, and pay the consulting and service fees and repay the loan and the accrued interests to the WFOE when the same becomes due. The agreement will remain in effect until all of the obligations of these PRC domestic companies under the Exclusive Business Cooperation Agreement, Exclusive Option Agreement and other applicable Agreement have been duly performed or terminated.</w:t>
      </w:r>
    </w:p>
    <w:p>
      <w:pPr>
        <w:spacing w:after="0" w:line="1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Exclusive Option Agreement</w:t>
      </w:r>
    </w:p>
    <w:p>
      <w:pPr>
        <w:spacing w:after="0" w:line="200" w:lineRule="exact"/>
        <w:rPr>
          <w:rFonts w:ascii="Times New Roman" w:cs="Times New Roman" w:eastAsia="Times New Roman" w:hAnsi="Times New Roman"/>
          <w:sz w:val="18"/>
          <w:szCs w:val="18"/>
          <w:b w:val="1"/>
          <w:bCs w:val="1"/>
          <w:color w:val="auto"/>
        </w:rPr>
      </w:pPr>
    </w:p>
    <w:p>
      <w:pPr>
        <w:ind w:left="660"/>
        <w:spacing w:after="0" w:line="30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Nominee Shareholders of these PRC domestic companies granted the WFOE an irrevocable and exclusive right to purchase, or designate one or more persons to purchase, their equity interest in these PRC domestic companies at the WFOE’s sole and absolute discretion to the extent permitted by the PRC laws. The purchase price is equal to the higher of: (i) the amount of registered capital actually contributed by the equity holder; or (ii) a minimum price permitted by applicable PRC laws. </w:t>
      </w:r>
      <w:r>
        <w:rPr>
          <w:rFonts w:ascii="Times New Roman" w:cs="Times New Roman" w:eastAsia="Times New Roman" w:hAnsi="Times New Roman"/>
          <w:sz w:val="18"/>
          <w:szCs w:val="18"/>
          <w:i w:val="1"/>
          <w:iCs w:val="1"/>
          <w:color w:val="auto"/>
        </w:rPr>
        <w:t>Power of Attorney Agreements</w:t>
      </w:r>
    </w:p>
    <w:p>
      <w:pPr>
        <w:spacing w:after="0" w:line="98" w:lineRule="exact"/>
        <w:rPr>
          <w:rFonts w:ascii="Times New Roman" w:cs="Times New Roman" w:eastAsia="Times New Roman" w:hAnsi="Times New Roman"/>
          <w:sz w:val="18"/>
          <w:szCs w:val="18"/>
          <w:b w:val="1"/>
          <w:bCs w:val="1"/>
          <w:color w:val="auto"/>
        </w:rPr>
      </w:pPr>
    </w:p>
    <w:p>
      <w:pPr>
        <w:ind w:left="6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Nominee Shareholders of these PRC domestic companies irrevocably authorized the WFOE to exercise the rights related to their shareholdings, including attending shareholders’ meetings and voting on their behalf on all matters, including but not limited to matters related to the transfer, pledge or disposition of their respective equity interests in these PRC domestic companies, and appointment of the executive directors and senior management of these PRC domestic companies. The WFOE has the right to appoint any individual or entity to exercise the power of attorney on its behalf. Each power of attorney will remain in effect until the shareholder ceases to hold any equity interest in these PRC domestic companies.</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Exclusive Business Cooperation Agreement</w:t>
      </w:r>
    </w:p>
    <w:p>
      <w:pPr>
        <w:spacing w:after="0" w:line="186" w:lineRule="exact"/>
        <w:rPr>
          <w:rFonts w:ascii="Times New Roman" w:cs="Times New Roman" w:eastAsia="Times New Roman" w:hAnsi="Times New Roman"/>
          <w:sz w:val="18"/>
          <w:szCs w:val="18"/>
          <w:b w:val="1"/>
          <w:bCs w:val="1"/>
          <w:color w:val="auto"/>
        </w:rPr>
      </w:pPr>
    </w:p>
    <w:p>
      <w:pPr>
        <w:ind w:left="66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WFOE entered into an agreement with these PRC domestic companies to provide these PRC domestic companies with technical, consulting and other services. In consideration of these services, these PRC domestic companies shall pay the WFOE fees equal to 100% of its net income of these PRC domestic companies, provided that the WFOE, at its sole discretion, shall have the right to adjust the rate of the service through written notice. The WFOE will exclusively own any intellectual property arising from the performance of this agreement. These PRC domestic companies have no right to terminate this agreement unless the WFOE commits gross negligence or fraud.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right="6240" w:hanging="328"/>
        <w:spacing w:after="0" w:line="532" w:lineRule="auto"/>
        <w:tabs>
          <w:tab w:leader="none" w:pos="660" w:val="left"/>
        </w:tabs>
        <w:numPr>
          <w:ilvl w:val="1"/>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Principles of consolidation (Continued) </w:t>
      </w:r>
      <w:r>
        <w:rPr>
          <w:rFonts w:ascii="Times New Roman" w:cs="Times New Roman" w:eastAsia="Times New Roman" w:hAnsi="Times New Roman"/>
          <w:sz w:val="17"/>
          <w:szCs w:val="17"/>
          <w:i w:val="1"/>
          <w:iCs w:val="1"/>
          <w:color w:val="auto"/>
        </w:rPr>
        <w:t>Risks in relation to the VIE structure</w:t>
      </w:r>
    </w:p>
    <w:p>
      <w:pPr>
        <w:spacing w:after="0" w:line="1" w:lineRule="exact"/>
        <w:rPr>
          <w:rFonts w:ascii="Times New Roman" w:cs="Times New Roman" w:eastAsia="Times New Roman" w:hAnsi="Times New Roman"/>
          <w:sz w:val="17"/>
          <w:szCs w:val="17"/>
          <w:b w:val="1"/>
          <w:bCs w:val="1"/>
          <w:color w:val="auto"/>
        </w:rPr>
      </w:pPr>
    </w:p>
    <w:p>
      <w:pPr>
        <w:ind w:left="660" w:right="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believes that the VIE arrangements are in compliance with PRC law and are legally enforceable. The equity holders of the VIEs are also shareholders of the Company and therefore have no current interest in seeking to act contrary to the contractual arrangements. However, there are certain risks related to the Contractual Agreements, which include but are not limited to the following:</w:t>
      </w:r>
    </w:p>
    <w:p>
      <w:pPr>
        <w:spacing w:after="0" w:line="179" w:lineRule="exact"/>
        <w:rPr>
          <w:rFonts w:ascii="Times New Roman" w:cs="Times New Roman" w:eastAsia="Times New Roman" w:hAnsi="Times New Roman"/>
          <w:sz w:val="17"/>
          <w:szCs w:val="17"/>
          <w:b w:val="1"/>
          <w:bCs w:val="1"/>
          <w:color w:val="auto"/>
        </w:rPr>
      </w:pPr>
    </w:p>
    <w:p>
      <w:pPr>
        <w:ind w:left="1000" w:hanging="317"/>
        <w:spacing w:after="0" w:line="261" w:lineRule="auto"/>
        <w:tabs>
          <w:tab w:leader="none" w:pos="100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application of PRC laws and regulations relating to online commerce and provision of internet content may pose effects on us. If the PRC government finds that the structure we have adopted for our business operations does not comply with PRC laws and regulations, we could be subject to severe penalties, including shut-down of our online retail channels;</w:t>
      </w:r>
    </w:p>
    <w:p>
      <w:pPr>
        <w:spacing w:after="0" w:line="179" w:lineRule="exact"/>
        <w:rPr>
          <w:rFonts w:ascii="Times New Roman" w:cs="Times New Roman" w:eastAsia="Times New Roman" w:hAnsi="Times New Roman"/>
          <w:sz w:val="18"/>
          <w:szCs w:val="18"/>
          <w:color w:val="auto"/>
        </w:rPr>
      </w:pPr>
    </w:p>
    <w:p>
      <w:pPr>
        <w:ind w:left="1000" w:hanging="317"/>
        <w:spacing w:after="0" w:line="258" w:lineRule="auto"/>
        <w:tabs>
          <w:tab w:leader="none" w:pos="100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relies on contractual arrangements with the consolidated VIEs and their respective shareholders for the operation of their business, which may not be as effective as direct ownership. If the consolidated VIEs and their respective shareholders fail to perform their obligations under these contractual arrangements, the Group may have to resort to arbitration or litigation to enforce their rights, which may be time-consuming, unpredictable, expensive, and damaging to their operations and reputation;</w:t>
      </w:r>
    </w:p>
    <w:p>
      <w:pPr>
        <w:spacing w:after="0" w:line="183" w:lineRule="exact"/>
        <w:rPr>
          <w:rFonts w:ascii="Times New Roman" w:cs="Times New Roman" w:eastAsia="Times New Roman" w:hAnsi="Times New Roman"/>
          <w:sz w:val="18"/>
          <w:szCs w:val="18"/>
          <w:color w:val="auto"/>
        </w:rPr>
      </w:pPr>
    </w:p>
    <w:p>
      <w:pPr>
        <w:ind w:left="1000" w:right="580" w:hanging="317"/>
        <w:spacing w:after="0" w:line="282" w:lineRule="auto"/>
        <w:tabs>
          <w:tab w:leader="none" w:pos="100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significant consolidated VIEs have potential conflict of interest with the Group, which may adversely affect their business;</w:t>
      </w:r>
    </w:p>
    <w:p>
      <w:pPr>
        <w:spacing w:after="0" w:line="161"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may lose the ability to use and enjoy assets held by the consolidated VIEs that are important to the operation of their business if either such entity goes bankrupt or becomes subject to a dissolution or liquidation proceeding;</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business may be significantly affected by the PRC Foreign Investment Law;</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with the consolidated VIEs may result in adverse tax consequences to the Group.</w:t>
      </w:r>
    </w:p>
    <w:p>
      <w:pPr>
        <w:spacing w:after="0" w:line="225" w:lineRule="exact"/>
        <w:rPr>
          <w:sz w:val="20"/>
          <w:szCs w:val="20"/>
          <w:color w:val="auto"/>
        </w:rPr>
      </w:pPr>
    </w:p>
    <w:p>
      <w:pPr>
        <w:ind w:left="660" w:right="320"/>
        <w:spacing w:after="0" w:line="312" w:lineRule="auto"/>
        <w:rPr>
          <w:sz w:val="20"/>
          <w:szCs w:val="20"/>
          <w:color w:val="auto"/>
        </w:rPr>
      </w:pPr>
      <w:r>
        <w:rPr>
          <w:rFonts w:ascii="Times New Roman" w:cs="Times New Roman" w:eastAsia="Times New Roman" w:hAnsi="Times New Roman"/>
          <w:sz w:val="17"/>
          <w:szCs w:val="17"/>
          <w:color w:val="auto"/>
        </w:rPr>
        <w:t>The financial information of the Group’s VIEs and VIEs’ subsidiaries, including total assets, total current liabilities, total liabilities, net revenues, total operating expenses, net income and cash flows after intercompany eliminations are as follows:</w:t>
      </w:r>
    </w:p>
    <w:p>
      <w:pPr>
        <w:spacing w:after="0" w:line="14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6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22"/>
        </w:trPr>
        <w:tc>
          <w:tcPr>
            <w:tcW w:w="6160" w:type="dxa"/>
            <w:vAlign w:val="bottom"/>
          </w:tcPr>
          <w:p>
            <w:pPr>
              <w:ind w:left="60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77"/>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97"/>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160" w:type="dxa"/>
            <w:vAlign w:val="bottom"/>
          </w:tcPr>
          <w:p>
            <w:pPr>
              <w:spacing w:after="0"/>
              <w:rPr>
                <w:sz w:val="12"/>
                <w:szCs w:val="12"/>
                <w:color w:val="auto"/>
              </w:rPr>
            </w:pPr>
          </w:p>
        </w:tc>
        <w:tc>
          <w:tcPr>
            <w:tcW w:w="78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6,504,813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5,678,365</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(899,497)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(928,299)</w:t>
            </w:r>
          </w:p>
        </w:tc>
      </w:tr>
      <w:tr>
        <w:trPr>
          <w:trHeight w:val="216"/>
        </w:trPr>
        <w:tc>
          <w:tcPr>
            <w:tcW w:w="6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(901,256)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(930,527)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 (Continued)</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Risks in relation to the VIE structure (Continued)</w:t>
      </w:r>
    </w:p>
    <w:p>
      <w:pPr>
        <w:spacing w:after="0" w:line="23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5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22"/>
        </w:trPr>
        <w:tc>
          <w:tcPr>
            <w:tcW w:w="5180" w:type="dxa"/>
            <w:vAlign w:val="bottom"/>
            <w:gridSpan w:val="2"/>
          </w:tcPr>
          <w:p>
            <w:pPr>
              <w:ind w:left="50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17"/>
              <w:spacing w:after="0" w:line="12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5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292,344</w:t>
            </w: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(35,938)</w:t>
            </w:r>
          </w:p>
        </w:tc>
      </w:tr>
      <w:tr>
        <w:trPr>
          <w:trHeight w:val="21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308,464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341,871</w:t>
            </w:r>
          </w:p>
        </w:tc>
      </w:tr>
      <w:tr>
        <w:trPr>
          <w:trHeight w:val="20"/>
        </w:trPr>
        <w:tc>
          <w:tcPr>
            <w:tcW w:w="5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r>
      <w:tr>
        <w:trPr>
          <w:trHeight w:val="358"/>
        </w:trPr>
        <w:tc>
          <w:tcPr>
            <w:tcW w:w="5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180" w:type="dxa"/>
            <w:vAlign w:val="bottom"/>
            <w:gridSpan w:val="2"/>
          </w:tcPr>
          <w:p>
            <w:pPr>
              <w:ind w:left="50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5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(399,537)</w:t>
            </w: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(505,959)</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There are no consolidated VIEs’ assets that are collateral for the VIEs’ obligations or are restricted solely to settle the VIEs’ obligations. The Company has not provided any financial support that it was not previously contractually required to provide to the VIEs.</w:t>
      </w:r>
    </w:p>
    <w:p>
      <w:pPr>
        <w:spacing w:after="0" w:line="172"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ind w:left="66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preparation of financial statements in conformity with U.S. GAAP requires management of the Group to make estimates and assumptions that affect the reported amounts of assets and liabilities and the disclosure of contingent assets and liabilities at the date of the financial statements, and reported amounts of revenues and expenses during the reporting periods. Actual results may differ from these estimates. The Group’s management made their estimates based on historical experience and various other factors believed to be reasonable under the circumstances, the results of which form the basis for making judgments about the carrying value of assets and liabilities that are not readily apparent from other sources. Significant accounting estimates reflected in the Group’s financial statements include inventory write-downs, delivery day estimate, impairment of goodwill and long-lived assets and valuation of other investments. Changes in facts and circumstances may result in revised estimates.</w:t>
      </w:r>
    </w:p>
    <w:p>
      <w:pPr>
        <w:spacing w:after="0" w:line="16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consist of cash on hand, time deposit that are not restricted as to withdrawal or use and highly liquid investments with maturity of less than three months.</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229" w:lineRule="exact"/>
        <w:rPr>
          <w:rFonts w:ascii="Times New Roman" w:cs="Times New Roman" w:eastAsia="Times New Roman" w:hAnsi="Times New Roman"/>
          <w:sz w:val="18"/>
          <w:szCs w:val="18"/>
          <w:b w:val="1"/>
          <w:bCs w:val="1"/>
          <w:color w:val="auto"/>
        </w:rPr>
      </w:pPr>
    </w:p>
    <w:p>
      <w:pPr>
        <w:ind w:left="6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restricted cash represents mainly deposits held in a designated bank account related to online payments service, security deposits of short - term loans and other restricted cash items.</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Short-term investments consist primarily of financial products offered by commercial banks in mainland China and Hong Kong with fixed maturity dates ranging from three months to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660" w:right="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Inventories consisting of products available for sales are valued at the lower of cost or net realizable value with cost determined using the weighted average cost method. Net realizable value is based on estimated selling prices in the ordinary course of business, less reasonably predictable transportation cost. Write-down is recorded when future estimated net realizable value is less than cost, which is recorded in cost of revenues in the consolidated statements of income and comprehensive income.</w:t>
      </w:r>
    </w:p>
    <w:p>
      <w:pPr>
        <w:spacing w:after="0" w:line="164"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write-down is estimated based on significant management estimates and assumptions used to determine the write-down percentages that are applied to different aging groups and assess the condition of the merchandizes within each category. In determining the write-down percentages on inventories, the Company takes into considerations of factors, such as the inventories’ aging, historical trends, forecasted demands, expected selling prices and future promotional events.</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receivables, net</w:t>
      </w:r>
    </w:p>
    <w:p>
      <w:pPr>
        <w:spacing w:after="0" w:line="229" w:lineRule="exact"/>
        <w:rPr>
          <w:rFonts w:ascii="Times New Roman" w:cs="Times New Roman" w:eastAsia="Times New Roman" w:hAnsi="Times New Roman"/>
          <w:sz w:val="18"/>
          <w:szCs w:val="18"/>
          <w:b w:val="1"/>
          <w:bCs w:val="1"/>
          <w:color w:val="auto"/>
        </w:rPr>
      </w:pPr>
    </w:p>
    <w:p>
      <w:pPr>
        <w:ind w:left="660"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receivables are mainly receivables from logistics and warehousing services rendered to the Group’s vendors, receivables from consumer financing business and related service fees, receivables from provision of rental, online promotion and advertising services and receivables from payment platform, which are stated at the historical carrying amount net of allowance for uncollectible accounts. The Group makes estimates of expected credit losses for the allowance for credit losses based on assessment of various factors, including historical experience, the age of the accounts receivable balances, probabilities of default and loss given default rates of different types of accounts receivables in each business, credit quality of certain accounts receivables, current economic conditions, reasonable and supportable forecasts of future economic conditions and other factors that may affect its ability to collect from the counterparties. Uncollectible accounts receivables are written off when a settlement is reached for an amount that is less than the outstanding historical balance or when the Group has determined that is not probable for the balance to be collected.</w:t>
      </w:r>
    </w:p>
    <w:p>
      <w:pPr>
        <w:spacing w:after="0" w:line="19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receivables expected to be settled in more than one year as of the balance sheet date are classified into other long-term assets on the consolidated balance sheets.</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receivables and prepayments, net</w:t>
      </w:r>
    </w:p>
    <w:p>
      <w:pPr>
        <w:spacing w:after="0" w:line="229" w:lineRule="exact"/>
        <w:rPr>
          <w:rFonts w:ascii="Times New Roman" w:cs="Times New Roman" w:eastAsia="Times New Roman" w:hAnsi="Times New Roman"/>
          <w:sz w:val="18"/>
          <w:szCs w:val="18"/>
          <w:b w:val="1"/>
          <w:bCs w:val="1"/>
          <w:color w:val="auto"/>
        </w:rPr>
      </w:pPr>
    </w:p>
    <w:p>
      <w:pPr>
        <w:ind w:left="66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receivables and prepayments mainly consisted of interest receivable, prepayment to suppliers related to procurement activities for goods and services, loans to third parties, value added tax (“VAT”) and enterprise income tax (“EIT”) recoverable, advances to supplier related to financing activities and others. The Group makes estimates of expected credit loss for the allowance of other receivables based on assessment of various factors, including probability of default and loss given default rate of different types of other receivables in each business, current economic conditions, reasonable and supportable forecasts of future economic conditions and other factors that may affect its ability to collect from the counterparties. Uncollectible other receivables are written off when a settlement is reached for an amount that is less than the outstanding balance or when the Group has determined that it is probable the balance will not be collected.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cost less accumulated depreciation and impairment losses. Gains or losses on dispositions of property and equipment are included in other operating income. Major additions, renewals and betterments are capitalized, while maintenance and repairs are expensed as incurred.</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and amortization are provided over the estimated useful lives of the assets using the straight-line method from the time the assets are placed in service. Estimated useful lives are as follows: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60" w:type="dxa"/>
            <w:vAlign w:val="bottom"/>
            <w:tcBorders>
              <w:bottom w:val="single" w:sz="8" w:color="CCEEFF"/>
            </w:tcBorders>
          </w:tcPr>
          <w:p>
            <w:pPr>
              <w:ind w:left="3960"/>
              <w:spacing w:after="0"/>
              <w:rPr>
                <w:sz w:val="20"/>
                <w:szCs w:val="20"/>
                <w:color w:val="auto"/>
              </w:rPr>
            </w:pPr>
            <w:r>
              <w:rPr>
                <w:rFonts w:ascii="Times New Roman" w:cs="Times New Roman" w:eastAsia="Times New Roman" w:hAnsi="Times New Roman"/>
                <w:sz w:val="14"/>
                <w:szCs w:val="14"/>
                <w:b w:val="1"/>
                <w:bCs w:val="1"/>
                <w:color w:val="auto"/>
              </w:rPr>
              <w:t>​​​</w:t>
            </w: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 to 30 years</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to 10 years</w:t>
            </w: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Shorter of lease term or the estimated useful life of</w:t>
            </w:r>
          </w:p>
        </w:tc>
      </w:tr>
      <w:tr>
        <w:trPr>
          <w:trHeight w:val="234"/>
        </w:trPr>
        <w:tc>
          <w:tcPr>
            <w:tcW w:w="4060" w:type="dxa"/>
            <w:vAlign w:val="bottom"/>
            <w:shd w:val="clear" w:color="auto" w:fill="CCEEFF"/>
          </w:tcPr>
          <w:p>
            <w:pPr>
              <w:spacing w:after="0"/>
              <w:rPr>
                <w:sz w:val="20"/>
                <w:szCs w:val="20"/>
                <w:color w:val="auto"/>
              </w:rPr>
            </w:pP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lease improvements</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 to 5 years</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3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to 10 years</w:t>
            </w:r>
          </w:p>
        </w:tc>
      </w:tr>
    </w:tbl>
    <w:p>
      <w:pPr>
        <w:spacing w:after="0" w:line="198" w:lineRule="exact"/>
        <w:rPr>
          <w:sz w:val="20"/>
          <w:szCs w:val="20"/>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Direct and incremental costs related to the construction of assets, including costs under the construction contracts, duties and tariffs, equipment installation and shipping costs, are capitalized. Management estimates the residual value of its furniture, fixtures and equipment and motor vehicles ranging from 0% to 5%.</w:t>
      </w:r>
    </w:p>
    <w:p>
      <w:pPr>
        <w:spacing w:after="0" w:line="172"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 use rights, net</w:t>
      </w:r>
    </w:p>
    <w:p>
      <w:pPr>
        <w:spacing w:after="0" w:line="229" w:lineRule="exact"/>
        <w:rPr>
          <w:rFonts w:ascii="Times New Roman" w:cs="Times New Roman" w:eastAsia="Times New Roman" w:hAnsi="Times New Roman"/>
          <w:sz w:val="18"/>
          <w:szCs w:val="18"/>
          <w:b w:val="1"/>
          <w:bCs w:val="1"/>
          <w:color w:val="auto"/>
        </w:rPr>
      </w:pPr>
    </w:p>
    <w:p>
      <w:pPr>
        <w:ind w:left="6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Land use rights represent the amounts paid and relevant costs incurred for the Group’s leases for the right of use for lands located in PRC and are recorded at purchase cost less accumulated amortization. Amortization is provided on a straight-line basis over the terms of the respective land use right agreements.</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rFonts w:ascii="Times New Roman" w:cs="Times New Roman" w:eastAsia="Times New Roman" w:hAnsi="Times New Roman"/>
          <w:sz w:val="18"/>
          <w:szCs w:val="18"/>
          <w:b w:val="1"/>
          <w:bCs w:val="1"/>
          <w:color w:val="auto"/>
        </w:rPr>
      </w:pPr>
    </w:p>
    <w:p>
      <w:pPr>
        <w:ind w:left="66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Acquired intangible assets mainly consist of trademarks and payment license acquired from third parties and from business combination.</w:t>
      </w:r>
    </w:p>
    <w:p>
      <w:pPr>
        <w:spacing w:after="0" w:line="161"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Trademarks purchased from third parties are initially recorded at cost and amortized on a straight-line basis over the estimated economic lives.</w:t>
      </w:r>
    </w:p>
    <w:p>
      <w:pPr>
        <w:spacing w:after="0" w:line="161" w:lineRule="exact"/>
        <w:rPr>
          <w:rFonts w:ascii="Times New Roman" w:cs="Times New Roman" w:eastAsia="Times New Roman" w:hAnsi="Times New Roman"/>
          <w:sz w:val="18"/>
          <w:szCs w:val="18"/>
          <w:b w:val="1"/>
          <w:bCs w:val="1"/>
          <w:color w:val="auto"/>
        </w:rPr>
      </w:pPr>
    </w:p>
    <w:p>
      <w:pPr>
        <w:ind w:left="66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Identifiable intangibles assets acquired in business combination are determined separately from goodwill based on their fair value if they satisfy either the “contractual-legal” or “separability” criterion.</w:t>
      </w:r>
    </w:p>
    <w:p>
      <w:pPr>
        <w:spacing w:after="0" w:line="161"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with a definite economic life are carried at cost less accumulated amortization. Identifiable intangibles assets are amortized using the straight-line method over their respective economic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 (Continued)</w:t>
      </w:r>
    </w:p>
    <w:p>
      <w:pPr>
        <w:spacing w:after="0" w:line="229"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acquired with indefinite lives are carried at cost less subsequent accumulated impairment loss. Cost to renew or extend the term of a recognized intangible asset is charged to profit or loss as incurred in the consolidated statements of income and comprehensive income. Estimated economic lives of the intangible assets are as follows: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4180" w:type="dxa"/>
            <w:vAlign w:val="bottom"/>
            <w:gridSpan w:val="2"/>
          </w:tcPr>
          <w:p>
            <w:pPr>
              <w:ind w:left="2580"/>
              <w:spacing w:after="0"/>
              <w:rPr>
                <w:sz w:val="20"/>
                <w:szCs w:val="20"/>
                <w:color w:val="auto"/>
              </w:rPr>
            </w:pPr>
            <w:r>
              <w:rPr>
                <w:rFonts w:ascii="Times New Roman" w:cs="Times New Roman" w:eastAsia="Times New Roman" w:hAnsi="Times New Roman"/>
                <w:sz w:val="14"/>
                <w:szCs w:val="14"/>
                <w:b w:val="1"/>
                <w:bCs w:val="1"/>
                <w:color w:val="auto"/>
              </w:rPr>
              <w:t>​​​Estimated economic life</w:t>
            </w: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6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 years</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Payment license</w:t>
            </w:r>
          </w:p>
        </w:tc>
        <w:tc>
          <w:tcPr>
            <w:tcW w:w="26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 life</w:t>
            </w:r>
          </w:p>
        </w:tc>
      </w:tr>
    </w:tbl>
    <w:p>
      <w:pPr>
        <w:spacing w:after="0" w:line="175" w:lineRule="exact"/>
        <w:rPr>
          <w:sz w:val="20"/>
          <w:szCs w:val="20"/>
          <w:color w:val="auto"/>
        </w:rPr>
      </w:pPr>
    </w:p>
    <w:p>
      <w:pPr>
        <w:ind w:left="660" w:right="4600" w:hanging="328"/>
        <w:spacing w:after="0" w:line="503" w:lineRule="auto"/>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in equity method investee and other investments </w:t>
      </w:r>
      <w:r>
        <w:rPr>
          <w:rFonts w:ascii="Times New Roman" w:cs="Times New Roman" w:eastAsia="Times New Roman" w:hAnsi="Times New Roman"/>
          <w:sz w:val="18"/>
          <w:szCs w:val="18"/>
          <w:i w:val="1"/>
          <w:iCs w:val="1"/>
          <w:color w:val="auto"/>
        </w:rPr>
        <w:t>Investments accounted under the equity method</w:t>
      </w:r>
    </w:p>
    <w:p>
      <w:pPr>
        <w:ind w:left="6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investments for which the Group has significant influence but does not own a majority equity interest or otherwise control are accounted for using the equity method. The Group adjusts the carrying amount of the investments and recognizes investment income or loss for its share of the earnings or loss of the investee after the date of investment.</w:t>
      </w:r>
    </w:p>
    <w:p>
      <w:pPr>
        <w:spacing w:after="0" w:line="175" w:lineRule="exact"/>
        <w:rPr>
          <w:rFonts w:ascii="Times New Roman" w:cs="Times New Roman" w:eastAsia="Times New Roman" w:hAnsi="Times New Roman"/>
          <w:sz w:val="18"/>
          <w:szCs w:val="18"/>
          <w:b w:val="1"/>
          <w:bCs w:val="1"/>
          <w:color w:val="auto"/>
        </w:rPr>
      </w:pPr>
    </w:p>
    <w:p>
      <w:pPr>
        <w:ind w:left="6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assesses its equity method investments for impairment by considering factors including, but not limited to, current economic and market conditions, operating performance of the entities, including current earnings trends and future cash flows, and other entity-specific information. The fair value determination, particularly for investments in privately-held entities, requires judgment to determine appropriate estimates and assumptions. Changes in these estimates and assumptions could affect the fair value assessment of the investments and determination of whether any identified impairment is other-than-temporary. If the decline in the fair value is deemed to be other-than-temporary, the carrying value of the equity method investment is written down to fair value.</w:t>
      </w:r>
    </w:p>
    <w:p>
      <w:pPr>
        <w:spacing w:after="0" w:line="18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Equity investment with readily determinable fair value</w:t>
      </w:r>
    </w:p>
    <w:p>
      <w:pPr>
        <w:spacing w:after="0" w:line="227" w:lineRule="exact"/>
        <w:rPr>
          <w:rFonts w:ascii="Times New Roman" w:cs="Times New Roman" w:eastAsia="Times New Roman" w:hAnsi="Times New Roman"/>
          <w:sz w:val="18"/>
          <w:szCs w:val="18"/>
          <w:b w:val="1"/>
          <w:bCs w:val="1"/>
          <w:color w:val="auto"/>
        </w:rPr>
      </w:pPr>
    </w:p>
    <w:p>
      <w:pPr>
        <w:ind w:left="6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equity securities that have readily determinable fair value and for which the Group does not have the ability to exercise significant influence are reported at fair value with unrealized gains and losses included in investment gain and revaluation of investments on the consolidated statements of income and comprehensive income.</w:t>
      </w:r>
    </w:p>
    <w:p>
      <w:pPr>
        <w:spacing w:after="0" w:line="17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Equity investment without readily determinable fair value</w:t>
      </w:r>
    </w:p>
    <w:p>
      <w:pPr>
        <w:spacing w:after="0" w:line="227" w:lineRule="exact"/>
        <w:rPr>
          <w:rFonts w:ascii="Times New Roman" w:cs="Times New Roman" w:eastAsia="Times New Roman" w:hAnsi="Times New Roman"/>
          <w:sz w:val="18"/>
          <w:szCs w:val="18"/>
          <w:b w:val="1"/>
          <w:bCs w:val="1"/>
          <w:color w:val="auto"/>
        </w:rPr>
      </w:pPr>
    </w:p>
    <w:p>
      <w:pPr>
        <w:ind w:left="660"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other investments comprise of investments in privately-held companies that do not have readily determinable fair value and investments in private equity funds accounted for under the practical expedient in ASC Topic 820, Fair Value Measurements and Disclosures (“ASC 820”) to estimate fair value using the net asset value per share (or its equivalent) of the investment (“NAV practical expedient”). For investments in privately-held companies that do not have readily determinable fair value, the Group applied the measurement alternatives to measure these investments at cost minus impairment, if any, adjusted up or down for observable price changes in orderly transactions for the identical or similar investment of the same issuer. The Group also makes qualitative assessment at each reporting period and if the assessment indicates that the fair value of the investment is less than the carrying value, the investment in equity securities will be written down to its fair value, with the difference between the fair value and carrying amount of the investment as an impairment loss recorded in the consolidated statements of income and comprehensive income.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right="3600" w:hanging="328"/>
        <w:spacing w:after="0" w:line="503" w:lineRule="auto"/>
        <w:tabs>
          <w:tab w:leader="none" w:pos="66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in equity method investee and other investments (Continued) </w:t>
      </w:r>
      <w:r>
        <w:rPr>
          <w:rFonts w:ascii="Times New Roman" w:cs="Times New Roman" w:eastAsia="Times New Roman" w:hAnsi="Times New Roman"/>
          <w:sz w:val="18"/>
          <w:szCs w:val="18"/>
          <w:i w:val="1"/>
          <w:iCs w:val="1"/>
          <w:color w:val="auto"/>
        </w:rPr>
        <w:t>Available-for-sale debt securities</w:t>
      </w:r>
    </w:p>
    <w:p>
      <w:pPr>
        <w:ind w:left="660" w:right="2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investments in investee’s shares which are determined to be debt securities, the Group accounts for as available-for-sale investments when they are not classified as either trading or held-to-maturity investments. Available-for-sale investments are reported at fair value, with unrealized gains and losses, net of taxes recorded in accumulated other comprehensive income or loss. Realized gains or losses on the sales of these securities are recognized in the consolidated statements of operations. The Group evaluates each individual investment periodically for impairment.</w:t>
      </w:r>
    </w:p>
    <w:p>
      <w:pPr>
        <w:spacing w:after="0" w:line="17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evaluates its long-lived assets for impairment whenever events or changes in circumstances indicate that the carrying amount of the assets may not be recoverable. When these events occur, the Group assesses the recoverability of these long-lived assets by comparing the carrying amount of the assets to the future undiscounted cash flows expected to result from the use of the assets and their eventual disposition. If the future undiscounted cash flow is less than the carrying amount of the assets, the Group recognizes an impairment writing down the carrying amount to the fair value of these assets.</w:t>
      </w:r>
    </w:p>
    <w:p>
      <w:pPr>
        <w:spacing w:after="0" w:line="183" w:lineRule="exact"/>
        <w:rPr>
          <w:rFonts w:ascii="Times New Roman" w:cs="Times New Roman" w:eastAsia="Times New Roman" w:hAnsi="Times New Roman"/>
          <w:sz w:val="18"/>
          <w:szCs w:val="18"/>
          <w:b w:val="1"/>
          <w:bCs w:val="1"/>
          <w:color w:val="auto"/>
        </w:rPr>
      </w:pPr>
    </w:p>
    <w:p>
      <w:pPr>
        <w:ind w:left="660" w:right="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evaluates intangible asset that is not subject to amortization for impairment annually. When performing the impairment analysis for such intangible assets, the Group will first perform a qualitative assessment to determine whether it is necessary to perform a quantitative impairment test. If the qualitative factors indicate that the carrying amount of the intangible assets is more likely than not to exceed the fair value, then a quantitative impairment test is performed. To perform a quantitative impairment test of intangible assets, the Group performs an assessment that consists of a comparison of the fair values of the intangible assets with their carrying amounts. The Group recognizes impairment loss on the amount by which the carrying value exceeds the fair value of the asset. After an impairment loss is recognized, the Group uses adjusted carrying amount of the long-lived assets and intangible asset as its new accounting basis.</w:t>
      </w:r>
    </w:p>
    <w:p>
      <w:pPr>
        <w:spacing w:after="0" w:line="191"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recorded long-lived assets impairment of RMB156,241, nil and nil during the years ended December 31, 2023, 2024 and 2025, respectively, in general and administrative expenses on the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rFonts w:ascii="Times New Roman" w:cs="Times New Roman" w:eastAsia="Times New Roman" w:hAnsi="Times New Roman"/>
          <w:sz w:val="18"/>
          <w:szCs w:val="18"/>
          <w:b w:val="1"/>
          <w:bCs w:val="1"/>
          <w:color w:val="auto"/>
        </w:rPr>
      </w:pPr>
    </w:p>
    <w:p>
      <w:pPr>
        <w:jc w:val="both"/>
        <w:ind w:left="660"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represents the excess of the purchase price over the fair value of the identifiable assets and liabilities acquired in a business combination. Goodwill is not amortized but is tested for impairment on an annual basis as of December 31, and in between annual tests when an event occurs or circumstances change that could indicate that the asset might be impaired.</w:t>
      </w:r>
    </w:p>
    <w:p>
      <w:pPr>
        <w:spacing w:after="0" w:line="175" w:lineRule="exact"/>
        <w:rPr>
          <w:rFonts w:ascii="Times New Roman" w:cs="Times New Roman" w:eastAsia="Times New Roman" w:hAnsi="Times New Roman"/>
          <w:sz w:val="18"/>
          <w:szCs w:val="18"/>
          <w:b w:val="1"/>
          <w:bCs w:val="1"/>
          <w:color w:val="auto"/>
        </w:rPr>
      </w:pPr>
    </w:p>
    <w:p>
      <w:pPr>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350, the Group may first assess qualitative factors to determine whether it is necessary to perform the quantitative goodwill impairment test. In the qualitative assessment, the Group considers factors such as macroeconomic conditions, industry, regulation and market considerations, overall financial performance of the reporting unit, and other specific information related to the operations, business plans and strategies of the reporting unit. Based on the qualitative assessment, if it is more likely than not that the fair value of a reporting unit is less than the carrying amount, the quantitative impairment test is performed. The management concluded that goodwill was not impaired as of December 31, 2023, 2024 and 2025, respectively.</w:t>
      </w:r>
    </w:p>
    <w:p>
      <w:pPr>
        <w:spacing w:after="0" w:line="188"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performs the quantitative impairment test by comparing the fair value of each reporting unit to its carrying amount, including goodwill. If the fair value of the reporting unit exceeds its carrying amount, goodwill is not considered to be impaired. If the carrying amount of a reporting unit exceeds its fair value, the amount by which the carrying amount exceeds the reporting unit’s fair value is recognized as impairment. Application of a goodwill impairment test requires significant management judgment, including the identification of reporting units, allocation of assets, liabilities and goodwill to reporting units, and determination of the fair value of each reporting unit.</w:t>
      </w:r>
    </w:p>
    <w:p>
      <w:pPr>
        <w:spacing w:after="0" w:line="18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and non-controlling interests</w:t>
      </w:r>
    </w:p>
    <w:p>
      <w:pPr>
        <w:spacing w:after="0" w:line="229" w:lineRule="exact"/>
        <w:rPr>
          <w:rFonts w:ascii="Times New Roman" w:cs="Times New Roman" w:eastAsia="Times New Roman" w:hAnsi="Times New Roman"/>
          <w:sz w:val="18"/>
          <w:szCs w:val="18"/>
          <w:b w:val="1"/>
          <w:bCs w:val="1"/>
          <w:color w:val="auto"/>
        </w:rPr>
      </w:pPr>
    </w:p>
    <w:p>
      <w:pPr>
        <w:ind w:left="66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whether a particular set of activities and assets is a business, the Group assesses whether the set of assets and activities acquired includes, at a minimum, an input and substantive process and whether the acquired set has the ability to produce outputs. The Group applies a ‘screen test’ that permits a simplified assessment of whether an acquired set of activities and assets is not a business. The test is met if substantially all of the fair value of the gross assets acquired is concentrated in a single identifiable asset or group of similar identifiable assets.</w:t>
      </w:r>
    </w:p>
    <w:p>
      <w:pPr>
        <w:spacing w:after="0" w:line="183" w:lineRule="exact"/>
        <w:rPr>
          <w:rFonts w:ascii="Times New Roman" w:cs="Times New Roman" w:eastAsia="Times New Roman" w:hAnsi="Times New Roman"/>
          <w:sz w:val="18"/>
          <w:szCs w:val="18"/>
          <w:b w:val="1"/>
          <w:bCs w:val="1"/>
          <w:color w:val="auto"/>
        </w:rPr>
      </w:pPr>
    </w:p>
    <w:p>
      <w:pPr>
        <w:ind w:left="660" w:right="8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Transactions in which the acquired is considered a business are accounted for as a business combination as described below. Conversely, transactions not considered as business acquisition are accounted for as acquisition of assets and liabilities. In such transactions, the cost of acquisition is allocated proportionately to the acquired identifiable assets and liabilities, based on their proportionate fair value on the acquisition date. In an assets acquisition, no goodwill is recognized on the acquisition date.</w:t>
      </w:r>
    </w:p>
    <w:p>
      <w:pPr>
        <w:spacing w:after="0" w:line="164"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accounts for its business combinations using the acquisition method of accounting in accordance with ASC 805 “Business Combinations”. The cost of an acquisition is measured as the aggregate of the acquisition date fair value of the assets transferred, liabilities incurred and equity instruments issued by the Group to the sellers and equity instruments issued. Transaction costs directly attributable to the acquisition are expensed as incurred. Identifiable assets acquired and liabilities assumed are measured separately at their fair value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w:t>
      </w:r>
    </w:p>
    <w:p>
      <w:pPr>
        <w:spacing w:after="0" w:line="191" w:lineRule="exact"/>
        <w:rPr>
          <w:rFonts w:ascii="Times New Roman" w:cs="Times New Roman" w:eastAsia="Times New Roman" w:hAnsi="Times New Roman"/>
          <w:sz w:val="18"/>
          <w:szCs w:val="18"/>
          <w:b w:val="1"/>
          <w:bCs w:val="1"/>
          <w:color w:val="auto"/>
        </w:rPr>
      </w:pPr>
    </w:p>
    <w:p>
      <w:pPr>
        <w:ind w:left="6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 business combination achieved in stages, the Group remeasures its previously held equity interest in the acquiree at the acquisition-date fair value and recognize the resulting gain or loss, if any,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and non-controlling interests (Continued)</w:t>
      </w:r>
    </w:p>
    <w:p>
      <w:pPr>
        <w:spacing w:after="0" w:line="229"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Group’s majority-owned subsidiaries and subsidiaries of VIEs, a non-controlling interest is recognized to reflect the portion of their equity which is not attributable, directly or indirectly, to the Group. Consolidated net income on the consolidated statements of income and comprehensive income includes the net income attributable to non-controlling interests. The cumulative results of operations attributable to non-controlling interests, are recorded as non-controlling interests on the Group’s consolidated balance sheets.</w:t>
      </w:r>
    </w:p>
    <w:p>
      <w:pPr>
        <w:spacing w:after="0" w:line="17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From the Perspective of Lessee</w:t>
      </w:r>
    </w:p>
    <w:p>
      <w:pPr>
        <w:spacing w:after="0" w:line="227" w:lineRule="exact"/>
        <w:rPr>
          <w:rFonts w:ascii="Times New Roman" w:cs="Times New Roman" w:eastAsia="Times New Roman" w:hAnsi="Times New Roman"/>
          <w:sz w:val="18"/>
          <w:szCs w:val="18"/>
          <w:b w:val="1"/>
          <w:bCs w:val="1"/>
          <w:color w:val="auto"/>
        </w:rPr>
      </w:pPr>
    </w:p>
    <w:p>
      <w:pPr>
        <w:ind w:left="6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office space, offline stores, apartments and certain equipment under operating leases for terms ranging from short term (under 12 months) to 16 years.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scope of ASC 842 also includes land use rights and the accounting policy is included in Note 2(k).</w:t>
      </w:r>
    </w:p>
    <w:p>
      <w:pPr>
        <w:spacing w:after="0" w:line="225" w:lineRule="exact"/>
        <w:rPr>
          <w:rFonts w:ascii="Times New Roman" w:cs="Times New Roman" w:eastAsia="Times New Roman" w:hAnsi="Times New Roman"/>
          <w:sz w:val="18"/>
          <w:szCs w:val="18"/>
          <w:b w:val="1"/>
          <w:bCs w:val="1"/>
          <w:color w:val="auto"/>
        </w:rPr>
      </w:pPr>
    </w:p>
    <w:p>
      <w:pPr>
        <w:ind w:left="66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determines whether a contract contains a lease at contract inception. A contract contains a lease if there is an identified asset and the Group has the right to control the use of the identified asset.</w:t>
      </w:r>
    </w:p>
    <w:p>
      <w:pPr>
        <w:spacing w:after="0" w:line="161"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commencement of each lease, management determines its classification as an operating or finance lease. For leases that qualify as operating leases, the Group recognizes the associated lease expense on a straight-line basis over the term of the lease beginning on the date of initial possession, which is generally when the Group enters the leased premises and begins to make improvements in preparation for its intended use.</w:t>
      </w:r>
    </w:p>
    <w:p>
      <w:pPr>
        <w:spacing w:after="0" w:line="179"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lease liability is recognized for future fixed lease payments and Right-of-use (“ROU”) assets representing the right to use the underlying asset during the lease term.</w:t>
      </w:r>
    </w:p>
    <w:p>
      <w:pPr>
        <w:spacing w:after="0" w:line="161" w:lineRule="exact"/>
        <w:rPr>
          <w:rFonts w:ascii="Times New Roman" w:cs="Times New Roman" w:eastAsia="Times New Roman" w:hAnsi="Times New Roman"/>
          <w:sz w:val="18"/>
          <w:szCs w:val="18"/>
          <w:b w:val="1"/>
          <w:bCs w:val="1"/>
          <w:color w:val="auto"/>
        </w:rPr>
      </w:pPr>
    </w:p>
    <w:p>
      <w:pPr>
        <w:jc w:val="both"/>
        <w:ind w:left="6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uses the incremental borrowing rate in determining the present value of lease payments, unless the implicit rate is readily determinable. The incremental borrowing rate is estimated on a portfolio basis and incorporating lease term, currency risk, credit risk and an adjustment for collateral. If lease terms include options to extend or terminate the lease, the ROU asset and lease liability are measured considering such options when it’s reasonably certain they could be exercised.</w:t>
      </w:r>
    </w:p>
    <w:p>
      <w:pPr>
        <w:spacing w:after="0" w:line="179" w:lineRule="exact"/>
        <w:rPr>
          <w:rFonts w:ascii="Times New Roman" w:cs="Times New Roman" w:eastAsia="Times New Roman" w:hAnsi="Times New Roman"/>
          <w:sz w:val="18"/>
          <w:szCs w:val="18"/>
          <w:b w:val="1"/>
          <w:bCs w:val="1"/>
          <w:color w:val="auto"/>
        </w:rPr>
      </w:pPr>
    </w:p>
    <w:p>
      <w:pPr>
        <w:ind w:left="6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uses the discount rate as of the commencement date of the lease, incorporating the entire lease term. Current maturities and long-term portions of operating lease liabilities are classified as operating lease liabilities, current and operating lease liabilities, non-current, respectively, in the consolidated balance sheets.</w:t>
      </w:r>
    </w:p>
    <w:p>
      <w:pPr>
        <w:spacing w:after="0" w:line="175" w:lineRule="exact"/>
        <w:rPr>
          <w:rFonts w:ascii="Times New Roman" w:cs="Times New Roman" w:eastAsia="Times New Roman" w:hAnsi="Times New Roman"/>
          <w:sz w:val="18"/>
          <w:szCs w:val="18"/>
          <w:b w:val="1"/>
          <w:bCs w:val="1"/>
          <w:color w:val="auto"/>
        </w:rPr>
      </w:pPr>
    </w:p>
    <w:p>
      <w:pPr>
        <w:ind w:left="6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ROU asset is measured at the amount of the lease liabilities with adjustments, if applicable, for lease prepayments made prior to or at lease commencement, initial direct costs incurred and lease incentives. Variable lease expenses include rent contingent payments based on percentages of revenue as defined in the lease. It is not included in lease expenses before it incurs or becomes probable.</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Repayments of operating liabilities, variable lease payments and short-term lease payments are classified in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(Continued)</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From the Perspective of Lessee (Continued)</w:t>
      </w:r>
    </w:p>
    <w:p>
      <w:pPr>
        <w:spacing w:after="0" w:line="227" w:lineRule="exact"/>
        <w:rPr>
          <w:rFonts w:ascii="Times New Roman" w:cs="Times New Roman" w:eastAsia="Times New Roman" w:hAnsi="Times New Roman"/>
          <w:sz w:val="18"/>
          <w:szCs w:val="18"/>
          <w:b w:val="1"/>
          <w:bCs w:val="1"/>
          <w:color w:val="auto"/>
        </w:rPr>
      </w:pPr>
    </w:p>
    <w:p>
      <w:pPr>
        <w:ind w:left="660" w:righ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made an accounting policy election to exempt leases with an initial term of 12 months or less from being recognized on the balance sheet. Short-term leases are not significant in comparison to the Group’s overall lease portfolio. Payments related to those leases are recognized in the consolidated statements of income and comprehensive income on a straight-line basis over the lease term.</w:t>
      </w:r>
    </w:p>
    <w:p>
      <w:pPr>
        <w:spacing w:after="0" w:line="17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From the Perspective of Lessor</w:t>
      </w:r>
    </w:p>
    <w:p>
      <w:pPr>
        <w:spacing w:after="0" w:line="227" w:lineRule="exact"/>
        <w:rPr>
          <w:rFonts w:ascii="Times New Roman" w:cs="Times New Roman" w:eastAsia="Times New Roman" w:hAnsi="Times New Roman"/>
          <w:sz w:val="18"/>
          <w:szCs w:val="18"/>
          <w:b w:val="1"/>
          <w:bCs w:val="1"/>
          <w:color w:val="auto"/>
        </w:rPr>
      </w:pPr>
    </w:p>
    <w:p>
      <w:pPr>
        <w:ind w:left="66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shop spaces in outlet malls to brand shops and warehouse to suppliers under operating leases ranging from short term (under 12 months) to 25 years.</w:t>
      </w:r>
    </w:p>
    <w:p>
      <w:pPr>
        <w:spacing w:after="0" w:line="161" w:lineRule="exact"/>
        <w:rPr>
          <w:rFonts w:ascii="Times New Roman" w:cs="Times New Roman" w:eastAsia="Times New Roman" w:hAnsi="Times New Roman"/>
          <w:sz w:val="18"/>
          <w:szCs w:val="18"/>
          <w:b w:val="1"/>
          <w:bCs w:val="1"/>
          <w:color w:val="auto"/>
        </w:rPr>
      </w:pPr>
    </w:p>
    <w:p>
      <w:pPr>
        <w:ind w:left="66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ASC 842, which permits a practical expedient that provides lessors an option not to separate lease and non-lease components if both of the following criteria are met: (1) the timing and pattern of transfer of the lease and non-lease component(s) are the same and (2) the lease component would be classified as an operating lease if it were accounted for separately. If both criteria are met, the combined component is accounted for in accordance with ASC 842 if the lease component is the predominant component of the combined component; otherwise, the combined component is accounted for in accordance with the revenue recognition standard. The Group determined that the lease arrangements meet the criteria applying the practical expedient and to account for the lease and non-lease components as a single lease component under ASC 842. The Group recognized consideration received from the leases, together with other non-lease components including common area maintenance arrangements on a straight-line basis as the lease component is the predominant component of the combined component.</w:t>
      </w:r>
    </w:p>
    <w:p>
      <w:pPr>
        <w:spacing w:after="0" w:line="194"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as a lessor, retain substantially all of the risks and benefits of ownership of the properties and continue to account for its leases as operating leases. There is no terms and conditions exist to grant the option for the tenant to purchase the properties upon termination of the lease. Renewal of the leases are negotiated before termination and penalty is imposed if the lessees early terminate the leases. The majority of the Group’s lease contracts are based on the higher of 1) fixed lease payment and 2) variable lease payment based on percentage of gross revenue generated by each tenant. The Group recognizes fixed lease income on a straight-line basis over the terms of the leases and variable lease income are recognized when incurred, both included in other revenues on the consolidated statements of income and comprehensive income. The lessees are generally required to provide the Group with a deposit, which is recorded in accrued expenses and other current liabilities on the consolidated balance sheets.</w:t>
      </w:r>
    </w:p>
    <w:p>
      <w:pPr>
        <w:spacing w:after="0" w:line="188" w:lineRule="exact"/>
        <w:rPr>
          <w:rFonts w:ascii="Times New Roman" w:cs="Times New Roman" w:eastAsia="Times New Roman" w:hAnsi="Times New Roman"/>
          <w:sz w:val="18"/>
          <w:szCs w:val="18"/>
          <w:b w:val="1"/>
          <w:bCs w:val="1"/>
          <w:color w:val="auto"/>
        </w:rPr>
      </w:pPr>
    </w:p>
    <w:p>
      <w:pPr>
        <w:jc w:val="both"/>
        <w:ind w:left="6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residual value of the Group’s lease assets represents the fair value of the leased assets at the end of the lease terms. The Group applies on industry data, historical experience, independent appraisals and the experience of the management team to value lease residuals.</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recognizes revenue when its customer obtains control of promised goods or services in an amount that reflects the consideration which the Group expects to receive in exchange for those goods or services. For revenue recognition, the Group evaluates the arrangements within the scope of Topic 606 and performs the following five steps: (1) identify the contract(s) with a customer,(2) identify the performance obligations in the contract, (3) determine the transaction price, (4) allocate the transaction price to the performance obligations in the contract and (5) recognize revenue when (or as) the entity satisfies a performance obligation.</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right="6680" w:hanging="328"/>
        <w:spacing w:after="0" w:line="532" w:lineRule="auto"/>
        <w:tabs>
          <w:tab w:leader="none" w:pos="660" w:val="left"/>
        </w:tabs>
        <w:numPr>
          <w:ilvl w:val="1"/>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(Continued) </w:t>
      </w:r>
      <w:r>
        <w:rPr>
          <w:rFonts w:ascii="Times New Roman" w:cs="Times New Roman" w:eastAsia="Times New Roman" w:hAnsi="Times New Roman"/>
          <w:sz w:val="17"/>
          <w:szCs w:val="17"/>
          <w:i w:val="1"/>
          <w:iCs w:val="1"/>
          <w:color w:val="auto"/>
        </w:rPr>
        <w:t>Product revenue recognition</w:t>
      </w:r>
    </w:p>
    <w:p>
      <w:pPr>
        <w:spacing w:after="0" w:line="1" w:lineRule="exact"/>
        <w:rPr>
          <w:rFonts w:ascii="Times New Roman" w:cs="Times New Roman" w:eastAsia="Times New Roman" w:hAnsi="Times New Roman"/>
          <w:sz w:val="17"/>
          <w:szCs w:val="17"/>
          <w:b w:val="1"/>
          <w:bCs w:val="1"/>
          <w:color w:val="auto"/>
        </w:rPr>
      </w:pPr>
    </w:p>
    <w:p>
      <w:pPr>
        <w:ind w:left="660" w:right="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majority of the Group’s revenue is derived from online product revenue. The Group generates revenue from the sale of apparel, fashion goods, cosmetics, home goods and lifestyle products and other merchandizes through its online platforms, including its internet website and cellular phone application. The Group recognizes revenue at the point of time when the goods have been received by the customers based on the delivery day estimate. The customers have the options to pay for the goods in advance or to pay over an agreed upon instalment period.</w:t>
      </w:r>
    </w:p>
    <w:p>
      <w:pPr>
        <w:spacing w:after="0" w:line="183" w:lineRule="exact"/>
        <w:rPr>
          <w:rFonts w:ascii="Times New Roman" w:cs="Times New Roman" w:eastAsia="Times New Roman" w:hAnsi="Times New Roman"/>
          <w:sz w:val="17"/>
          <w:szCs w:val="17"/>
          <w:b w:val="1"/>
          <w:bCs w:val="1"/>
          <w:color w:val="auto"/>
        </w:rPr>
      </w:pPr>
    </w:p>
    <w:p>
      <w:pPr>
        <w:ind w:left="660" w:right="3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offline product revenue and merchandizes sold through Shan Shan Outlets, the Group recognizes product revenue at the point of time when customers obtain control of the merchandises.</w:t>
      </w:r>
    </w:p>
    <w:p>
      <w:pPr>
        <w:spacing w:after="0" w:line="161" w:lineRule="exact"/>
        <w:rPr>
          <w:rFonts w:ascii="Times New Roman" w:cs="Times New Roman" w:eastAsia="Times New Roman" w:hAnsi="Times New Roman"/>
          <w:sz w:val="17"/>
          <w:szCs w:val="17"/>
          <w:b w:val="1"/>
          <w:bCs w:val="1"/>
          <w:color w:val="auto"/>
        </w:rPr>
      </w:pPr>
    </w:p>
    <w:p>
      <w:pPr>
        <w:jc w:val="both"/>
        <w:ind w:left="660" w:right="68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Revenue was recorded net of surcharges, VAT and sales tax on cross border revenue. Surcharges are sales related taxes representing the City Maintenance and Construction Tax and Education Surtax. Revenues also include fees charged to customers for shipping and handling expenses for online product revenue.</w:t>
      </w:r>
    </w:p>
    <w:p>
      <w:pPr>
        <w:spacing w:after="0" w:line="175" w:lineRule="exact"/>
        <w:rPr>
          <w:rFonts w:ascii="Times New Roman" w:cs="Times New Roman" w:eastAsia="Times New Roman" w:hAnsi="Times New Roman"/>
          <w:sz w:val="17"/>
          <w:szCs w:val="17"/>
          <w:b w:val="1"/>
          <w:bCs w:val="1"/>
          <w:color w:val="auto"/>
        </w:rPr>
      </w:pPr>
    </w:p>
    <w:p>
      <w:pPr>
        <w:ind w:left="66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To determine whether the Group is an agent or principal in the sale of products, the Group considers the following indicators: the Group is primarily responsible for fulfilling the promise to provide the specified goods or services, is subject to inventory risks before the specified goods or services have been transferred to a customer or handling the return of the goods after transfer of control to the customers, and has discretion in establishing the price of the specified goods or services. The Group records all product revenue on a gross basis except for the products sold where the Group only provides platform access for certain third-party merchants.</w:t>
      </w:r>
    </w:p>
    <w:p>
      <w:pPr>
        <w:spacing w:after="0" w:line="185"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Return rights</w:t>
      </w:r>
    </w:p>
    <w:p>
      <w:pPr>
        <w:spacing w:after="0" w:line="227" w:lineRule="exact"/>
        <w:rPr>
          <w:rFonts w:ascii="Times New Roman" w:cs="Times New Roman" w:eastAsia="Times New Roman" w:hAnsi="Times New Roman"/>
          <w:sz w:val="17"/>
          <w:szCs w:val="17"/>
          <w:b w:val="1"/>
          <w:bCs w:val="1"/>
          <w:color w:val="auto"/>
        </w:rPr>
      </w:pPr>
    </w:p>
    <w:p>
      <w:pPr>
        <w:ind w:left="660" w:right="1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offers online sales customers with an unconditional right of return for a period of 7 days upon receipt of the products. Accordingly, the Group estimates the expected customer merchandize returns, based on historical return patterns, to record the revenue reversal and a corresponding refund liability which is included in accrued expenses and other current liabilities (Note 11).</w:t>
      </w:r>
    </w:p>
    <w:p>
      <w:pPr>
        <w:spacing w:after="0" w:line="177"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Other revenues</w:t>
      </w:r>
    </w:p>
    <w:p>
      <w:pPr>
        <w:spacing w:after="0" w:line="227" w:lineRule="exact"/>
        <w:rPr>
          <w:rFonts w:ascii="Times New Roman" w:cs="Times New Roman" w:eastAsia="Times New Roman" w:hAnsi="Times New Roman"/>
          <w:sz w:val="17"/>
          <w:szCs w:val="17"/>
          <w:b w:val="1"/>
          <w:bCs w:val="1"/>
          <w:color w:val="auto"/>
        </w:rPr>
      </w:pPr>
    </w:p>
    <w:p>
      <w:pPr>
        <w:ind w:left="6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Other revenues primarily consist of product promotion and online advertising revenues, lease income mainly earned from the Shan Shan Outlets and warehouses, fees charged to third-party merchants where the Group provides platform access for sales of their products, logistic services revenue to third-parties, loan facilitation service income and membership fee income.</w:t>
      </w:r>
    </w:p>
    <w:p>
      <w:pPr>
        <w:spacing w:after="0" w:line="175" w:lineRule="exact"/>
        <w:rPr>
          <w:rFonts w:ascii="Times New Roman" w:cs="Times New Roman" w:eastAsia="Times New Roman" w:hAnsi="Times New Roman"/>
          <w:sz w:val="17"/>
          <w:szCs w:val="17"/>
          <w:b w:val="1"/>
          <w:bCs w:val="1"/>
          <w:color w:val="auto"/>
        </w:rPr>
      </w:pPr>
    </w:p>
    <w:p>
      <w:pPr>
        <w:ind w:left="660" w:right="3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provides promotion and advertising services to the merchants on its as well as third-party marketing affiliate’s website or mobile applications. The Group recognizes revenue from performance - based marketing services when the customers are charged based on effective clicks or sales, and from display the advertising services over the agreed period or based on the impressions at an agreed rate per thousand impressions.</w:t>
      </w:r>
    </w:p>
    <w:p>
      <w:pPr>
        <w:spacing w:after="0" w:line="179" w:lineRule="exact"/>
        <w:rPr>
          <w:rFonts w:ascii="Times New Roman" w:cs="Times New Roman" w:eastAsia="Times New Roman" w:hAnsi="Times New Roman"/>
          <w:sz w:val="17"/>
          <w:szCs w:val="17"/>
          <w:b w:val="1"/>
          <w:bCs w:val="1"/>
          <w:color w:val="auto"/>
        </w:rPr>
      </w:pPr>
    </w:p>
    <w:p>
      <w:pPr>
        <w:ind w:left="660" w:right="2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Shan Shan Outlets leases shop space to various brand shops and the Group leases the warehouses to the suppliers, the related revenue is accounted under ASC Topic 842—Leases. The detail information was disclosed in Note 2(q).</w:t>
      </w:r>
    </w:p>
    <w:p>
      <w:pPr>
        <w:spacing w:after="0" w:line="161" w:lineRule="exact"/>
        <w:rPr>
          <w:rFonts w:ascii="Times New Roman" w:cs="Times New Roman" w:eastAsia="Times New Roman" w:hAnsi="Times New Roman"/>
          <w:sz w:val="17"/>
          <w:szCs w:val="17"/>
          <w:b w:val="1"/>
          <w:bCs w:val="1"/>
          <w:color w:val="auto"/>
        </w:rPr>
      </w:pPr>
    </w:p>
    <w:p>
      <w:pPr>
        <w:ind w:left="660" w:right="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charges commission fees to third-party merchants for access to the Group’s platform for sales of their products. The Group is not generally responsible for fulfilling the promised contracts, as it does not bear the inventory risk, nor has the discretion in establishing prices. Upon successful sales on the Group’s online platforms, the Group charges the third-party merchants commission fees.</w:t>
      </w:r>
    </w:p>
    <w:p>
      <w:pPr>
        <w:spacing w:after="0" w:line="179"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Revenue from logistic services is recognized at the point of time upon completion of the performance of services.</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right="6700" w:hanging="328"/>
        <w:spacing w:after="0" w:line="532" w:lineRule="auto"/>
        <w:tabs>
          <w:tab w:leader="none" w:pos="660" w:val="left"/>
        </w:tabs>
        <w:numPr>
          <w:ilvl w:val="1"/>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(Continued) </w:t>
      </w:r>
      <w:r>
        <w:rPr>
          <w:rFonts w:ascii="Times New Roman" w:cs="Times New Roman" w:eastAsia="Times New Roman" w:hAnsi="Times New Roman"/>
          <w:sz w:val="17"/>
          <w:szCs w:val="17"/>
          <w:i w:val="1"/>
          <w:iCs w:val="1"/>
          <w:color w:val="auto"/>
        </w:rPr>
        <w:t>Other revenues (Continued)</w:t>
      </w:r>
    </w:p>
    <w:p>
      <w:pPr>
        <w:spacing w:after="0" w:line="1" w:lineRule="exact"/>
        <w:rPr>
          <w:rFonts w:ascii="Times New Roman" w:cs="Times New Roman" w:eastAsia="Times New Roman" w:hAnsi="Times New Roman"/>
          <w:sz w:val="17"/>
          <w:szCs w:val="17"/>
          <w:b w:val="1"/>
          <w:bCs w:val="1"/>
          <w:color w:val="auto"/>
        </w:rPr>
      </w:pPr>
    </w:p>
    <w:p>
      <w:pPr>
        <w:ind w:left="660" w:right="6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connection with the Group’s product revenues, certain approved customers have the option to pay for the goods over an installment period up to 24 months. Significant financing component exists in sales paid by installments. The Group elected the practical expedient not to adjust the promised amount of consideration for the effects of a significant financing component for all instances in which the period between payment and transfer of the goods will be one year or less. For the contracts with installment period over 12 months, the transaction price is adjusted for the effects of the time value of money which is equivalent to the amounts charged in separate financing transaction between the Group and its customers at contract inception. The revenues earned from the financing service is recognized over the installment period and included in other revenues.</w:t>
      </w:r>
    </w:p>
    <w:p>
      <w:pPr>
        <w:spacing w:after="0" w:line="188" w:lineRule="exact"/>
        <w:rPr>
          <w:rFonts w:ascii="Times New Roman" w:cs="Times New Roman" w:eastAsia="Times New Roman" w:hAnsi="Times New Roman"/>
          <w:sz w:val="17"/>
          <w:szCs w:val="17"/>
          <w:b w:val="1"/>
          <w:bCs w:val="1"/>
          <w:color w:val="auto"/>
        </w:rPr>
      </w:pPr>
    </w:p>
    <w:p>
      <w:pPr>
        <w:ind w:left="660" w:right="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cooperates with banks and third-party consumer financing companies to provide consumer loans to qualified customers, and is entitled to service channel fees calculated as a percentage of the loan amounts. Revenue is recognized when the banks or third-party consumer financing companies grant customers the loans. The Group is not responsible for any activity post loan originations nor does it provide any guarantee for the loans. The Group considers its performance obligation is completed upon the loan origination and the service fee is recognized as revenue at that point in time.</w:t>
      </w:r>
    </w:p>
    <w:p>
      <w:pPr>
        <w:spacing w:after="0" w:line="183" w:lineRule="exact"/>
        <w:rPr>
          <w:rFonts w:ascii="Times New Roman" w:cs="Times New Roman" w:eastAsia="Times New Roman" w:hAnsi="Times New Roman"/>
          <w:sz w:val="17"/>
          <w:szCs w:val="17"/>
          <w:b w:val="1"/>
          <w:bCs w:val="1"/>
          <w:color w:val="auto"/>
        </w:rPr>
      </w:pPr>
    </w:p>
    <w:p>
      <w:pPr>
        <w:ind w:left="660" w:right="1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has a paid online membership program called Super VIP, which allows its members to enjoy certain privileges. The revenue related to the membership fee is recognized on a straight-line basis over the period of the membership.</w:t>
      </w:r>
    </w:p>
    <w:p>
      <w:pPr>
        <w:spacing w:after="0" w:line="159"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Membership reward program</w:t>
      </w:r>
    </w:p>
    <w:p>
      <w:pPr>
        <w:spacing w:after="0" w:line="227" w:lineRule="exact"/>
        <w:rPr>
          <w:rFonts w:ascii="Times New Roman" w:cs="Times New Roman" w:eastAsia="Times New Roman" w:hAnsi="Times New Roman"/>
          <w:sz w:val="17"/>
          <w:szCs w:val="17"/>
          <w:b w:val="1"/>
          <w:bCs w:val="1"/>
          <w:color w:val="auto"/>
        </w:rPr>
      </w:pPr>
    </w:p>
    <w:p>
      <w:pPr>
        <w:ind w:left="660" w:right="2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Shan Shan Outlets grant reward points to customers when they purchased goods from shops in outlets operated by the Group. These reward points can be used as credits against payment on future purchases.</w:t>
      </w:r>
    </w:p>
    <w:p>
      <w:pPr>
        <w:spacing w:after="0" w:line="161" w:lineRule="exact"/>
        <w:rPr>
          <w:rFonts w:ascii="Times New Roman" w:cs="Times New Roman" w:eastAsia="Times New Roman" w:hAnsi="Times New Roman"/>
          <w:sz w:val="17"/>
          <w:szCs w:val="17"/>
          <w:b w:val="1"/>
          <w:bCs w:val="1"/>
          <w:color w:val="auto"/>
        </w:rPr>
      </w:pPr>
    </w:p>
    <w:p>
      <w:pPr>
        <w:ind w:left="6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Shan Shan Outlets considers reward points derived from its own shops in the outlets as a separate performance obligation and allocates the transaction price proportionally between the product sold and reward points granted on a relative standalone selling price basis taking into consideration of the likelihood of future redemption based on historical experience and the equivalent value per reward points when redeemed. The related reward points from its own shops are considered as a contract liability which is not material to the Group’s consolidated financial statements as a whole.</w:t>
      </w:r>
    </w:p>
    <w:p>
      <w:pPr>
        <w:spacing w:after="0" w:line="18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rFonts w:ascii="Times New Roman" w:cs="Times New Roman" w:eastAsia="Times New Roman" w:hAnsi="Times New Roman"/>
          <w:sz w:val="17"/>
          <w:szCs w:val="17"/>
          <w:b w:val="1"/>
          <w:bCs w:val="1"/>
          <w:color w:val="auto"/>
        </w:rPr>
      </w:pPr>
    </w:p>
    <w:p>
      <w:pPr>
        <w:ind w:left="660" w:right="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Remaining performance obligations represent the transaction price allocated to unsatisfied or partially unsatisfied performance obligations. As of December 31, 2024 and 2025, the Group had unfulfilled performance obligations for products to be passed to customers of RMB1,801.2 million and RMB1,673.1 million, and performance obligations related to Super VIP membership fee and reward points of RMB394.1 million and RMB422.6 million, respectively. The Group expects revenue to be recognized for the remaining performance obligations within the next year. The remaining performance obligations are accounted under advance from customers and deferred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right="6700" w:hanging="328"/>
        <w:spacing w:after="0" w:line="532" w:lineRule="auto"/>
        <w:tabs>
          <w:tab w:leader="none" w:pos="660" w:val="left"/>
        </w:tabs>
        <w:numPr>
          <w:ilvl w:val="1"/>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(Continued) </w:t>
      </w:r>
      <w:r>
        <w:rPr>
          <w:rFonts w:ascii="Times New Roman" w:cs="Times New Roman" w:eastAsia="Times New Roman" w:hAnsi="Times New Roman"/>
          <w:sz w:val="17"/>
          <w:szCs w:val="17"/>
          <w:i w:val="1"/>
          <w:iCs w:val="1"/>
          <w:color w:val="auto"/>
        </w:rPr>
        <w:t>Disaggregation of revenue</w:t>
      </w:r>
    </w:p>
    <w:p>
      <w:pPr>
        <w:spacing w:after="0" w:line="1" w:lineRule="exact"/>
        <w:rPr>
          <w:rFonts w:ascii="Times New Roman" w:cs="Times New Roman" w:eastAsia="Times New Roman" w:hAnsi="Times New Roman"/>
          <w:sz w:val="17"/>
          <w:szCs w:val="17"/>
          <w:b w:val="1"/>
          <w:bCs w:val="1"/>
          <w:color w:val="auto"/>
        </w:rPr>
      </w:pPr>
    </w:p>
    <w:p>
      <w:pPr>
        <w:ind w:left="66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disaggregates its product revenue from different types of contracts with customers by nature, as the Group believes it best depicts the nature, amount, timing and uncertainty of its revenue and cash flows. The Group disaggregates its other revenue from different types of contracts with customers by service income and lease income, as the Group believes it best depicts the nature, amount, timing and uncertainty of its revenue and cash flows. Service income mainly relate to revenues from product promotion and online advertising revenues, fees charged to third-party merchants which the Group provides platform access for sales of their products, revenue from third-party logistics services, loan facilitation service income and membership fee income. Lease incomes are mainly earned from the Shan Shan Outlets. The amounts of service income and lease income were RMB4.94 billion and RMB2.30 billion, RMB4.96 billion and RMB2.73 billion, RMB5.12 billion and RMB3.40 billion, for the years ended December 31, 2023, 2024 and 2025, respectively.</w:t>
      </w:r>
    </w:p>
    <w:p>
      <w:pPr>
        <w:spacing w:after="0" w:line="188"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sets forth the disaggregation of revenue:</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gridSpan w:val="2"/>
          </w:tcPr>
          <w:p>
            <w:pPr>
              <w:ind w:left="4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2"/>
                <w:szCs w:val="12"/>
                <w:color w:val="auto"/>
              </w:rPr>
            </w:pPr>
          </w:p>
        </w:tc>
        <w:tc>
          <w:tcPr>
            <w:tcW w:w="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9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Womenswear and menswear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37,628,436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34,825,405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32,332,442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Shoes and bags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9,384,021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8,301,476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Skincare and cosmetics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15,669,280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14,015,643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Sportswear and sporting goods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13,870,228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13,748,205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 goods and other lifestyle products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8,620,465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8,553,989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Baby and children products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9,606,808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9,032,306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Supermarket and other products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10,834,247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12,257,526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105,613,485</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100,734,550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97,398,826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7,242,535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7,686,282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8,520,720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112,856,020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108,420,832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105,919,546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Group’s revenues recognized at a point in time or over time:</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20" w:type="dxa"/>
            <w:vAlign w:val="bottom"/>
            <w:gridSpan w:val="2"/>
          </w:tcPr>
          <w:p>
            <w:pPr>
              <w:ind w:left="4500"/>
              <w:spacing w:after="0"/>
              <w:rPr>
                <w:sz w:val="20"/>
                <w:szCs w:val="20"/>
                <w:color w:val="auto"/>
              </w:rPr>
            </w:pPr>
            <w:r>
              <w:rPr>
                <w:rFonts w:ascii="Times New Roman" w:cs="Times New Roman" w:eastAsia="Times New Roman" w:hAnsi="Times New Roman"/>
                <w:sz w:val="14"/>
                <w:szCs w:val="14"/>
                <w:b w:val="1"/>
                <w:bCs w:val="1"/>
                <w:color w:val="auto"/>
              </w:rPr>
              <w:t>​​​</w:t>
            </w:r>
          </w:p>
        </w:tc>
        <w:tc>
          <w:tcPr>
            <w:tcW w:w="33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5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5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108,123,465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103,076,990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99,718,096</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recognized over time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4,732,555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5,343,842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6,201,450</w:t>
            </w:r>
          </w:p>
        </w:tc>
      </w:tr>
      <w:tr>
        <w:trPr>
          <w:trHeight w:val="21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112,856,020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108,420,832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105,919,546</w:t>
            </w:r>
          </w:p>
        </w:tc>
      </w:tr>
      <w:tr>
        <w:trPr>
          <w:trHeight w:val="20"/>
        </w:trPr>
        <w:tc>
          <w:tcPr>
            <w:tcW w:w="4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The estimated returns of inventory remained in-transit were recorded as contract assets included in inventory. The balance of contract assets is RMB360.5 million and RMB318.5 million as of December 31, 2024 and 2025, respectively.</w:t>
      </w:r>
    </w:p>
    <w:p>
      <w:pPr>
        <w:spacing w:after="0" w:line="162"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Group’s contract liabilities mainly consist of prepayments from customers, Super VIP membership fee, reward points and refund liability related to estimated return. As of December 31, 2024 and 2025, the balances of the contract liabilities are RMB2,706.0 million and RMB2,564.1 million, included in advances from customers, deferred income and accrued expenses and other current liabilities.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right="6720" w:hanging="328"/>
        <w:spacing w:after="0" w:line="532" w:lineRule="auto"/>
        <w:tabs>
          <w:tab w:leader="none" w:pos="660" w:val="left"/>
        </w:tabs>
        <w:numPr>
          <w:ilvl w:val="1"/>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(Continued) </w:t>
      </w:r>
      <w:r>
        <w:rPr>
          <w:rFonts w:ascii="Times New Roman" w:cs="Times New Roman" w:eastAsia="Times New Roman" w:hAnsi="Times New Roman"/>
          <w:sz w:val="17"/>
          <w:szCs w:val="17"/>
          <w:i w:val="1"/>
          <w:iCs w:val="1"/>
          <w:color w:val="auto"/>
        </w:rPr>
        <w:t>Contract balances (Continued)</w:t>
      </w:r>
    </w:p>
    <w:p>
      <w:pPr>
        <w:spacing w:after="0" w:line="1" w:lineRule="exact"/>
        <w:rPr>
          <w:rFonts w:ascii="Times New Roman" w:cs="Times New Roman" w:eastAsia="Times New Roman" w:hAnsi="Times New Roman"/>
          <w:sz w:val="17"/>
          <w:szCs w:val="17"/>
          <w:b w:val="1"/>
          <w:bCs w:val="1"/>
          <w:color w:val="auto"/>
        </w:rPr>
      </w:pPr>
    </w:p>
    <w:p>
      <w:pPr>
        <w:ind w:left="660"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At beginning of the years ended December 31, 2023, 2024 and 2025, contract liabilities, excluding refund liabilities related to estimated returns amounting to RMB339.8 million, RMB494.8 million and RMB510.7 million, respectively, were recognized as revenue during the years, and contract liabilities excluding refund liabilities related to estimated returns of RMB468.5 million as of December 31, 2025, are expected to be realized in the following financial year.</w:t>
      </w:r>
    </w:p>
    <w:p>
      <w:pPr>
        <w:spacing w:after="0" w:line="175" w:lineRule="exact"/>
        <w:rPr>
          <w:rFonts w:ascii="Times New Roman" w:cs="Times New Roman" w:eastAsia="Times New Roman" w:hAnsi="Times New Roman"/>
          <w:sz w:val="17"/>
          <w:szCs w:val="17"/>
          <w:b w:val="1"/>
          <w:bCs w:val="1"/>
          <w:color w:val="auto"/>
        </w:rPr>
      </w:pPr>
    </w:p>
    <w:p>
      <w:pPr>
        <w:ind w:left="660" w:hanging="328"/>
        <w:spacing w:after="0"/>
        <w:tabs>
          <w:tab w:leader="none" w:pos="66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w:t>
      </w:r>
    </w:p>
    <w:p>
      <w:pPr>
        <w:spacing w:after="0" w:line="229" w:lineRule="exact"/>
        <w:rPr>
          <w:rFonts w:ascii="Times New Roman" w:cs="Times New Roman" w:eastAsia="Times New Roman" w:hAnsi="Times New Roman"/>
          <w:sz w:val="18"/>
          <w:szCs w:val="18"/>
          <w:b w:val="1"/>
          <w:bCs w:val="1"/>
          <w:color w:val="auto"/>
        </w:rPr>
      </w:pPr>
    </w:p>
    <w:p>
      <w:pPr>
        <w:ind w:left="66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revenues consists primarily of cost of merchandizes sold, inventory write-down, cost related to logistics revenue, cost related to generating promotion and advertising revenue, occupancy cost for retail shops including rental cost, maintenance costs, depreciation expenses and utility cost of the outlets. Cost of revenues does not include fulfillment expenses and on-line payment processing fee, therefore the Group’s cost of revenues may not be comparable to other companies which include such expenses in their cost of revenues.</w:t>
      </w:r>
    </w:p>
    <w:p>
      <w:pPr>
        <w:spacing w:after="0" w:line="17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Fulfilment expenses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Fulfillment expenses primarily consist of shipping and handling expenses, packaging expenses, depreciation and amortization of warehouse and logistics equipment, compensation and benefits of logistics and client service cost.</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Marketing expenses</w:t>
      </w:r>
    </w:p>
    <w:p>
      <w:pPr>
        <w:spacing w:after="0" w:line="229" w:lineRule="exact"/>
        <w:rPr>
          <w:rFonts w:ascii="Times New Roman" w:cs="Times New Roman" w:eastAsia="Times New Roman" w:hAnsi="Times New Roman"/>
          <w:sz w:val="18"/>
          <w:szCs w:val="18"/>
          <w:b w:val="1"/>
          <w:bCs w:val="1"/>
          <w:color w:val="auto"/>
        </w:rPr>
      </w:pPr>
    </w:p>
    <w:p>
      <w:pPr>
        <w:ind w:left="660"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Marketing expenses primarily represent advertising expenses incurred in connection with customer acquisition and brand promotional activities, as well as compensation and benefits of marketing staff.</w:t>
      </w:r>
    </w:p>
    <w:p>
      <w:pPr>
        <w:spacing w:after="0" w:line="161" w:lineRule="exact"/>
        <w:rPr>
          <w:rFonts w:ascii="Times New Roman" w:cs="Times New Roman" w:eastAsia="Times New Roman" w:hAnsi="Times New Roman"/>
          <w:sz w:val="18"/>
          <w:szCs w:val="18"/>
          <w:b w:val="1"/>
          <w:bCs w:val="1"/>
          <w:color w:val="auto"/>
        </w:rPr>
      </w:pPr>
    </w:p>
    <w:p>
      <w:pPr>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Advertising expenses are charged to the consolidated statements of income and comprehensive income in the period incurred. The amounts of advertising expenses incurred were RMB1.82 billion, RMB1.97 billion and RMB2.01 billion for the years ended December 31, 2023, 2024 and 2025, respectively.</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 and content expenses</w:t>
      </w:r>
    </w:p>
    <w:p>
      <w:pPr>
        <w:spacing w:after="0" w:line="229"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Technology and content expenses primarily consist of compensation and benefits of IT personnel, depreciation of IT equipment, telecommunications expenses, and expenses incurred in creating content for sales events on retail channels.</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rFonts w:ascii="Times New Roman" w:cs="Times New Roman" w:eastAsia="Times New Roman" w:hAnsi="Times New Roman"/>
          <w:sz w:val="18"/>
          <w:szCs w:val="18"/>
          <w:b w:val="1"/>
          <w:bCs w:val="1"/>
          <w:color w:val="auto"/>
        </w:rPr>
      </w:pPr>
    </w:p>
    <w:p>
      <w:pPr>
        <w:ind w:left="66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and administrative expenses primarily consist of compensation and benefits of headquarters and administrative staff, payment processing fees, depreciations, rental expenses, and other administrative and overhead expenses.</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grants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Government grants consist of grants related to depreciable assets and other cash subsidies received by the Company’s subsidiaries in the PRC from local governments. Government grants related to depreciable assets are recognized in statement of income over the periods in which depreciation expense on those assets is recognized, corresponding to the useful lives of the assets. Other subsidies received as incentives for conducting business in certain local districts with no performance obligation or other restriction as to the use are recognized when cash is received. RMB495,078, RMB635,673 and RMB704,602 of government grants recognized were included in other operating income for the years ended December 31, 2023, 2024 and 2025, respectively.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transactions and translations</w:t>
      </w:r>
    </w:p>
    <w:p>
      <w:pPr>
        <w:spacing w:after="0" w:line="229" w:lineRule="exact"/>
        <w:rPr>
          <w:rFonts w:ascii="Times New Roman" w:cs="Times New Roman" w:eastAsia="Times New Roman" w:hAnsi="Times New Roman"/>
          <w:sz w:val="18"/>
          <w:szCs w:val="18"/>
          <w:b w:val="1"/>
          <w:bCs w:val="1"/>
          <w:color w:val="auto"/>
        </w:rPr>
      </w:pPr>
    </w:p>
    <w:p>
      <w:pPr>
        <w:ind w:left="6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functional currency of the Company, Vipshop International Holdings Limited and other offshores subsidiaries is the United States dollar (“US dollar”). The functional currency of all the other significant subsidiaries and the VIEs is RMB. Foreign currency denominated monetary assets and liabilities are translated into the functional currency at the prevailing exchange rates as of the balance sheet date. Transactions in foreign currencies are translated into the functional currency at the applicable rates of exchange prevailing on the date transactions occurred. Transaction gains and losses are recognized in the consolidated statements of income and comprehensive income.</w:t>
      </w:r>
    </w:p>
    <w:p>
      <w:pPr>
        <w:spacing w:after="0" w:line="187" w:lineRule="exact"/>
        <w:rPr>
          <w:rFonts w:ascii="Times New Roman" w:cs="Times New Roman" w:eastAsia="Times New Roman" w:hAnsi="Times New Roman"/>
          <w:sz w:val="18"/>
          <w:szCs w:val="18"/>
          <w:b w:val="1"/>
          <w:bCs w:val="1"/>
          <w:color w:val="auto"/>
        </w:rPr>
      </w:pPr>
    </w:p>
    <w:p>
      <w:pPr>
        <w:ind w:left="66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RMB is not a freely convertible currency. The PRC State Administration for Foreign Exchange, under the authority of the People’s Bank of China, controls the conversion of RMB into foreign currencies.</w:t>
      </w:r>
    </w:p>
    <w:p>
      <w:pPr>
        <w:spacing w:after="0" w:line="161" w:lineRule="exact"/>
        <w:rPr>
          <w:rFonts w:ascii="Times New Roman" w:cs="Times New Roman" w:eastAsia="Times New Roman" w:hAnsi="Times New Roman"/>
          <w:sz w:val="18"/>
          <w:szCs w:val="18"/>
          <w:b w:val="1"/>
          <w:bCs w:val="1"/>
          <w:color w:val="auto"/>
        </w:rPr>
      </w:pPr>
    </w:p>
    <w:p>
      <w:pPr>
        <w:ind w:left="6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value of RMB is subject to changes by central government policies and international economic and political developments affecting supply and demand in the China foreign exchange trading system. The Group’s cash, cash equivalents and restricted cash denominated in RMB amounted to RMB23.31 billion and RMB21.74 billion as at December 31, 2024 and 2025, respectively.</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Convenience translation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Translations of balances in the consolidated balance sheets, consolidated statements of income and comprehensive income, and consolidated statements of cash flows from RMB into US dollar as of and for the year ended December 31, 2025 are solely for the convenience of the readers and were calculated at the rate of RMB6.9931 to US$1.00, representing the noon buying rate set forth in the H.10 statistical release of the U.S. Federal Reserve Board on December 31, 2025. No representation is made that the RMB amounts could have been, or could be, converted, realized or settled into US dollar at that rate on December 31, 2025.</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(aa)Taxation</w:t>
      </w:r>
    </w:p>
    <w:p>
      <w:pPr>
        <w:spacing w:after="0" w:line="229" w:lineRule="exact"/>
        <w:rPr>
          <w:sz w:val="20"/>
          <w:szCs w:val="20"/>
          <w:color w:val="auto"/>
        </w:rPr>
      </w:pPr>
    </w:p>
    <w:p>
      <w:pPr>
        <w:ind w:left="660" w:right="40"/>
        <w:spacing w:after="0" w:line="254" w:lineRule="auto"/>
        <w:rPr>
          <w:sz w:val="20"/>
          <w:szCs w:val="20"/>
          <w:color w:val="auto"/>
        </w:rPr>
      </w:pPr>
      <w:r>
        <w:rPr>
          <w:rFonts w:ascii="Times New Roman" w:cs="Times New Roman" w:eastAsia="Times New Roman" w:hAnsi="Times New Roman"/>
          <w:sz w:val="18"/>
          <w:szCs w:val="18"/>
          <w:color w:val="auto"/>
        </w:rPr>
        <w:t>Current income taxes are provided for in accordance with the laws of the relevant taxing authorities. As part of the process of preparing the consolidated financial statements, the Group is required to estimate its income taxes in each of the jurisdictions in which it operates. The Group accounts for income taxes using the liability method. Under this method, deferred income taxes are recognized for tax consequences in future years of differences between the tax bases of assets and liabilities and their reported amounts in the consolidated financial statements at the end of each reporting period and tax loss carry forwards. Deferred tax assets and liabilities are measured using enacted tax rates applicable for the differences that are expected to affect taxable income. Deferred tax assets are reduced by a valuation allowance when, based upon the weight of available evidence, it is more likely than not that some portion or all of the deferred tax assets will not be realized.</w:t>
      </w:r>
    </w:p>
    <w:p>
      <w:pPr>
        <w:spacing w:after="0" w:line="192" w:lineRule="exact"/>
        <w:rPr>
          <w:sz w:val="20"/>
          <w:szCs w:val="20"/>
          <w:color w:val="auto"/>
        </w:rPr>
      </w:pPr>
    </w:p>
    <w:p>
      <w:pPr>
        <w:ind w:left="660" w:right="520"/>
        <w:spacing w:after="0" w:line="266" w:lineRule="auto"/>
        <w:rPr>
          <w:sz w:val="20"/>
          <w:szCs w:val="20"/>
          <w:color w:val="auto"/>
        </w:rPr>
      </w:pPr>
      <w:r>
        <w:rPr>
          <w:rFonts w:ascii="Times New Roman" w:cs="Times New Roman" w:eastAsia="Times New Roman" w:hAnsi="Times New Roman"/>
          <w:sz w:val="18"/>
          <w:szCs w:val="18"/>
          <w:color w:val="auto"/>
        </w:rPr>
        <w:t>Deferred tax is recognized on the undistributed earnings of subsidiaries, which are presumed to be distributed to parent companies, unless there is sufficient evidence that the subsidiaries have invested or will invest the undistributed earnings permanently in the domestic jurisdictions.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(ab)Value added taxes</w:t>
      </w:r>
    </w:p>
    <w:p>
      <w:pPr>
        <w:spacing w:after="0" w:line="229"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The Group’s PRC entities are subject to VAT at rates ranged from 0% to 13%, on proceeds received from customers, and are entitled to a deduction for VAT already paid or borne on the goods purchased and utilized in the production of goods that have generated the gross sales proceeds and service delivered. The VAT balance is recorded either in other current liabilities or other current receivables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right="5320" w:hanging="332"/>
        <w:spacing w:after="0" w:line="503" w:lineRule="auto"/>
        <w:tabs>
          <w:tab w:leader="none" w:pos="3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(ac) Comprehensive income (loss)</w:t>
      </w: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to include all changes in equity except those resulting from investments by owners and distributions to owners. For the periods presented, comprehensive income (loss) is reported in the consolidated statements of income and comprehensive income, and other comprehensive income (loss) includes foreign currency translation adjustments and changes in fair value of debt securities derived from the share of (loss) income of an equity method investee.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(ad)Concentration and risks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Concentration of customers and suppliers</w:t>
      </w:r>
    </w:p>
    <w:p>
      <w:pPr>
        <w:spacing w:after="0" w:line="227"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There are no customers or suppliers from whom revenues or purchases individually represent greater than 10% of the total revenues or the total purchases of the Group for the years ended December 31, 2023, 2024 and 2025.</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ind w:left="660" w:right="2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cash and cash equivalents, restricted cash, accounts receivables, net, short-term investments, amounts due from related parties, net and other receivables, net.</w:t>
      </w:r>
    </w:p>
    <w:p>
      <w:pPr>
        <w:spacing w:after="0" w:line="176"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The Group places its cash and cash equivalents, restricted cash and short-term investments with financial institutions with high-credit ratings and quality. Accounts receivables primarily consist of receivables from logistics and warehousing services rendered to the Group’s vendors, receivables from consumer financing business and receivables from payment platform. Other receivables mainly consisted of interest receivable, loans to third parties and advances to suppliers related to financing activities. Amounts due from related parties are loans, deposits and prepayments related to purchases of goods and services from the entities controlled by shareholders of the Group. There is no significant credit risk concentrated with any specific end customers under consumer financing, microcredit loans or suppliers under financing service arrangements. The risk with respect to other items under account and other receivables and amount due from related parties is mitigated by credit evaluations the Group performs on its customers or suppliers and its ongoing monitoring processes of outstanding balances.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(ae) Fair value of financial instruments</w:t>
      </w:r>
    </w:p>
    <w:p>
      <w:pPr>
        <w:spacing w:after="0" w:line="229"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8"/>
          <w:szCs w:val="18"/>
          <w:color w:val="auto"/>
        </w:rPr>
        <w:t>Fair value is considered to be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 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right="5300" w:hanging="332"/>
        <w:spacing w:after="0" w:line="507" w:lineRule="auto"/>
        <w:tabs>
          <w:tab w:leader="none" w:pos="34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(Continued) (ae) Fair value of financial instruments (Continued)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levels of inputs may be used to measure fair value include: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1 Applies to assets or liabilities for which there are quoted prices in active markets for identical assets or liabilities.</w:t>
      </w:r>
    </w:p>
    <w:p>
      <w:pPr>
        <w:spacing w:after="0" w:line="184" w:lineRule="exact"/>
        <w:rPr>
          <w:sz w:val="20"/>
          <w:szCs w:val="20"/>
          <w:color w:val="auto"/>
        </w:rPr>
      </w:pPr>
    </w:p>
    <w:p>
      <w:pPr>
        <w:ind w:left="1300" w:hanging="647"/>
        <w:spacing w:after="0" w:line="258" w:lineRule="auto"/>
        <w:rPr>
          <w:sz w:val="20"/>
          <w:szCs w:val="20"/>
          <w:color w:val="auto"/>
        </w:rPr>
      </w:pPr>
      <w:r>
        <w:rPr>
          <w:rFonts w:ascii="Times New Roman" w:cs="Times New Roman" w:eastAsia="Times New Roman" w:hAnsi="Times New Roman"/>
          <w:sz w:val="18"/>
          <w:szCs w:val="18"/>
          <w:color w:val="auto"/>
        </w:rPr>
        <w:t>Level</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42" w:lineRule="exact"/>
        <w:rPr>
          <w:sz w:val="20"/>
          <w:szCs w:val="20"/>
          <w:color w:val="auto"/>
        </w:rPr>
      </w:pPr>
    </w:p>
    <w:p>
      <w:pPr>
        <w:ind w:left="1300" w:right="40" w:hanging="647"/>
        <w:spacing w:after="0" w:line="281" w:lineRule="auto"/>
        <w:rPr>
          <w:sz w:val="20"/>
          <w:szCs w:val="20"/>
          <w:color w:val="auto"/>
        </w:rPr>
      </w:pPr>
      <w:r>
        <w:rPr>
          <w:rFonts w:ascii="Times New Roman" w:cs="Times New Roman" w:eastAsia="Times New Roman" w:hAnsi="Times New Roman"/>
          <w:sz w:val="18"/>
          <w:szCs w:val="18"/>
          <w:color w:val="auto"/>
        </w:rPr>
        <w:t>Level</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3 Applies to assets or liabilities for which there are unobservable inputs to the valuation methodology that are significant to the measurement of the fair value of the assets or liabilities.</w:t>
      </w:r>
    </w:p>
    <w:p>
      <w:pPr>
        <w:spacing w:after="0" w:line="122"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The Group’s short-term financial instruments include cash and cash equivalents, restricted cash, short-term investments, receivables, payables, amounts due from related parties, other current liabilities, amounts due to related parties and short-term loan. The carrying amounts of these short-term financial instruments approximate their fair value due to the short-term maturity of these instruments. The carrying amounts of the long-term receivables approximate their fair value as the interest rates are comparable to the prevailing interest rates in the market.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measures its equity investment with readily determinable fair value at its quoted price in active markets.</w:t>
      </w:r>
    </w:p>
    <w:p>
      <w:pPr>
        <w:spacing w:after="0" w:line="185" w:lineRule="exact"/>
        <w:rPr>
          <w:sz w:val="20"/>
          <w:szCs w:val="20"/>
          <w:color w:val="auto"/>
        </w:rPr>
      </w:pPr>
    </w:p>
    <w:p>
      <w:pPr>
        <w:ind w:left="660" w:right="120"/>
        <w:spacing w:after="0" w:line="256" w:lineRule="auto"/>
        <w:rPr>
          <w:sz w:val="20"/>
          <w:szCs w:val="20"/>
          <w:color w:val="auto"/>
        </w:rPr>
      </w:pPr>
      <w:r>
        <w:rPr>
          <w:rFonts w:ascii="Times New Roman" w:cs="Times New Roman" w:eastAsia="Times New Roman" w:hAnsi="Times New Roman"/>
          <w:sz w:val="18"/>
          <w:szCs w:val="18"/>
          <w:color w:val="auto"/>
        </w:rPr>
        <w:t>The Group measures its available-for-sale debt securities at fair value based on the recent transactions or based on the market approach when no recent transactions are available. Recent transactions include the purchase price agreed by an independent third party for an investment with similar terms. These investments are classified as level 2 measurement. When no recent transactions are available, a market approach will be used by the Group to measure fair value. The market approach takes into consideration a number of factors including market multiples derived from a set of comparable. The Group has classified these investments as level 3 measurement.</w:t>
      </w:r>
    </w:p>
    <w:p>
      <w:pPr>
        <w:spacing w:after="0" w:line="147"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As a practical expedient, the Group uses NAV or its equivalent to measure the fair value of its certain fund investment which the Group does not have the ability to exercise significant influence. NAV is primarily determined based on information provided by external fund administrators. The Group’s investments valued at NAV as a practical expedient are private equity funds, which represent the investment in other investments on the balance sheet.</w:t>
      </w:r>
    </w:p>
    <w:p>
      <w:pPr>
        <w:spacing w:after="0" w:line="153" w:lineRule="exact"/>
        <w:rPr>
          <w:sz w:val="20"/>
          <w:szCs w:val="20"/>
          <w:color w:val="auto"/>
        </w:rPr>
      </w:pPr>
    </w:p>
    <w:p>
      <w:pPr>
        <w:ind w:left="660" w:right="280"/>
        <w:spacing w:after="0" w:line="261" w:lineRule="auto"/>
        <w:rPr>
          <w:sz w:val="20"/>
          <w:szCs w:val="20"/>
          <w:color w:val="auto"/>
        </w:rPr>
      </w:pPr>
      <w:r>
        <w:rPr>
          <w:rFonts w:ascii="Times New Roman" w:cs="Times New Roman" w:eastAsia="Times New Roman" w:hAnsi="Times New Roman"/>
          <w:sz w:val="18"/>
          <w:szCs w:val="18"/>
          <w:color w:val="auto"/>
        </w:rPr>
        <w:t>Certain cash-settled share-based compensation arrangements granted by Shan Shan Outlets are recorded as Level 3 financial instruments which are revalued at each reporting period end. The fair value of the liability relating to the cash-settled share-based compensation arrangements was determined using the Monte Carlo Simulation through simulation of the future net profits of the Shan Shan Outlets as disclosed in Note 23(c).</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(af) Share-based compensation</w:t>
      </w:r>
    </w:p>
    <w:p>
      <w:pPr>
        <w:spacing w:after="0" w:line="189"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18"/>
          <w:szCs w:val="18"/>
          <w:color w:val="auto"/>
        </w:rPr>
        <w:t>Share-based payments made to employees, including equity-classified employee share options, non-vested shares issued to employees and liability-classified employee share options, which the Group has a repurchase option, are recognized as compensation expenses over the requisite service periods. The Group measures the cost of employee services received in exchange for share-based compensation at the fair value of the awards, which are determined on the grant date for equity-classified employee share options and each reporting period end for liability-classified employee share options. The Group recognizes compensation expense on a straight-line basis over the requisite service period for the entire award with graded vesting provided that the amount of compensation cost recognized at any date must at least equal the portion of the fair value of the award that is vested at that date.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share-based compensation expense to be recognized in future periods.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right="5280" w:hanging="332"/>
        <w:spacing w:after="0" w:line="456" w:lineRule="auto"/>
        <w:tabs>
          <w:tab w:leader="none" w:pos="3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(ag)Earnings per share</w:t>
      </w: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ordinary shareholders by the weighted average number of ordinary shares outstanding during the year. Diluted earnings per share reflect the potential dilution that could occur if securities or other contracts to issue ordinary shares were exercised or converted into ordinary shares.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(ah)Treasury shares</w:t>
      </w:r>
    </w:p>
    <w:p>
      <w:pPr>
        <w:spacing w:after="0" w:line="189"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Treasury shares represents ordinary shares repurchased by the Group that are no longer outstanding and are held by the Group. The repurchase of ordinary shares is accounted for under the cost method whereby the entire cost of the acquired share is recorded as treasury shares. The cost of treasury shares is reclassified to “additional paid-in capital” when it is re-issued for the purpose of share options exercised and share awards. When the treasury shares are retired, an excess of repurchase price over par is allocated into additional paid-in capital.</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(ai) Segment reporting</w:t>
      </w:r>
    </w:p>
    <w:p>
      <w:pPr>
        <w:spacing w:after="0" w:line="202"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135"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has determined it has five operating segments, Vip.com, internet finance, Shan Shan Outlets, offline shops and City Outlets, in which the CODM reviews its financial result on a regular basis.Vip.com and Shan Shan Outlets have been identified as reportable segments. Internet finance, offline shops and City Outlets operating segments were aggregated as others because individually they do not exceed the 10% quantitative threshold. The financial information of the respective segments is disclosed in Note 24.</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(aj) Recent accounting pronouncements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adopted accounting pronouncements</w:t>
      </w:r>
    </w:p>
    <w:p>
      <w:pPr>
        <w:spacing w:after="0" w:line="189" w:lineRule="exact"/>
        <w:rPr>
          <w:sz w:val="20"/>
          <w:szCs w:val="20"/>
          <w:color w:val="auto"/>
        </w:rPr>
      </w:pPr>
    </w:p>
    <w:p>
      <w:pPr>
        <w:jc w:val="both"/>
        <w:ind w:left="660" w:right="40"/>
        <w:spacing w:after="0" w:line="272" w:lineRule="auto"/>
        <w:rPr>
          <w:sz w:val="20"/>
          <w:szCs w:val="20"/>
          <w:color w:val="auto"/>
        </w:rPr>
      </w:pPr>
      <w:r>
        <w:rPr>
          <w:rFonts w:ascii="Times New Roman" w:cs="Times New Roman" w:eastAsia="Times New Roman" w:hAnsi="Times New Roman"/>
          <w:sz w:val="17"/>
          <w:szCs w:val="17"/>
          <w:color w:val="auto"/>
        </w:rPr>
        <w:t>In December 2023, The FASB has issued ASU No. 2023-09, Improvements to Income Tax Disclosures. Under the ASU, public business entities must annually “(1) disclose specific categories in the rate reconciliation and (2) provide additional information for reconciling items that meet a quantitative threshold (if the effect of those reconciling items is equal to or greater</w:t>
      </w:r>
    </w:p>
    <w:p>
      <w:pPr>
        <w:spacing w:after="0" w:line="2"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than 5 percent of the amount computed by multiplying pretax income (or loss) by the applicable statutory income tax rate).” For public business entities, the standard is effective for annual periods beginning after December 15, 2024. For other entities, the amendments are effective for annual periods beginning after December 15, 2025. Early adoption is permitted for annual financial statements that have not yet been issued or made available for issuance. The Group has adopted ASU 2023-09 in 2025 retrospectively and updated the income tax disclosure in Note 19.</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issued not yet adopted</w:t>
      </w:r>
    </w:p>
    <w:p>
      <w:pPr>
        <w:spacing w:after="0" w:line="202" w:lineRule="exact"/>
        <w:rPr>
          <w:sz w:val="20"/>
          <w:szCs w:val="20"/>
          <w:color w:val="auto"/>
        </w:rPr>
      </w:pPr>
    </w:p>
    <w:p>
      <w:pPr>
        <w:ind w:left="660" w:right="4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 (Topic 220)-Reporting Comprehensive Income-Expense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Additionally, in January 2025, the FASB issued ASU No. 2025-01 to clarify the effective date of ASU No. 2024-03. The new guidance is intended to improve disclosures about a public business entity’s expenses by enhancing specified information about certain costs and expenses at each interim and annual reporting period so that investors can better understand an entity’s overall performance, including its cost structure, and assess potential future cash flows. This guidance is effective for fiscal years beginning after December 15, 2026 and interim periods within annual reporting periods beginning after December 15, 2027, on a retrospective or prospective basis, with early adoption permitted. The Company is in the process of evaluating the impact that this guidance will have on the consolidated financial statements and related disclosures.</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right="5300" w:hanging="332"/>
        <w:spacing w:after="0" w:line="480" w:lineRule="auto"/>
        <w:tabs>
          <w:tab w:leader="none" w:pos="34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(Continued) (aj) Recent accounting pronouncements (Continued)</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Recent accounting pronouncements issued not yet adopted (Continued)</w:t>
      </w:r>
    </w:p>
    <w:p>
      <w:pPr>
        <w:spacing w:after="0" w:line="200"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Financial Instruments-Credit Losses (Topic 326): </w:t>
      </w:r>
      <w:r>
        <w:rPr>
          <w:rFonts w:ascii="Times New Roman" w:cs="Times New Roman" w:eastAsia="Times New Roman" w:hAnsi="Times New Roman"/>
          <w:sz w:val="18"/>
          <w:szCs w:val="18"/>
          <w:i w:val="1"/>
          <w:iCs w:val="1"/>
          <w:color w:val="auto"/>
        </w:rPr>
        <w:t>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for Accounts Receivable and Contract Assets</w:t>
      </w:r>
      <w:r>
        <w:rPr>
          <w:rFonts w:ascii="Times New Roman" w:cs="Times New Roman" w:eastAsia="Times New Roman" w:hAnsi="Times New Roman"/>
          <w:sz w:val="18"/>
          <w:szCs w:val="18"/>
          <w:color w:val="auto"/>
        </w:rPr>
        <w:t>. The guidance was issued to provide a practical expedient to measure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on current accounts receivable and current contract assets. The guidance is effective prospectively for financial statements issued for fiscal years beginning after December 15, 2025, and interim periods within those fiscal years. Early adoption of the guidance is permitted. The Group is currently evaluating the impact the guidance will have on its consolidated financial statements.</w:t>
      </w:r>
    </w:p>
    <w:p>
      <w:pPr>
        <w:spacing w:after="0" w:line="180"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receivables,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accounts receivables are as follows:</w:t>
      </w:r>
    </w:p>
    <w:p>
      <w:pPr>
        <w:spacing w:after="0" w:line="23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80" w:type="dxa"/>
            <w:vAlign w:val="bottom"/>
            <w:gridSpan w:val="2"/>
          </w:tcPr>
          <w:p>
            <w:pPr>
              <w:ind w:left="4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for logistics and warehousing services rendered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payment platform</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130,460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Trade receivables </w:t>
            </w:r>
            <w:r>
              <w:rPr>
                <w:rFonts w:ascii="Times New Roman" w:cs="Times New Roman" w:eastAsia="Times New Roman" w:hAnsi="Times New Roman"/>
                <w:sz w:val="18"/>
                <w:szCs w:val="18"/>
                <w:i w:val="1"/>
                <w:iCs w:val="1"/>
                <w:color w:val="auto"/>
              </w:rPr>
              <w:t>(Note 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226,464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18"/>
                <w:szCs w:val="18"/>
                <w:i w:val="1"/>
                <w:iCs w:val="1"/>
                <w:color w:val="auto"/>
              </w:rPr>
              <w:t>(Note b)</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284,631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931,417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doubt accounts:</w:t>
            </w:r>
          </w:p>
        </w:tc>
        <w:tc>
          <w:tcPr>
            <w:tcW w:w="7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Allowance as of the end of the year</w:t>
            </w: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2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receivables, net</w:t>
            </w: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915,158</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44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660" w:right="26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represent financing extended to certain customers when they select to pay for the online product purchases through installments.</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mainly represent receivables from provision of rental, online promotion and advertising services, receivables from financing service fees and receivables from government subsidies for customers.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receivables and prepayments,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other receivables and prepayments are as follows:</w:t>
      </w:r>
    </w:p>
    <w:p>
      <w:pPr>
        <w:spacing w:after="0" w:line="23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6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r>
      <w:tr>
        <w:trPr>
          <w:trHeight w:val="122"/>
        </w:trPr>
        <w:tc>
          <w:tcPr>
            <w:tcW w:w="6160" w:type="dxa"/>
            <w:vAlign w:val="bottom"/>
          </w:tcPr>
          <w:p>
            <w:pPr>
              <w:ind w:left="60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72"/>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tcPr>
          <w:p>
            <w:pPr>
              <w:jc w:val="right"/>
              <w:ind w:right="195"/>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142"/>
        </w:trPr>
        <w:tc>
          <w:tcPr>
            <w:tcW w:w="6160" w:type="dxa"/>
            <w:vAlign w:val="bottom"/>
          </w:tcPr>
          <w:p>
            <w:pPr>
              <w:spacing w:after="0"/>
              <w:rPr>
                <w:sz w:val="12"/>
                <w:szCs w:val="12"/>
                <w:color w:val="auto"/>
              </w:rPr>
            </w:pPr>
          </w:p>
        </w:tc>
        <w:tc>
          <w:tcPr>
            <w:tcW w:w="78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and EIT recoverable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688,291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905,397</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46,319</w:t>
            </w:r>
          </w:p>
        </w:tc>
      </w:tr>
      <w:tr>
        <w:trPr>
          <w:trHeight w:val="216"/>
        </w:trPr>
        <w:tc>
          <w:tcPr>
            <w:tcW w:w="6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764,049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883,022</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Prepayment to suppliers related to procurement activities of goods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440,956</w:t>
            </w:r>
          </w:p>
        </w:tc>
      </w:tr>
      <w:tr>
        <w:trPr>
          <w:trHeight w:val="216"/>
        </w:trPr>
        <w:tc>
          <w:tcPr>
            <w:tcW w:w="6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75,360</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Loans to third parties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187,900</w:t>
            </w:r>
          </w:p>
        </w:tc>
      </w:tr>
      <w:tr>
        <w:trPr>
          <w:trHeight w:val="216"/>
        </w:trPr>
        <w:tc>
          <w:tcPr>
            <w:tcW w:w="6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 related to financing activities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299,660</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144,703</w:t>
            </w:r>
          </w:p>
        </w:tc>
      </w:tr>
      <w:tr>
        <w:trPr>
          <w:trHeight w:val="209"/>
        </w:trPr>
        <w:tc>
          <w:tcPr>
            <w:tcW w:w="61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2,588,337</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2,983,317</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(115,287)</w:t>
            </w: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6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r>
      <w:tr>
        <w:trPr>
          <w:trHeight w:val="21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as of the end of the year</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(115,287)</w:t>
            </w: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(123,016)</w:t>
            </w:r>
          </w:p>
        </w:tc>
      </w:tr>
      <w:tr>
        <w:trPr>
          <w:trHeight w:val="209"/>
        </w:trPr>
        <w:tc>
          <w:tcPr>
            <w:tcW w:w="61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2,473,050</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2,860,301</w:t>
            </w:r>
          </w:p>
        </w:tc>
      </w:tr>
      <w:tr>
        <w:trPr>
          <w:trHeight w:val="20"/>
        </w:trPr>
        <w:tc>
          <w:tcPr>
            <w:tcW w:w="6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3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61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r>
      <w:tr>
        <w:trPr>
          <w:trHeight w:val="122"/>
        </w:trPr>
        <w:tc>
          <w:tcPr>
            <w:tcW w:w="6160" w:type="dxa"/>
            <w:vAlign w:val="bottom"/>
          </w:tcPr>
          <w:p>
            <w:pPr>
              <w:ind w:left="60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75"/>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tcPr>
          <w:p>
            <w:pPr>
              <w:jc w:val="right"/>
              <w:ind w:right="196"/>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142"/>
        </w:trPr>
        <w:tc>
          <w:tcPr>
            <w:tcW w:w="6160" w:type="dxa"/>
            <w:vAlign w:val="bottom"/>
          </w:tcPr>
          <w:p>
            <w:pPr>
              <w:spacing w:after="0"/>
              <w:rPr>
                <w:sz w:val="12"/>
                <w:szCs w:val="12"/>
                <w:color w:val="auto"/>
              </w:rPr>
            </w:pPr>
          </w:p>
        </w:tc>
        <w:tc>
          <w:tcPr>
            <w:tcW w:w="78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5,628,201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5,639,670</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32,050</w:t>
            </w:r>
          </w:p>
        </w:tc>
      </w:tr>
      <w:tr>
        <w:trPr>
          <w:trHeight w:val="210"/>
        </w:trPr>
        <w:tc>
          <w:tcPr>
            <w:tcW w:w="61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5,657,180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5,671,720</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Inventory write-down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(518,307)</w:t>
            </w:r>
          </w:p>
        </w:tc>
      </w:tr>
      <w:tr>
        <w:trPr>
          <w:trHeight w:val="210"/>
        </w:trPr>
        <w:tc>
          <w:tcPr>
            <w:tcW w:w="61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5,032,069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5,153,413</w:t>
            </w:r>
          </w:p>
        </w:tc>
      </w:tr>
      <w:tr>
        <w:trPr>
          <w:trHeight w:val="20"/>
        </w:trPr>
        <w:tc>
          <w:tcPr>
            <w:tcW w:w="6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80" w:type="dxa"/>
            <w:vAlign w:val="bottom"/>
            <w:gridSpan w:val="2"/>
          </w:tcPr>
          <w:p>
            <w:pPr>
              <w:ind w:left="5860"/>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8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20,496,536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21,675,499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3,700,956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26,564,998</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27,568,173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(7,653,439)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18,292,771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500"/>
        <w:spacing w:after="0" w:line="282" w:lineRule="auto"/>
        <w:rPr>
          <w:sz w:val="20"/>
          <w:szCs w:val="20"/>
          <w:color w:val="auto"/>
        </w:rPr>
      </w:pPr>
      <w:r>
        <w:rPr>
          <w:rFonts w:ascii="Times New Roman" w:cs="Times New Roman" w:eastAsia="Times New Roman" w:hAnsi="Times New Roman"/>
          <w:sz w:val="18"/>
          <w:szCs w:val="18"/>
          <w:color w:val="auto"/>
        </w:rPr>
        <w:t>Depreciation expenses charged were RMB1,299.4 million, RMB1,418.5 million and RMB1,526.5 million for the years ended December 31, 2023, 2024 and 2025, respectively.</w:t>
      </w:r>
    </w:p>
    <w:p>
      <w:pPr>
        <w:spacing w:after="0" w:line="162"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Group identified impairment indicator for its leasehold improvements and furniture related to offline shops and city outlets due to their declining performance and recognized an impairment loss of RMB20,584 related to leasehold improvement and RMB135,657 related to ROU assets as disclosed in Note 14.</w:t>
      </w:r>
    </w:p>
    <w:p>
      <w:pPr>
        <w:spacing w:after="0" w:line="176" w:lineRule="exact"/>
        <w:rPr>
          <w:sz w:val="20"/>
          <w:szCs w:val="20"/>
          <w:color w:val="auto"/>
        </w:rPr>
      </w:pPr>
    </w:p>
    <w:p>
      <w:pPr>
        <w:jc w:val="both"/>
        <w:ind w:left="340" w:right="160"/>
        <w:spacing w:after="0" w:line="261" w:lineRule="auto"/>
        <w:rPr>
          <w:sz w:val="20"/>
          <w:szCs w:val="20"/>
          <w:color w:val="auto"/>
        </w:rPr>
      </w:pPr>
      <w:r>
        <w:rPr>
          <w:rFonts w:ascii="Times New Roman" w:cs="Times New Roman" w:eastAsia="Times New Roman" w:hAnsi="Times New Roman"/>
          <w:sz w:val="18"/>
          <w:szCs w:val="18"/>
          <w:color w:val="auto"/>
        </w:rPr>
        <w:t>No impairment indicator was identified and no impairment losses were recognized during the years ended December 31, 2024 and 2025. During the year ended December 31, 2025, certain fully impaired transit warehouses and leasehold improvements related to offline shops with a total accumulated impairment loss of RMB277,422 were written off as the Group has determined that it is not probable for the balance to be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Land use rights, net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80" w:type="dxa"/>
            <w:vAlign w:val="bottom"/>
            <w:gridSpan w:val="2"/>
          </w:tcPr>
          <w:p>
            <w:pPr>
              <w:ind w:left="586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9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9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11,907,443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11,926,369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(1,166,035)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(1,444,679)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impairment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(55,008)</w:t>
            </w: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10,686,400</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10,426,682</w:t>
            </w:r>
          </w:p>
        </w:tc>
      </w:tr>
      <w:tr>
        <w:trPr>
          <w:trHeight w:val="20"/>
        </w:trPr>
        <w:tc>
          <w:tcPr>
            <w:tcW w:w="5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expiry dates of the land use rights range from the years 2049 to 2073.</w:t>
      </w:r>
    </w:p>
    <w:p>
      <w:pPr>
        <w:spacing w:after="0" w:line="225" w:lineRule="exact"/>
        <w:rPr>
          <w:sz w:val="20"/>
          <w:szCs w:val="20"/>
          <w:color w:val="auto"/>
        </w:rPr>
      </w:pPr>
    </w:p>
    <w:p>
      <w:pPr>
        <w:ind w:left="340" w:right="920"/>
        <w:spacing w:after="0" w:line="282" w:lineRule="auto"/>
        <w:rPr>
          <w:sz w:val="20"/>
          <w:szCs w:val="20"/>
          <w:color w:val="auto"/>
        </w:rPr>
      </w:pPr>
      <w:r>
        <w:rPr>
          <w:rFonts w:ascii="Times New Roman" w:cs="Times New Roman" w:eastAsia="Times New Roman" w:hAnsi="Times New Roman"/>
          <w:sz w:val="18"/>
          <w:szCs w:val="18"/>
          <w:color w:val="auto"/>
        </w:rPr>
        <w:t>Amortization expenses charged were RMB217.3 million, RMB270.1 million and RMB278.6 million for the years ended December 31, 2023, 2024 and 2025, respectively.</w:t>
      </w:r>
    </w:p>
    <w:p>
      <w:pPr>
        <w:spacing w:after="0" w:line="162"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Amortization expenses are expected to be at RMB279.1 million for each of the years ending December 31, 2026, 2027, 2028, 2029 and 2030,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no impairment on land use rights recognized for the years ended December 31, 2023, 2024 and 2025, respectively.</w:t>
      </w:r>
    </w:p>
    <w:p>
      <w:pPr>
        <w:spacing w:after="0" w:line="221"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840" w:type="dxa"/>
            <w:vAlign w:val="bottom"/>
            <w:gridSpan w:val="2"/>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88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90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Cost</w:t>
            </w:r>
          </w:p>
        </w:tc>
        <w:tc>
          <w:tcPr>
            <w:tcW w:w="14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(Note 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Impairment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840" w:type="dxa"/>
            <w:vAlign w:val="bottom"/>
            <w:gridSpan w:val="2"/>
            <w:vMerge w:val="continue"/>
          </w:tcPr>
          <w:p>
            <w:pPr>
              <w:spacing w:after="0"/>
              <w:rPr>
                <w:sz w:val="15"/>
                <w:szCs w:val="15"/>
                <w:color w:val="auto"/>
              </w:rPr>
            </w:pPr>
          </w:p>
        </w:tc>
        <w:tc>
          <w:tcPr>
            <w:tcW w:w="102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(Note 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Impairment</w:t>
            </w: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6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86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(16,811)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Payment license </w:t>
            </w:r>
            <w:r>
              <w:rPr>
                <w:rFonts w:ascii="Times New Roman" w:cs="Times New Roman" w:eastAsia="Times New Roman" w:hAnsi="Times New Roman"/>
                <w:sz w:val="18"/>
                <w:szCs w:val="18"/>
                <w:i w:val="1"/>
                <w:iCs w:val="1"/>
                <w:color w:val="auto"/>
              </w:rPr>
              <w:t>(Note b)</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319,660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(55,659)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324,067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340" w:right="240" w:hanging="332"/>
        <w:spacing w:after="0" w:line="289" w:lineRule="auto"/>
        <w:tabs>
          <w:tab w:leader="none" w:pos="3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expenses for intangible assets were RMB3,778, RMB3,778 and RMB3,777 for the years ended December 31, 2023, 2024 and 2025, respectively. Amortization expenses are expected to be at RMB3,777 for the year ending December 31, 2026, RMB630 for the year ending December 31, 2027, and nil for the years ending December 31, 2028, 2029 and 2030, respectively.</w:t>
      </w:r>
    </w:p>
    <w:p>
      <w:pPr>
        <w:spacing w:after="0" w:line="157" w:lineRule="exact"/>
        <w:rPr>
          <w:rFonts w:ascii="Times New Roman" w:cs="Times New Roman" w:eastAsia="Times New Roman" w:hAnsi="Times New Roman"/>
          <w:sz w:val="17"/>
          <w:szCs w:val="17"/>
          <w:color w:val="auto"/>
        </w:rPr>
      </w:pPr>
    </w:p>
    <w:p>
      <w:pPr>
        <w:ind w:left="340" w:right="180" w:hanging="332"/>
        <w:spacing w:after="0" w:line="261"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license has a legal life of 5 years, which enables the Group to provide payment services and qualifies as a paying institution. The Group renewed the license on June 27, 2022 with expiry date in June 2027. The Group believes it would be able to renew the payment license at minimal cost continuously and has the ability to do so. As a result, the payment license is considered by the Group as having an indefinite life because it is expected to contribute to net cash inflow indefinitely.</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on intangible assets was recognized during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equity method investees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equity method investees as of December 31, 2024 and 2025 were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94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 of December 31,</w:t>
            </w:r>
          </w:p>
        </w:tc>
      </w:tr>
      <w:tr>
        <w:trPr>
          <w:trHeight w:val="142"/>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top w:val="single" w:sz="8" w:color="auto"/>
            </w:tcBorders>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r>
      <w:tr>
        <w:trPr>
          <w:trHeight w:val="142"/>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Sichuan VipFubon Consumer Finance Co., Ltd (“VipFubon”)</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572,427</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Sequoia Fashion and Technology Industry Fund Investment Limited Partnership</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429,965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269,515</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Shanxi Tianmei Shan Shan Outlets Shopping Mall Co., Ltd (“Shanxi Shan Shan”)</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582,608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604,083</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Guofu Life Insurance Co., Ltd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161,418</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Gansu Shan Shan Outlets Shopping Mall Co., Ltd (“Gansu Shan Shan”)</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191,605</w:t>
            </w:r>
          </w:p>
        </w:tc>
      </w:tr>
      <w:tr>
        <w:trPr>
          <w:trHeight w:val="198"/>
        </w:trPr>
        <w:tc>
          <w:tcPr>
            <w:tcW w:w="6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Lishui Huilian Ruitong Equity Investment Limited Partnership (“Lishui Huilian</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Ruitong”)</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646,064</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702,022</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gridSpan w:val="2"/>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2,002,043</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3,136,784</w:t>
            </w: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the Group recognized gain on disposal of equity method investees at the amount of nil, nil and RMB259, respectively.</w:t>
      </w:r>
    </w:p>
    <w:p>
      <w:pPr>
        <w:spacing w:after="0" w:line="162"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the Group recognized its share of income of equity method investees at the amount of RMB80,301, RMB166,980 and RMB293,919, respectively.</w:t>
      </w:r>
    </w:p>
    <w:p>
      <w:pPr>
        <w:spacing w:after="0" w:line="162"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No impairment has been recorded on these investments accounted for under equity method for the years ended December 31, 2023, 2024 and 2025.</w:t>
      </w:r>
    </w:p>
    <w:p>
      <w:pPr>
        <w:spacing w:after="0" w:line="162"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certain equity method investees which were fully impaired with accumulated impairment loss of RMB96,624 were written off as the Group has determined that it is not probable for the balance to be recovered or the investees are deregistered.</w:t>
      </w:r>
    </w:p>
    <w:p>
      <w:pPr>
        <w:spacing w:after="0" w:line="176" w:lineRule="exact"/>
        <w:rPr>
          <w:sz w:val="20"/>
          <w:szCs w:val="20"/>
          <w:color w:val="auto"/>
        </w:rPr>
      </w:pPr>
    </w:p>
    <w:p>
      <w:pPr>
        <w:ind w:left="340" w:right="28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Group’s additional capital contribution in VipFubon totaling RMB250.5 million, which was initially paid as a deposit during the year ended December 31, 2024, was approved by financial regulatory authorities, resulting in an increase in the equity interest in VipFubon held by the Group to 50.0%. As the Group does not have controlling interest in VipFubon, but can exercise significant influence over the investee, the Group continues to account for this investment using the equity method.</w:t>
      </w:r>
    </w:p>
    <w:p>
      <w:pPr>
        <w:spacing w:after="0" w:line="183" w:lineRule="exact"/>
        <w:rPr>
          <w:sz w:val="20"/>
          <w:szCs w:val="20"/>
          <w:color w:val="auto"/>
        </w:rPr>
      </w:pPr>
    </w:p>
    <w:p>
      <w:pPr>
        <w:ind w:left="340" w:right="30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Group, together with other third-party companies and limited partnerships, established Lishui Huilian Ruitong in PRC to engage in outlets investment business. The Group holds 41.88% equity interest in Lishui Huilian Ruitong for a total consideration of RMB651.2 million. As the Group does not have controlling interest in Lishui Huilian Ruitong, but can exercise significant influence over the investee, the Group accounts for this investment using the equity method.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equity method investees (Continued)</w:t>
      </w:r>
    </w:p>
    <w:p>
      <w:pPr>
        <w:spacing w:after="0" w:line="229" w:lineRule="exact"/>
        <w:rPr>
          <w:rFonts w:ascii="Times New Roman" w:cs="Times New Roman" w:eastAsia="Times New Roman" w:hAnsi="Times New Roman"/>
          <w:sz w:val="18"/>
          <w:szCs w:val="18"/>
          <w:b w:val="1"/>
          <w:bCs w:val="1"/>
          <w:color w:val="auto"/>
        </w:rPr>
      </w:pPr>
    </w:p>
    <w:p>
      <w:pPr>
        <w:ind w:left="34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summarizes the condensed financial information of the Group’s equity investments under equity method as a group below in accordance with Rule 4-08 of Regulation S-X:</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80" w:type="dxa"/>
            <w:vAlign w:val="bottom"/>
            <w:gridSpan w:val="2"/>
          </w:tcPr>
          <w:p>
            <w:pPr>
              <w:ind w:left="5060"/>
              <w:spacing w:after="0"/>
              <w:rPr>
                <w:sz w:val="20"/>
                <w:szCs w:val="20"/>
                <w:color w:val="auto"/>
              </w:rPr>
            </w:pPr>
            <w:r>
              <w:rPr>
                <w:rFonts w:ascii="Times New Roman" w:cs="Times New Roman" w:eastAsia="Times New Roman" w:hAnsi="Times New Roman"/>
                <w:sz w:val="14"/>
                <w:szCs w:val="14"/>
                <w:color w:val="auto"/>
              </w:rPr>
              <w:t>​​​</w:t>
            </w:r>
          </w:p>
        </w:tc>
        <w:tc>
          <w:tcPr>
            <w:tcW w:w="2760" w:type="dxa"/>
            <w:vAlign w:val="bottom"/>
            <w:gridSpan w:val="11"/>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3,116,172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2,277,551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3,059,332</w:t>
            </w: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165,578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554,778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1,263,943</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310,193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530,092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1,051,391</w:t>
            </w: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435,189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872,993</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the investees’ ordinary shareholders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260,582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435,189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872,993</w:t>
            </w:r>
          </w:p>
        </w:tc>
      </w:tr>
      <w:tr>
        <w:trPr>
          <w:trHeight w:val="378"/>
        </w:trPr>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1820" w:type="dxa"/>
            <w:vAlign w:val="bottom"/>
            <w:gridSpan w:val="7"/>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15,716,003</w:t>
            </w:r>
          </w:p>
        </w:tc>
        <w:tc>
          <w:tcPr>
            <w:tcW w:w="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24,078,308</w:t>
            </w: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12,733,109</w:t>
            </w:r>
          </w:p>
        </w:tc>
        <w:tc>
          <w:tcPr>
            <w:tcW w:w="4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14,767,212</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6,549,835</w:t>
            </w:r>
          </w:p>
        </w:tc>
        <w:tc>
          <w:tcPr>
            <w:tcW w:w="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10,965,812</w:t>
            </w:r>
          </w:p>
        </w:tc>
      </w:t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13,811,233</w:t>
            </w:r>
          </w:p>
        </w:tc>
        <w:tc>
          <w:tcPr>
            <w:tcW w:w="40" w:type="dxa"/>
            <w:vAlign w:val="bottom"/>
          </w:tcPr>
          <w:p>
            <w:pPr>
              <w:spacing w:after="0"/>
              <w:rPr>
                <w:sz w:val="20"/>
                <w:szCs w:val="20"/>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17,333,829</w:t>
            </w:r>
          </w:p>
        </w:tc>
      </w:tr>
    </w:tbl>
    <w:p>
      <w:pPr>
        <w:spacing w:after="0" w:line="189"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investments</w:t>
      </w:r>
    </w:p>
    <w:p>
      <w:pPr>
        <w:spacing w:after="0" w:line="229" w:lineRule="exact"/>
        <w:rPr>
          <w:rFonts w:ascii="Times New Roman" w:cs="Times New Roman" w:eastAsia="Times New Roman" w:hAnsi="Times New Roman"/>
          <w:sz w:val="18"/>
          <w:szCs w:val="18"/>
          <w:b w:val="1"/>
          <w:bCs w:val="1"/>
          <w:color w:val="auto"/>
        </w:rPr>
      </w:pPr>
    </w:p>
    <w:p>
      <w:pPr>
        <w:ind w:left="34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investments consist of equity investments with readily determinable fair value, equity investments without readily determinable fair value and available-for-sale debt securities. The carrying amounts and fair value of the Group’s other investments as of December 31, 2024 and 2025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100" w:type="dxa"/>
            <w:vAlign w:val="bottom"/>
            <w:gridSpan w:val="2"/>
          </w:tcPr>
          <w:p>
            <w:pPr>
              <w:jc w:val="right"/>
              <w:ind w:right="724"/>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Balance as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impairment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difference</w:t>
            </w:r>
          </w:p>
        </w:tc>
        <w:tc>
          <w:tcPr>
            <w:tcW w:w="18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Equity investments with readily determinable fair value </w:t>
            </w:r>
            <w:r>
              <w:rPr>
                <w:rFonts w:ascii="Times New Roman" w:cs="Times New Roman" w:eastAsia="Times New Roman" w:hAnsi="Times New Roman"/>
                <w:sz w:val="18"/>
                <w:szCs w:val="18"/>
                <w:i w:val="1"/>
                <w:iCs w:val="1"/>
                <w:color w:val="auto"/>
              </w:rPr>
              <w:t>(Note a)</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332,025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(148,732)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187,177</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Available-for-sale debt securities </w:t>
            </w:r>
            <w:r>
              <w:rPr>
                <w:rFonts w:ascii="Times New Roman" w:cs="Times New Roman" w:eastAsia="Times New Roman" w:hAnsi="Times New Roman"/>
                <w:sz w:val="18"/>
                <w:szCs w:val="18"/>
                <w:i w:val="1"/>
                <w:iCs w:val="1"/>
                <w:color w:val="auto"/>
              </w:rPr>
              <w:t>(Note b)</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Equity investments without readily determinable fair value </w:t>
            </w:r>
            <w:r>
              <w:rPr>
                <w:rFonts w:ascii="Times New Roman" w:cs="Times New Roman" w:eastAsia="Times New Roman" w:hAnsi="Times New Roman"/>
                <w:sz w:val="18"/>
                <w:szCs w:val="18"/>
                <w:i w:val="1"/>
                <w:iCs w:val="1"/>
                <w:color w:val="auto"/>
              </w:rPr>
              <w:t>(Note c)</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3,221,139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(355,508)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3,114,312</w:t>
            </w:r>
          </w:p>
        </w:tc>
        <w:tc>
          <w:tcPr>
            <w:tcW w:w="0" w:type="dxa"/>
            <w:vAlign w:val="bottom"/>
          </w:tcPr>
          <w:p>
            <w:pPr>
              <w:spacing w:after="0"/>
              <w:rPr>
                <w:sz w:val="1"/>
                <w:szCs w:val="1"/>
                <w:color w:val="auto"/>
              </w:rPr>
            </w:pPr>
          </w:p>
        </w:tc>
      </w:tr>
      <w:tr>
        <w:trPr>
          <w:trHeight w:val="21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3,610,164</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(358,508)</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103,383</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3,355,489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00" w:type="dxa"/>
            <w:vAlign w:val="bottom"/>
            <w:gridSpan w:val="2"/>
          </w:tcPr>
          <w:p>
            <w:pPr>
              <w:jc w:val="right"/>
              <w:ind w:right="724"/>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Balance as</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impairment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difference</w:t>
            </w:r>
          </w:p>
        </w:tc>
        <w:tc>
          <w:tcPr>
            <w:tcW w:w="18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Equity investments with readily determinable fair value </w:t>
            </w:r>
            <w:r>
              <w:rPr>
                <w:rFonts w:ascii="Times New Roman" w:cs="Times New Roman" w:eastAsia="Times New Roman" w:hAnsi="Times New Roman"/>
                <w:sz w:val="18"/>
                <w:szCs w:val="18"/>
                <w:i w:val="1"/>
                <w:iCs w:val="1"/>
                <w:color w:val="auto"/>
              </w:rPr>
              <w:t>(Note a)</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281,466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(102,977)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Available-for-sale debt securities </w:t>
            </w:r>
            <w:r>
              <w:rPr>
                <w:rFonts w:ascii="Times New Roman" w:cs="Times New Roman" w:eastAsia="Times New Roman" w:hAnsi="Times New Roman"/>
                <w:sz w:val="18"/>
                <w:szCs w:val="18"/>
                <w:i w:val="1"/>
                <w:iCs w:val="1"/>
                <w:color w:val="auto"/>
              </w:rPr>
              <w:t>(Note b)</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Equity investments without readily determinable fair value </w:t>
            </w:r>
            <w:r>
              <w:rPr>
                <w:rFonts w:ascii="Times New Roman" w:cs="Times New Roman" w:eastAsia="Times New Roman" w:hAnsi="Times New Roman"/>
                <w:sz w:val="18"/>
                <w:szCs w:val="18"/>
                <w:i w:val="1"/>
                <w:iCs w:val="1"/>
                <w:color w:val="auto"/>
              </w:rPr>
              <w:t>(Note c)</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4,599,844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(336,403)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4,572,103</w:t>
            </w:r>
          </w:p>
        </w:tc>
        <w:tc>
          <w:tcPr>
            <w:tcW w:w="0" w:type="dxa"/>
            <w:vAlign w:val="bottom"/>
          </w:tcPr>
          <w:p>
            <w:pPr>
              <w:spacing w:after="0"/>
              <w:rPr>
                <w:sz w:val="1"/>
                <w:szCs w:val="1"/>
                <w:color w:val="auto"/>
              </w:rPr>
            </w:pPr>
          </w:p>
        </w:tc>
      </w:tr>
      <w:tr>
        <w:trPr>
          <w:trHeight w:val="21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4,938,310</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162,142</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(339,403)</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39,307</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4,800,356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investments (Continued)</w:t>
      </w:r>
    </w:p>
    <w:p>
      <w:pPr>
        <w:spacing w:after="0" w:line="184" w:lineRule="exact"/>
        <w:rPr>
          <w:rFonts w:ascii="Times New Roman" w:cs="Times New Roman" w:eastAsia="Times New Roman" w:hAnsi="Times New Roman"/>
          <w:sz w:val="18"/>
          <w:szCs w:val="18"/>
          <w:b w:val="1"/>
          <w:bCs w:val="1"/>
          <w:color w:val="auto"/>
        </w:rPr>
      </w:pPr>
    </w:p>
    <w:p>
      <w:pPr>
        <w:ind w:left="680" w:hanging="321"/>
        <w:spacing w:after="0"/>
        <w:tabs>
          <w:tab w:leader="none" w:pos="680"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investments with readily determinable fair value</w:t>
      </w:r>
    </w:p>
    <w:p>
      <w:pPr>
        <w:spacing w:after="0" w:line="229"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disposal of equity investments with readily determinable fair value generated proceeds of nil, RMB7,405 and RMB57, resulting in realized gain of nil, RMB899 and RMB3, respectively.</w:t>
      </w:r>
    </w:p>
    <w:p>
      <w:pPr>
        <w:spacing w:after="0" w:line="162"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The Group recorded mark to market adjustments of RMB(22,723), RMB13,403 and RMB(5,229) in investment (loss) gain and revaluation of investments in the consolidated statements of income and comprehensive income during the years ended December 31, 2023, 2024 and 2025, respectively. Dividend of nil, RMB187 and RMB86 was declared to the Group and recorded in investment (loss) gain and revaluation of investments during the years ended December 31, 2023, 2024 and 2025, respectively.</w:t>
      </w:r>
    </w:p>
    <w:p>
      <w:pPr>
        <w:spacing w:after="0" w:line="183"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certain equity investments with readily determinable fair value which were fully impaired with accumulated impairment loss of RMB48,634 were written off as the Group has determined that is not probable for the balance to be recovered or the investees were liquidated.</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(b) Available-for-sale debt securities</w:t>
      </w:r>
    </w:p>
    <w:p>
      <w:pPr>
        <w:spacing w:after="0" w:line="229" w:lineRule="exact"/>
        <w:rPr>
          <w:sz w:val="20"/>
          <w:szCs w:val="20"/>
          <w:color w:val="auto"/>
        </w:rPr>
      </w:pPr>
    </w:p>
    <w:p>
      <w:pPr>
        <w:jc w:val="both"/>
        <w:ind w:left="660" w:right="2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2024 and 2025, disposal of available-for-sale debt securities generated proceeds of nil, RMB185 and nil resulting in realized loss of nil, RMB2,314 and nil, respectively. The Group recorded impairment loss of nil, RMB3,000 and nil for the years ended December 31, 2023, 2024 and 2025, respectively.</w:t>
      </w:r>
    </w:p>
    <w:p>
      <w:pPr>
        <w:spacing w:after="0" w:line="176" w:lineRule="exact"/>
        <w:rPr>
          <w:sz w:val="20"/>
          <w:szCs w:val="20"/>
          <w:color w:val="auto"/>
        </w:rPr>
      </w:pPr>
    </w:p>
    <w:p>
      <w:pPr>
        <w:ind w:left="660" w:right="780"/>
        <w:spacing w:after="0" w:line="282" w:lineRule="auto"/>
        <w:rPr>
          <w:sz w:val="20"/>
          <w:szCs w:val="20"/>
          <w:color w:val="auto"/>
        </w:rPr>
      </w:pPr>
      <w:r>
        <w:rPr>
          <w:rFonts w:ascii="Times New Roman" w:cs="Times New Roman" w:eastAsia="Times New Roman" w:hAnsi="Times New Roman"/>
          <w:sz w:val="18"/>
          <w:szCs w:val="18"/>
          <w:color w:val="auto"/>
        </w:rPr>
        <w:t>Dividend of nil, nil and RMB305 was declared to the Group and recorded in investment gain (loss) and revaluation of investments during the years ended December 31, 2023, 2024 and 2025, respectively.</w:t>
      </w:r>
    </w:p>
    <w:p>
      <w:pPr>
        <w:spacing w:after="0" w:line="162" w:lineRule="exact"/>
        <w:rPr>
          <w:sz w:val="20"/>
          <w:szCs w:val="20"/>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certain available-for-sale debt securities which were fully impaired with accumulated impairment loss of RMB35,073 were written off as the Group has determined that is not probable for the balance to be recovered or the investees were liquidated.</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  Equity investments without readily determinable fair value</w:t>
      </w:r>
    </w:p>
    <w:p>
      <w:pPr>
        <w:spacing w:after="0" w:line="189"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2024 and 2025, disposal of equity investments without readily determinable fair value which were impaired with accumulated impairment loss of nil, RMB36,000 and RMB34,555 at cash considerations of nil, RMB7,000 and RMB3,550, resulting in disposal gain(loss) of nil, RMB7,000 and RMB(645) recorded in investment gain (loss) and revaluation of investments.</w:t>
      </w:r>
    </w:p>
    <w:p>
      <w:pPr>
        <w:spacing w:after="0" w:line="180"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The Group recorded impairment loss of RMB19,105, RMB58,246 and RMB15,450 for years ended December 31, 2023, 2024 and 2025, respectively for the equity investments without readily determinable fair value.</w:t>
      </w:r>
    </w:p>
    <w:p>
      <w:pPr>
        <w:spacing w:after="0" w:line="162"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Dividend of RMB29,790, RMB233,646 and RMB33,829 was declared and recorded in investment gain (loss) and revaluation of investments during the years ended December 31, 2023, 2024 and 2025, respectively. During the years ended December 31, 2023, 2024 and 2025, dividends of RMB28,526, RMB225,212 and nil that was declared and reinvested into the equity investments without readily determinable fair value, respectively.</w:t>
      </w:r>
    </w:p>
    <w:p>
      <w:pPr>
        <w:spacing w:after="0" w:line="180"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2024 and 2025, fair value changes recognized for equity investments which were measured using NAV practical expedient were RMB(25,122), RMB(103,482) and RMB114,254, respectively.</w:t>
      </w:r>
    </w:p>
    <w:p>
      <w:pPr>
        <w:spacing w:after="0" w:line="162" w:lineRule="exact"/>
        <w:rPr>
          <w:sz w:val="20"/>
          <w:szCs w:val="20"/>
          <w:color w:val="auto"/>
        </w:rPr>
      </w:pPr>
    </w:p>
    <w:p>
      <w:pPr>
        <w:jc w:val="both"/>
        <w:ind w:left="660" w:right="1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certain equity investments without readily determinable fair value which were fully impaired with accumulated impairment loss of RMB192,942 were written off as the Group has determined that is not probable for the balance to be recovered or the investees are liquidated.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 current liabilities</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68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 of December 31,</w:t>
            </w:r>
          </w:p>
        </w:tc>
      </w:tr>
      <w:tr>
        <w:trPr>
          <w:trHeight w:val="142"/>
        </w:trPr>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top w:val="single" w:sz="8" w:color="auto"/>
            </w:tcBorders>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142"/>
        </w:trPr>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1,101,844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1,083,154</w:t>
            </w:r>
          </w:p>
        </w:tc>
      </w:tr>
      <w:tr>
        <w:trPr>
          <w:trHeight w:val="216"/>
        </w:trPr>
        <w:tc>
          <w:tcPr>
            <w:tcW w:w="6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shipping and handling expenses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1,440,908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1,323,094</w:t>
            </w:r>
          </w:p>
        </w:tc>
      </w:tr>
      <w:tr>
        <w:trPr>
          <w:trHeight w:val="216"/>
        </w:trPr>
        <w:tc>
          <w:tcPr>
            <w:tcW w:w="6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Amounts received on behalf of third-party merchants </w:t>
            </w:r>
            <w:r>
              <w:rPr>
                <w:rFonts w:ascii="Times New Roman" w:cs="Times New Roman" w:eastAsia="Times New Roman" w:hAnsi="Times New Roman"/>
                <w:sz w:val="18"/>
                <w:szCs w:val="18"/>
                <w:i w:val="1"/>
                <w:iCs w:val="1"/>
                <w:color w:val="auto"/>
              </w:rPr>
              <w:t>(Note a)</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2,305,545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2,415,132</w:t>
            </w:r>
          </w:p>
        </w:tc>
      </w:tr>
      <w:tr>
        <w:trPr>
          <w:trHeight w:val="216"/>
        </w:trPr>
        <w:tc>
          <w:tcPr>
            <w:tcW w:w="6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and social benefits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685,021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689,526</w:t>
            </w:r>
          </w:p>
        </w:tc>
      </w:tr>
      <w:tr>
        <w:trPr>
          <w:trHeight w:val="216"/>
        </w:trPr>
        <w:tc>
          <w:tcPr>
            <w:tcW w:w="6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from vendors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587,339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653,998</w:t>
            </w:r>
          </w:p>
        </w:tc>
      </w:tr>
      <w:tr>
        <w:trPr>
          <w:trHeight w:val="216"/>
        </w:trPr>
        <w:tc>
          <w:tcPr>
            <w:tcW w:w="6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558,515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564,414</w:t>
            </w:r>
          </w:p>
        </w:tc>
      </w:tr>
      <w:tr>
        <w:trPr>
          <w:trHeight w:val="216"/>
        </w:trPr>
        <w:tc>
          <w:tcPr>
            <w:tcW w:w="6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tax payables </w:t>
            </w:r>
            <w:r>
              <w:rPr>
                <w:rFonts w:ascii="Times New Roman" w:cs="Times New Roman" w:eastAsia="Times New Roman" w:hAnsi="Times New Roman"/>
                <w:sz w:val="18"/>
                <w:szCs w:val="18"/>
                <w:i w:val="1"/>
                <w:iCs w:val="1"/>
                <w:color w:val="auto"/>
              </w:rPr>
              <w:t>(Note b)</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444,836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492,840</w:t>
            </w:r>
          </w:p>
        </w:tc>
      </w:tr>
      <w:tr>
        <w:trPr>
          <w:trHeight w:val="216"/>
        </w:trPr>
        <w:tc>
          <w:tcPr>
            <w:tcW w:w="6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rental expenses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56,138</w:t>
            </w:r>
          </w:p>
        </w:tc>
      </w:tr>
      <w:tr>
        <w:trPr>
          <w:trHeight w:val="216"/>
        </w:trPr>
        <w:tc>
          <w:tcPr>
            <w:tcW w:w="6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administrative expenses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339,262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323,212</w:t>
            </w:r>
          </w:p>
        </w:tc>
      </w:tr>
      <w:tr>
        <w:trPr>
          <w:trHeight w:val="216"/>
        </w:trPr>
        <w:tc>
          <w:tcPr>
            <w:tcW w:w="6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Refund liability </w:t>
            </w:r>
            <w:r>
              <w:rPr>
                <w:rFonts w:ascii="Times New Roman" w:cs="Times New Roman" w:eastAsia="Times New Roman" w:hAnsi="Times New Roman"/>
                <w:sz w:val="18"/>
                <w:szCs w:val="18"/>
                <w:i w:val="1"/>
                <w:iCs w:val="1"/>
                <w:color w:val="auto"/>
              </w:rPr>
              <w:t>(Note c)</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510,655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468,454</w:t>
            </w:r>
          </w:p>
        </w:tc>
      </w:tr>
      <w:tr>
        <w:trPr>
          <w:trHeight w:val="216"/>
        </w:trPr>
        <w:tc>
          <w:tcPr>
            <w:tcW w:w="6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Cash-settled share-based compensation </w:t>
            </w:r>
            <w:r>
              <w:rPr>
                <w:rFonts w:ascii="Times New Roman" w:cs="Times New Roman" w:eastAsia="Times New Roman" w:hAnsi="Times New Roman"/>
                <w:sz w:val="18"/>
                <w:szCs w:val="18"/>
                <w:i w:val="1"/>
                <w:iCs w:val="1"/>
                <w:color w:val="auto"/>
              </w:rPr>
              <w:t>(Note 23(c))</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1,258,189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1,627,615</w:t>
            </w:r>
          </w:p>
        </w:tc>
      </w:tr>
      <w:tr>
        <w:trPr>
          <w:trHeight w:val="216"/>
        </w:trPr>
        <w:tc>
          <w:tcPr>
            <w:tcW w:w="6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Loan from non-controlling interests shareholders </w:t>
            </w:r>
            <w:r>
              <w:rPr>
                <w:rFonts w:ascii="Times New Roman" w:cs="Times New Roman" w:eastAsia="Times New Roman" w:hAnsi="Times New Roman"/>
                <w:sz w:val="18"/>
                <w:szCs w:val="18"/>
                <w:i w:val="1"/>
                <w:iCs w:val="1"/>
                <w:color w:val="auto"/>
              </w:rPr>
              <w:t>(Note d)</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159,500</w:t>
            </w:r>
          </w:p>
        </w:tc>
      </w:tr>
      <w:tr>
        <w:trPr>
          <w:trHeight w:val="216"/>
        </w:trPr>
        <w:tc>
          <w:tcPr>
            <w:tcW w:w="6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repurchasing of ordinary shares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52,218</w:t>
            </w:r>
          </w:p>
        </w:tc>
      </w:tr>
      <w:tr>
        <w:trPr>
          <w:trHeight w:val="216"/>
        </w:trPr>
        <w:tc>
          <w:tcPr>
            <w:tcW w:w="6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160,871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31,851</w:t>
            </w:r>
          </w:p>
        </w:tc>
      </w:tr>
      <w:tr>
        <w:trPr>
          <w:trHeight w:val="209"/>
        </w:trPr>
        <w:tc>
          <w:tcPr>
            <w:tcW w:w="660" w:type="dxa"/>
            <w:vAlign w:val="bottom"/>
          </w:tcPr>
          <w:p>
            <w:pPr>
              <w:spacing w:after="0"/>
              <w:rPr>
                <w:sz w:val="18"/>
                <w:szCs w:val="18"/>
                <w:color w:val="auto"/>
              </w:rPr>
            </w:pPr>
          </w:p>
        </w:tc>
        <w:tc>
          <w:tcPr>
            <w:tcW w:w="5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9,663,421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9,941,146</w:t>
            </w:r>
          </w:p>
        </w:tc>
      </w:tr>
      <w:tr>
        <w:trPr>
          <w:trHeight w:val="20"/>
        </w:trPr>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5"/>
        </w:trPr>
        <w:tc>
          <w:tcPr>
            <w:tcW w:w="6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3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r>
    </w:tbl>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60" w:lineRule="exact"/>
        <w:rPr>
          <w:sz w:val="20"/>
          <w:szCs w:val="20"/>
          <w:color w:val="auto"/>
        </w:rPr>
      </w:pPr>
    </w:p>
    <w:p>
      <w:pPr>
        <w:ind w:left="660" w:right="20" w:hanging="328"/>
        <w:spacing w:after="0" w:line="282" w:lineRule="auto"/>
        <w:tabs>
          <w:tab w:leader="none" w:pos="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cash collected on behalf of third-party merchants who sold their goods or services through the platforms and cash collected on behalf of the lessee of Shan Shan Outlets related to the consideration for goods sold in outlets.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VAT and related surcharges, PRC individual income tax of employees withheld by the Group, tariffs, import VAT and consumption tax pursuant to the Circular on Tax Policy for Cross-border E-commerce Retail Imports.</w:t>
      </w:r>
    </w:p>
    <w:p>
      <w:pPr>
        <w:spacing w:after="0" w:line="94"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offers online customers with an unconditional right of return for a period of 7 days upon receipt of products on sales from its platforms. Accordingly, the Group estimates the expected customer merchandize returns, based on historical return patterns, to record the revenue reversal and a corresponding refund liability which is included in accrued expenses and other current liabilities.</w:t>
      </w:r>
    </w:p>
    <w:p>
      <w:pPr>
        <w:spacing w:after="0" w:line="1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mainly represents loans from non-controlling interests shareholders of Shan Shan Outlets for the outlets’ operation.</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retirement benefit</w:t>
      </w:r>
    </w:p>
    <w:p>
      <w:pPr>
        <w:spacing w:after="0" w:line="229" w:lineRule="exact"/>
        <w:rPr>
          <w:rFonts w:ascii="Times New Roman" w:cs="Times New Roman" w:eastAsia="Times New Roman" w:hAnsi="Times New Roman"/>
          <w:sz w:val="18"/>
          <w:szCs w:val="18"/>
          <w:b w:val="1"/>
          <w:bCs w:val="1"/>
          <w:color w:val="auto"/>
        </w:rPr>
      </w:pPr>
    </w:p>
    <w:p>
      <w:pPr>
        <w:ind w:left="340" w:right="4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Full time employees in the PRC participate in a government mandated defined contribution plan pursuant to which certain pension benefits, medical care, unemployment insurance, employee housing fund and other welfare benefits are provided to employees. The PRC labor regulations require the Group to make contributions based on certain percentages of the employees’ basic salaries. Other than the contribution, there is no further obligation under these plans. The total contributions and accruals made for such employee benefits were RMB455,559, RMB592,786 and RMB617,704 for the years ended December 31, 2023, 2024 and 2025, respectively.</w:t>
      </w: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loans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the outstanding short-term loans are as follows:</w:t>
      </w:r>
    </w:p>
    <w:p>
      <w:pPr>
        <w:spacing w:after="0" w:line="232" w:lineRule="exact"/>
        <w:rPr>
          <w:sz w:val="20"/>
          <w:szCs w:val="20"/>
          <w:color w:val="auto"/>
        </w:rPr>
      </w:pPr>
    </w:p>
    <w:p>
      <w:pPr>
        <w:ind w:left="7040"/>
        <w:spacing w:after="0"/>
        <w:tabs>
          <w:tab w:leader="none" w:pos="738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3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22"/>
        </w:trPr>
        <w:tc>
          <w:tcPr>
            <w:tcW w:w="6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360" w:type="dxa"/>
            <w:vAlign w:val="bottom"/>
          </w:tcPr>
          <w:p>
            <w:pPr>
              <w:ind w:left="42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76"/>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96"/>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3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360" w:type="dxa"/>
            <w:vAlign w:val="bottom"/>
          </w:tcPr>
          <w:p>
            <w:pPr>
              <w:ind w:left="4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0" w:type="dxa"/>
            <w:vAlign w:val="bottom"/>
          </w:tcPr>
          <w:p>
            <w:pPr>
              <w:spacing w:after="0"/>
              <w:rPr>
                <w:sz w:val="18"/>
                <w:szCs w:val="18"/>
                <w:color w:val="auto"/>
              </w:rPr>
            </w:pPr>
          </w:p>
        </w:tc>
        <w:tc>
          <w:tcPr>
            <w:tcW w:w="6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RMB denominated </w:t>
            </w:r>
            <w:r>
              <w:rPr>
                <w:rFonts w:ascii="Times New Roman" w:cs="Times New Roman" w:eastAsia="Times New Roman" w:hAnsi="Times New Roman"/>
                <w:sz w:val="18"/>
                <w:szCs w:val="18"/>
                <w:i w:val="1"/>
                <w:iCs w:val="1"/>
                <w:color w:val="auto"/>
              </w:rPr>
              <w:t>(Note 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2,397,000</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4,446,000</w:t>
            </w:r>
          </w:p>
        </w:tc>
      </w:tr>
      <w:tr>
        <w:trPr>
          <w:trHeight w:val="216"/>
        </w:trPr>
        <w:tc>
          <w:tcPr>
            <w:tcW w:w="66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US$ denominated </w:t>
            </w:r>
            <w:r>
              <w:rPr>
                <w:rFonts w:ascii="Times New Roman" w:cs="Times New Roman" w:eastAsia="Times New Roman" w:hAnsi="Times New Roman"/>
                <w:sz w:val="18"/>
                <w:szCs w:val="18"/>
                <w:i w:val="1"/>
                <w:iCs w:val="1"/>
                <w:color w:val="auto"/>
              </w:rPr>
              <w:t>(Note b)</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1,398,620</w:t>
            </w:r>
          </w:p>
        </w:tc>
      </w:tr>
      <w:tr>
        <w:trPr>
          <w:trHeight w:val="216"/>
        </w:trPr>
        <w:tc>
          <w:tcPr>
            <w:tcW w:w="660" w:type="dxa"/>
            <w:vAlign w:val="bottom"/>
          </w:tcPr>
          <w:p>
            <w:pPr>
              <w:spacing w:after="0"/>
              <w:rPr>
                <w:sz w:val="18"/>
                <w:szCs w:val="18"/>
                <w:color w:val="auto"/>
              </w:rPr>
            </w:pPr>
          </w:p>
        </w:tc>
        <w:tc>
          <w:tcPr>
            <w:tcW w:w="6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EUR denominated </w:t>
            </w:r>
            <w:r>
              <w:rPr>
                <w:rFonts w:ascii="Times New Roman" w:cs="Times New Roman" w:eastAsia="Times New Roman" w:hAnsi="Times New Roman"/>
                <w:sz w:val="18"/>
                <w:szCs w:val="18"/>
                <w:i w:val="1"/>
                <w:iCs w:val="1"/>
                <w:color w:val="auto"/>
              </w:rPr>
              <w:t>(Note c)</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2,399,629</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5,844,620</w:t>
            </w:r>
          </w:p>
        </w:tc>
      </w:tr>
      <w:tr>
        <w:trPr>
          <w:trHeight w:val="20"/>
        </w:trPr>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5"/>
        </w:trPr>
        <w:tc>
          <w:tcPr>
            <w:tcW w:w="6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4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r>
    </w:tbl>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660" w:right="20" w:hanging="328"/>
        <w:spacing w:after="0" w:line="25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repaid the outstanding short-term loan balances under the facilities as of December 31, 2023 and the letter of guarantee for procurement amounted RMB540.5 million was expired. The Group entered into various new RMB denominated revolving credit facilities for a total credit of up to RMB12.93 billion, in which RMB720.0 million was drawn down and outstanding as short-term loans and RMB1.68 billion was drawn down and outstanding under factoring arrangement as of December 31, 2024, with fixed interest rate ranging from 1.25% to 1.80% per annum, and RMB652.1 million was utilized for issuing letter of guarantee for procurement.</w:t>
      </w:r>
    </w:p>
    <w:p>
      <w:pPr>
        <w:spacing w:after="0" w:line="187"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Group repaid the outstanding short-term loan balances under the facilities as of December 31, 2024 and the letter of guarantee for procurement amounted RMB611.3 million was expired. The Group entered into various new RMB denominated revolving credit facilities for a total credit of up to RMB21.10 billion, in which RMB294.0 million was drawn down and outstanding as short-term loans and RMB3.00 billion was drawn down and outstanding under factoring arrangement as of December 31, 2025, with fixed interest rate ranging from 0.76% to 1.32% per annum, RMB634.5 million was utilized for issuing letter of guarantee for procurement and RMB101.5 million was utilized as security deposits for short-term investments.</w:t>
      </w:r>
    </w:p>
    <w:p>
      <w:pPr>
        <w:spacing w:after="0" w:line="18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amended the facilities for a total credit of up to US$245.5 million (approximately RMB1.79 billion) in which HKD2.0 million and MYR0.3 million (approximately RMB2.4 million or US$0.3 million) was utilized for issuing letter of guarantee for procurement as of December 31, 2024.</w:t>
      </w:r>
    </w:p>
    <w:p>
      <w:pPr>
        <w:spacing w:after="0" w:line="175" w:lineRule="exact"/>
        <w:rPr>
          <w:rFonts w:ascii="Times New Roman" w:cs="Times New Roman" w:eastAsia="Times New Roman" w:hAnsi="Times New Roman"/>
          <w:sz w:val="18"/>
          <w:szCs w:val="18"/>
          <w:color w:val="auto"/>
        </w:rPr>
      </w:pPr>
    </w:p>
    <w:p>
      <w:pPr>
        <w:ind w:left="660"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letters of guarantee for procurement was expired and the Group entered into various new US$ denominated credit facilities for a total credit of up to US$748.5 million (approximately RMB5.23 billion). Among these credit facilities, US$300.0 million (approximately RMB2.10 billion) was utilized and outstanding as short-term loans and EUR0.2 million (approximately RMB1.3 million and US$0.2 million) was utilized for issuing letter of guarantee by the Company as of December 31, 2025. Among the US$300.0 million short-term loans, US$200.0 million (approximately RMB1.40 billion) was US$ denominated and the rest of the short-term loans were RMB denominated.</w:t>
      </w:r>
    </w:p>
    <w:p>
      <w:pPr>
        <w:spacing w:after="0" w:line="18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repaid the outstanding short-term loan balances as of December 31, 2023. During the year ending 2024, EUR0.3 million (approximately RMB2.6 million) was drawn down and outstanding as of December 31, 2024, with fixed interest rate of 0.02% per day, and RMB43.3 million was utilized for issuing letter of guarantee for procurement.</w:t>
      </w:r>
    </w:p>
    <w:p>
      <w:pPr>
        <w:spacing w:after="0" w:line="179" w:lineRule="exact"/>
        <w:rPr>
          <w:rFonts w:ascii="Times New Roman" w:cs="Times New Roman" w:eastAsia="Times New Roman" w:hAnsi="Times New Roman"/>
          <w:sz w:val="18"/>
          <w:szCs w:val="18"/>
          <w:color w:val="auto"/>
        </w:rPr>
      </w:pPr>
    </w:p>
    <w:p>
      <w:pPr>
        <w:ind w:left="66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the Group repaid the outstanding short-term loan balances as of December 31, 2024 and the letter of guarantee for procurement amounted RMB38.3 million was expired. As of December 31, 2025, RMB63.9 million was utilized for issuing letter of guarantee for procurement.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loans (Continued)</w:t>
      </w:r>
    </w:p>
    <w:p>
      <w:pPr>
        <w:spacing w:after="0" w:line="229" w:lineRule="exact"/>
        <w:rPr>
          <w:rFonts w:ascii="Times New Roman" w:cs="Times New Roman" w:eastAsia="Times New Roman" w:hAnsi="Times New Roman"/>
          <w:sz w:val="18"/>
          <w:szCs w:val="18"/>
          <w:b w:val="1"/>
          <w:bCs w:val="1"/>
          <w:color w:val="auto"/>
        </w:rPr>
      </w:pPr>
    </w:p>
    <w:p>
      <w:pPr>
        <w:ind w:left="34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2024 and 2025, certain credit facilities with aggregate amounts of RMB1.80 billion, RMB2.39 billion, and RMB6.39 billion, respectively, were guaranteed. As of December 31, 2025, among the guaranteed credit facilities, US$748.5 million (approximately RMB5.23 billion), and RMB665.0 million were guaranteed by the Company and its subsidiaries, and RMB490.0 million were secured by certain patents owned by one subsidiary of the Company. As of December 31, 2024 and 2025, RMB2.34 billion and RMB4.23 billion, respectively, of these credit facilities remained available.</w:t>
      </w:r>
    </w:p>
    <w:p>
      <w:pPr>
        <w:spacing w:after="0" w:line="183" w:lineRule="exact"/>
        <w:rPr>
          <w:rFonts w:ascii="Times New Roman" w:cs="Times New Roman" w:eastAsia="Times New Roman" w:hAnsi="Times New Roman"/>
          <w:sz w:val="18"/>
          <w:szCs w:val="18"/>
          <w:b w:val="1"/>
          <w:bCs w:val="1"/>
          <w:color w:val="auto"/>
        </w:rPr>
      </w:pPr>
    </w:p>
    <w:p>
      <w:pPr>
        <w:ind w:left="340"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and 2025, all the amounts of the outstanding balance will be repaid within one year and had been classified as short-term loans.</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From the Perspective of Lessee</w:t>
      </w:r>
    </w:p>
    <w:p>
      <w:pPr>
        <w:spacing w:after="0" w:line="229" w:lineRule="exact"/>
        <w:rPr>
          <w:rFonts w:ascii="Times New Roman" w:cs="Times New Roman" w:eastAsia="Times New Roman" w:hAnsi="Times New Roman"/>
          <w:sz w:val="18"/>
          <w:szCs w:val="18"/>
          <w:b w:val="1"/>
          <w:bCs w:val="1"/>
          <w:color w:val="auto"/>
        </w:rPr>
      </w:pPr>
    </w:p>
    <w:p>
      <w:pPr>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office space, offline stores, apartments and certain equipment under operating leases for terms ranging from short-term (under 12 months) to 16 years. The Group has options to extend or terminate leases, but the renewals or terminations of these leases are on negotiation basis. None of these leases contain material residual value guarantees or material restrictive covenants, and the Group does not have any financing leases.</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balance sheet information related to the leases are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40" w:type="dxa"/>
            <w:vAlign w:val="bottom"/>
          </w:tcPr>
          <w:p>
            <w:pPr>
              <w:ind w:left="5620"/>
              <w:spacing w:after="0"/>
              <w:rPr>
                <w:sz w:val="20"/>
                <w:szCs w:val="20"/>
                <w:color w:val="auto"/>
              </w:rPr>
            </w:pPr>
            <w:r>
              <w:rPr>
                <w:rFonts w:ascii="Times New Roman" w:cs="Times New Roman" w:eastAsia="Times New Roman" w:hAnsi="Times New Roman"/>
                <w:sz w:val="14"/>
                <w:szCs w:val="14"/>
                <w:b w:val="1"/>
                <w:bCs w:val="1"/>
                <w:color w:val="auto"/>
              </w:rPr>
              <w:t>​​​</w:t>
            </w:r>
          </w:p>
        </w:tc>
        <w:tc>
          <w:tcPr>
            <w:tcW w:w="22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7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88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90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433,617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398,798</w:t>
            </w:r>
          </w:p>
        </w:tc>
        <w:tc>
          <w:tcPr>
            <w:tcW w:w="18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47,458</w:t>
            </w:r>
          </w:p>
        </w:tc>
        <w:tc>
          <w:tcPr>
            <w:tcW w:w="18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591,995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556,951</w:t>
            </w:r>
          </w:p>
        </w:tc>
        <w:tc>
          <w:tcPr>
            <w:tcW w:w="18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Weight-average discount rate</w:t>
            </w:r>
          </w:p>
        </w:tc>
        <w:tc>
          <w:tcPr>
            <w:tcW w:w="11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4.89 %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4.89 %</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costs of these operating leases for the years ended December 31, 2023, 2024 and 2025 are as follow:</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60" w:type="dxa"/>
            <w:vAlign w:val="bottom"/>
          </w:tcPr>
          <w:p>
            <w:pPr>
              <w:ind w:left="5020"/>
              <w:spacing w:after="0"/>
              <w:rPr>
                <w:sz w:val="20"/>
                <w:szCs w:val="20"/>
                <w:color w:val="auto"/>
              </w:rPr>
            </w:pPr>
            <w:r>
              <w:rPr>
                <w:rFonts w:ascii="Times New Roman" w:cs="Times New Roman" w:eastAsia="Times New Roman" w:hAnsi="Times New Roman"/>
                <w:sz w:val="14"/>
                <w:szCs w:val="14"/>
                <w:b w:val="1"/>
                <w:bCs w:val="1"/>
                <w:color w:val="auto"/>
              </w:rPr>
              <w:t>​​​</w:t>
            </w:r>
          </w:p>
        </w:tc>
        <w:tc>
          <w:tcPr>
            <w:tcW w:w="2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160" w:type="dxa"/>
            <w:vAlign w:val="bottom"/>
          </w:tcPr>
          <w:p>
            <w:pPr>
              <w:spacing w:after="0"/>
              <w:rPr>
                <w:sz w:val="12"/>
                <w:szCs w:val="12"/>
                <w:color w:val="auto"/>
              </w:rPr>
            </w:pPr>
          </w:p>
        </w:tc>
        <w:tc>
          <w:tcPr>
            <w:tcW w:w="78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160" w:type="dxa"/>
            <w:vAlign w:val="bottom"/>
          </w:tcPr>
          <w:p>
            <w:pPr>
              <w:spacing w:after="0"/>
              <w:rPr>
                <w:sz w:val="12"/>
                <w:szCs w:val="12"/>
                <w:color w:val="auto"/>
              </w:rPr>
            </w:pPr>
          </w:p>
        </w:tc>
        <w:tc>
          <w:tcPr>
            <w:tcW w:w="780" w:type="dxa"/>
            <w:vAlign w:val="bottom"/>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82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 for fixed payments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90,707</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89,278</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52,442</w:t>
            </w:r>
          </w:p>
        </w:tc>
        <w:tc>
          <w:tcPr>
            <w:tcW w:w="2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49,540</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44,975</w:t>
            </w: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261,189</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227,368</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224,960</w:t>
            </w:r>
          </w:p>
        </w:tc>
      </w:tr>
      <w:tr>
        <w:trPr>
          <w:trHeight w:val="20"/>
        </w:trPr>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supplemental cash flow information related to leases: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60" w:type="dxa"/>
            <w:vAlign w:val="bottom"/>
          </w:tcPr>
          <w:p>
            <w:pPr>
              <w:ind w:left="5020"/>
              <w:spacing w:after="0"/>
              <w:rPr>
                <w:sz w:val="20"/>
                <w:szCs w:val="20"/>
                <w:color w:val="auto"/>
              </w:rPr>
            </w:pPr>
            <w:r>
              <w:rPr>
                <w:rFonts w:ascii="Times New Roman" w:cs="Times New Roman" w:eastAsia="Times New Roman" w:hAnsi="Times New Roman"/>
                <w:sz w:val="14"/>
                <w:szCs w:val="14"/>
                <w:color w:val="auto"/>
              </w:rPr>
              <w:t>​​​</w:t>
            </w:r>
          </w:p>
        </w:tc>
        <w:tc>
          <w:tcPr>
            <w:tcW w:w="28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160" w:type="dxa"/>
            <w:vAlign w:val="bottom"/>
          </w:tcPr>
          <w:p>
            <w:pPr>
              <w:ind w:left="50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r>
      <w:tr>
        <w:trPr>
          <w:trHeight w:val="198"/>
        </w:trPr>
        <w:tc>
          <w:tcPr>
            <w:tcW w:w="5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8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100,662</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 (Continued)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From the Perspective of Lessee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maturities of lease liabilities as of December 31, 2025:</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Maturities of lease liabilities at December 31, 2025</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42"/>
        </w:trPr>
        <w:tc>
          <w:tcPr>
            <w:tcW w:w="6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74,403</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61,977</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80,936</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83,753</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81,810</w:t>
            </w:r>
          </w:p>
        </w:tc>
      </w:tr>
      <w:tr>
        <w:trPr>
          <w:trHeight w:val="216"/>
        </w:trPr>
        <w:tc>
          <w:tcPr>
            <w:tcW w:w="7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388,828</w:t>
            </w:r>
          </w:p>
        </w:tc>
      </w:tr>
      <w:tr>
        <w:trPr>
          <w:trHeight w:val="209"/>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771,707</w:t>
            </w:r>
          </w:p>
        </w:tc>
      </w:tr>
      <w:tr>
        <w:trPr>
          <w:trHeight w:val="216"/>
        </w:trPr>
        <w:tc>
          <w:tcPr>
            <w:tcW w:w="7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167,298</w:t>
            </w:r>
          </w:p>
        </w:tc>
      </w:tr>
      <w:tr>
        <w:trPr>
          <w:trHeight w:val="210"/>
        </w:trPr>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present value of lease liabilities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604,409</w:t>
            </w: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RMB135,657 impairment loss was recorded in general and administrative expenses related to ROU assets of city outlets. No impairment loss was recorded for the years ended December 31, 2024 and 2025.</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Lessor arrangement - Operating lease</w:t>
      </w:r>
    </w:p>
    <w:p>
      <w:pPr>
        <w:spacing w:after="0" w:line="202"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The Group generates lease income from Shan Shan Outlets and warehouses. The variable lease payments related to Shan Shan Outlets are determined based on the lessee’s sales amounts and a rate specified in the lease contract. The Group’s lease arrangements do not include options for the lessee to purchase the underlying assets or to extend or terminate the lease. Additionally, the Group’s agreements typically include clauses that may restrict the use of the asset or require specific actions by the lessee to ensure proper maintenance of the asset for its continued performance.</w:t>
      </w:r>
    </w:p>
    <w:p>
      <w:pPr>
        <w:spacing w:after="0" w:line="143"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As of December 31, 2025, the undiscounted minimum lease payments expected to be received over the remaining lease terms are as follows: RMB823.7 million for 2026, RMB352.4 million for 2027, and RMB175.4 million for 2028, RMB86.8 million for 2029, RMB65.7 million for 2030 and RMB148.7 million for 2031 and thereafter.</w:t>
      </w:r>
    </w:p>
    <w:p>
      <w:pPr>
        <w:spacing w:after="0" w:line="131"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of profit</w:t>
      </w:r>
    </w:p>
    <w:p>
      <w:pPr>
        <w:spacing w:after="0" w:line="188" w:lineRule="exact"/>
        <w:rPr>
          <w:rFonts w:ascii="Times New Roman" w:cs="Times New Roman" w:eastAsia="Times New Roman" w:hAnsi="Times New Roman"/>
          <w:sz w:val="18"/>
          <w:szCs w:val="18"/>
          <w:b w:val="1"/>
          <w:bCs w:val="1"/>
          <w:color w:val="auto"/>
        </w:rPr>
      </w:pPr>
    </w:p>
    <w:p>
      <w:pPr>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laws applicable to entities incorporated in the PRC, the PRC entities are prohibited from distributing their statutory capital and are required to appropriate from profit after tax, under accounting principles generally accepted in the PRC, to other non-distributable reserve funds after offsetting accumulated losses from prior years, until the cumulative amount of such reserve fund reaches 50% of the registered capital. These reserve funds include one or more of the following: (i) a general reserve, (ii) an enterprise expansion fund and (iii) a staff bonus and welfare fund. Subject to certain cumulative limits, the general reserve fund requires annual appropriation at 10% of after-tax profit (as determined under accounting principles generally accepted in the PRC at each year-end); the appropriation to the other fund is at the discretion of the subsidiaries. The PRC entities are also subject to certain restrictions with respect to transfers of any of their net assets to the Company and the Company does not have legal ownership in VIEs and VIEs’ subsidiaries.</w:t>
      </w:r>
    </w:p>
    <w:p>
      <w:pPr>
        <w:spacing w:after="0" w:line="161" w:lineRule="exact"/>
        <w:rPr>
          <w:rFonts w:ascii="Times New Roman" w:cs="Times New Roman" w:eastAsia="Times New Roman" w:hAnsi="Times New Roman"/>
          <w:sz w:val="18"/>
          <w:szCs w:val="18"/>
          <w:b w:val="1"/>
          <w:bCs w:val="1"/>
          <w:color w:val="auto"/>
        </w:rPr>
      </w:pPr>
    </w:p>
    <w:p>
      <w:pPr>
        <w:ind w:left="34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general reserve is used to offset future extraordinary losses. PRC entities may, upon a resolution passed by the shareholders, convert the general reserve into capital. The staff welfare and bonus reserve are used for the collective welfare of the employees of the subsidiary. The enterprise expansion reserve is for the expansion of the subsidiary’s operations and can be converted to capital subject to approval by the relevant authorities. These reserves represent appropriations of the retained earnings determined in accordance with Chinese law and are not distributable as cash dividends to the Company.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of profit (Continued)</w:t>
      </w:r>
    </w:p>
    <w:p>
      <w:pPr>
        <w:spacing w:after="0" w:line="188" w:lineRule="exact"/>
        <w:rPr>
          <w:rFonts w:ascii="Times New Roman" w:cs="Times New Roman" w:eastAsia="Times New Roman" w:hAnsi="Times New Roman"/>
          <w:sz w:val="18"/>
          <w:szCs w:val="18"/>
          <w:b w:val="1"/>
          <w:bCs w:val="1"/>
          <w:color w:val="auto"/>
        </w:rPr>
      </w:pPr>
    </w:p>
    <w:p>
      <w:pPr>
        <w:ind w:left="3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Relevant PRC statutory laws and regulations permit payment of dividends by the Company’s PRC entities only out of their retained earnings, if any, as determined in accordance with PRC accounting standards and regulations. The Company’s PRC entities transferred RMB150,120, RMB193,491 and RMB279,088 from current year’s net income to the general reserve during the years ended December 31, 2023, 2024 and 2025, respectively.</w:t>
      </w:r>
    </w:p>
    <w:p>
      <w:pPr>
        <w:spacing w:after="0" w:line="13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balance of restricted net assets was RMB16.65 billion as of December 31, 2025.</w:t>
      </w:r>
    </w:p>
    <w:p>
      <w:pPr>
        <w:spacing w:after="0" w:line="180" w:lineRule="exact"/>
        <w:rPr>
          <w:rFonts w:ascii="Times New Roman" w:cs="Times New Roman" w:eastAsia="Times New Roman" w:hAnsi="Times New Roman"/>
          <w:sz w:val="18"/>
          <w:szCs w:val="18"/>
          <w:b w:val="1"/>
          <w:bCs w:val="1"/>
          <w:color w:val="auto"/>
        </w:rPr>
      </w:pPr>
    </w:p>
    <w:p>
      <w:pPr>
        <w:ind w:left="340" w:right="7500" w:hanging="332"/>
        <w:spacing w:after="0" w:line="464" w:lineRule="auto"/>
        <w:tabs>
          <w:tab w:leader="none" w:pos="3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 Dual-class share structure</w:t>
      </w:r>
    </w:p>
    <w:p>
      <w:pPr>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15, 2014, the Company’s shareholders voted in favor of a proposal to adopt a dual-class share structure, pursuant to which the Company’s authorized share capital was reclassified and re-designated into Class A ordinary shares and Class B ordinary shares, with each Class A ordinary share being entitled to one vote and each Class B ordinary share being entitled to ten votes on all matters that are subject to shareholder vote. Both Class A and Class B ordinary shares are entitled to the same dividend right. The holders of the Group’s ordinary shares are entitled to such dividends as may be declared by the board of directors subject to the Companies Law. As of December 31, 2024 and 2025, all Class B ordinary shares were held by the Chairman of the Company.</w:t>
      </w:r>
    </w:p>
    <w:p>
      <w:pPr>
        <w:spacing w:after="0" w:line="14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share options</w:t>
      </w:r>
    </w:p>
    <w:p>
      <w:pPr>
        <w:spacing w:after="0" w:line="188"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2023 and 2024, nil and 14,000 Class A ordinary shares were issued respectively, as a result of exercise of share options by employees.</w:t>
      </w:r>
    </w:p>
    <w:p>
      <w:pPr>
        <w:spacing w:after="0" w:line="134" w:lineRule="exact"/>
        <w:rPr>
          <w:rFonts w:ascii="Times New Roman" w:cs="Times New Roman" w:eastAsia="Times New Roman" w:hAnsi="Times New Roman"/>
          <w:sz w:val="18"/>
          <w:szCs w:val="18"/>
          <w:b w:val="1"/>
          <w:bCs w:val="1"/>
          <w:color w:val="auto"/>
        </w:rPr>
      </w:pPr>
    </w:p>
    <w:p>
      <w:pPr>
        <w:ind w:left="340"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372,000 treasury shares were re-issued as Class A ordinary shares, as a result of exercise of share options by employees.</w:t>
      </w:r>
    </w:p>
    <w:p>
      <w:pPr>
        <w:spacing w:after="0" w:line="11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of shares awards</w:t>
      </w:r>
    </w:p>
    <w:p>
      <w:pPr>
        <w:spacing w:after="0" w:line="188" w:lineRule="exact"/>
        <w:rPr>
          <w:rFonts w:ascii="Times New Roman" w:cs="Times New Roman" w:eastAsia="Times New Roman" w:hAnsi="Times New Roman"/>
          <w:sz w:val="18"/>
          <w:szCs w:val="18"/>
          <w:b w:val="1"/>
          <w:bCs w:val="1"/>
          <w:color w:val="auto"/>
        </w:rPr>
      </w:pPr>
    </w:p>
    <w:p>
      <w:pPr>
        <w:ind w:left="34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2023, 2024 and 2025, 1,034,612, 1,118,228 and 61,810 Class A ordinary shares were issued respectively as a result of vesting of shares awards granted to employees.</w:t>
      </w:r>
    </w:p>
    <w:p>
      <w:pPr>
        <w:spacing w:after="0" w:line="13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of ordinary shares</w:t>
      </w:r>
    </w:p>
    <w:p>
      <w:pPr>
        <w:spacing w:after="0" w:line="188" w:lineRule="exact"/>
        <w:rPr>
          <w:rFonts w:ascii="Times New Roman" w:cs="Times New Roman" w:eastAsia="Times New Roman" w:hAnsi="Times New Roman"/>
          <w:sz w:val="18"/>
          <w:szCs w:val="18"/>
          <w:b w:val="1"/>
          <w:bCs w:val="1"/>
          <w:color w:val="auto"/>
        </w:rPr>
      </w:pPr>
    </w:p>
    <w:p>
      <w:pPr>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Group repurchased approximately US$713.3 million (RMB4,968.5 million) of ADS representing 9,755,695 class A ordinary shares in accordance with the US$1.00 billion, US$500.0 million and US$500.0 million share repurchase program the Company’s board of directors authorized in March 2022, March 2023 and May 2023.</w:t>
      </w:r>
    </w:p>
    <w:p>
      <w:pPr>
        <w:spacing w:after="0" w:line="135" w:lineRule="exact"/>
        <w:rPr>
          <w:rFonts w:ascii="Times New Roman" w:cs="Times New Roman" w:eastAsia="Times New Roman" w:hAnsi="Times New Roman"/>
          <w:sz w:val="18"/>
          <w:szCs w:val="18"/>
          <w:b w:val="1"/>
          <w:bCs w:val="1"/>
          <w:color w:val="auto"/>
        </w:rPr>
      </w:pPr>
    </w:p>
    <w:p>
      <w:pPr>
        <w:ind w:left="34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the Group repurchased approximately US$536.1 million (RMB3,852.4 million) of ADS representing 7,668,435 class A ordinary shares in accordance with the US$500.0 million and US$500.0 million share repurchase program the Company’s board of directors authorized in March 2023 and May 2023. In addition, during the same period, the Group repurchased 12,249 class A ordinary shares that had been issued to employees in prior years and were already vested, with no consideration paid by the Group.</w:t>
      </w:r>
    </w:p>
    <w:p>
      <w:pPr>
        <w:spacing w:after="0" w:line="156" w:lineRule="exact"/>
        <w:rPr>
          <w:rFonts w:ascii="Times New Roman" w:cs="Times New Roman" w:eastAsia="Times New Roman" w:hAnsi="Times New Roman"/>
          <w:sz w:val="18"/>
          <w:szCs w:val="18"/>
          <w:b w:val="1"/>
          <w:bCs w:val="1"/>
          <w:color w:val="auto"/>
        </w:rPr>
      </w:pPr>
    </w:p>
    <w:p>
      <w:pPr>
        <w:ind w:left="34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the Group repurchased approximately US$696.7 million (RMB4,997.0 million) of ADS representing 195,526 class A ordinary shares in accordance with the US$500.0 million share repurchase program the Company’s board of directors authorized in May 2023 and 8,491,086 class A ordinary shares in accordance with the US$1.00 billion share repurchase program the Company’s board of directors authorized in August 2024.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right="7100" w:hanging="332"/>
        <w:spacing w:after="0" w:line="507" w:lineRule="auto"/>
        <w:tabs>
          <w:tab w:leader="none" w:pos="340"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structure (Continued) Cancellation of ordinary shares</w:t>
      </w:r>
    </w:p>
    <w:p>
      <w:pPr>
        <w:spacing w:after="0" w:line="1" w:lineRule="exact"/>
        <w:rPr>
          <w:rFonts w:ascii="Times New Roman" w:cs="Times New Roman" w:eastAsia="Times New Roman" w:hAnsi="Times New Roman"/>
          <w:sz w:val="17"/>
          <w:szCs w:val="17"/>
          <w:b w:val="1"/>
          <w:bCs w:val="1"/>
          <w:color w:val="auto"/>
        </w:rPr>
      </w:pPr>
    </w:p>
    <w:p>
      <w:pPr>
        <w:ind w:left="340" w:right="3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year ended December 31, 2023, the Group canceled 26,216,773 class A ordinary shares, out of treasury shares, with carrying value approximately US$1,426.8 million (RMB9,696.3 million).</w:t>
      </w:r>
    </w:p>
    <w:p>
      <w:pPr>
        <w:spacing w:after="0" w:line="121" w:lineRule="exact"/>
        <w:rPr>
          <w:rFonts w:ascii="Times New Roman" w:cs="Times New Roman" w:eastAsia="Times New Roman" w:hAnsi="Times New Roman"/>
          <w:sz w:val="17"/>
          <w:szCs w:val="17"/>
          <w:b w:val="1"/>
          <w:bCs w:val="1"/>
          <w:color w:val="auto"/>
        </w:rPr>
      </w:pPr>
    </w:p>
    <w:p>
      <w:pPr>
        <w:ind w:left="340" w:right="5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year ended December 31 2025, the Group canceled 5,589,953 class A ordinary shares, out of treasury shares, with carrying value approximately US$395.5 million (RMB2,861.5 million).</w:t>
      </w:r>
    </w:p>
    <w:p>
      <w:pPr>
        <w:spacing w:after="0" w:line="130"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Re-issuance of Treasury Shares</w:t>
      </w:r>
    </w:p>
    <w:p>
      <w:pPr>
        <w:spacing w:after="0" w:line="188" w:lineRule="exact"/>
        <w:rPr>
          <w:rFonts w:ascii="Times New Roman" w:cs="Times New Roman" w:eastAsia="Times New Roman" w:hAnsi="Times New Roman"/>
          <w:sz w:val="17"/>
          <w:szCs w:val="17"/>
          <w:b w:val="1"/>
          <w:bCs w:val="1"/>
          <w:color w:val="auto"/>
        </w:rPr>
      </w:pPr>
    </w:p>
    <w:p>
      <w:pPr>
        <w:ind w:left="34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year ended December 31, 2024, 630,353 of the treasury shares were re-issued to employees of the Group for the purpose of share awards.</w:t>
      </w:r>
    </w:p>
    <w:p>
      <w:pPr>
        <w:spacing w:after="0" w:line="121" w:lineRule="exact"/>
        <w:rPr>
          <w:rFonts w:ascii="Times New Roman" w:cs="Times New Roman" w:eastAsia="Times New Roman" w:hAnsi="Times New Roman"/>
          <w:sz w:val="17"/>
          <w:szCs w:val="17"/>
          <w:b w:val="1"/>
          <w:bCs w:val="1"/>
          <w:color w:val="auto"/>
        </w:rPr>
      </w:pPr>
    </w:p>
    <w:p>
      <w:pPr>
        <w:ind w:left="340" w:right="5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year ended December 31, 2025, 1,851,595 of the treasury shares were re-issued to employees of the Group for the purpose of share awards and share options.</w:t>
      </w:r>
    </w:p>
    <w:p>
      <w:pPr>
        <w:spacing w:after="0" w:line="130"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Dividend</w:t>
      </w:r>
    </w:p>
    <w:p>
      <w:pPr>
        <w:spacing w:after="0" w:line="229" w:lineRule="exact"/>
        <w:rPr>
          <w:rFonts w:ascii="Times New Roman" w:cs="Times New Roman" w:eastAsia="Times New Roman" w:hAnsi="Times New Roman"/>
          <w:sz w:val="17"/>
          <w:szCs w:val="17"/>
          <w:b w:val="1"/>
          <w:bCs w:val="1"/>
          <w:color w:val="auto"/>
        </w:rPr>
      </w:pPr>
    </w:p>
    <w:p>
      <w:pPr>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February 28, 2024, the Company announced that the board of directors approved a cash dividend of US$2.15 per ordinary share, or US$0.43 per ADS, to the holders of ordinary shares and ADSs, respectively, as of the close of business on March 15, 2024. Dividends are recognized when declared. The cash dividends amounted to US$233.3 million (RMB1.67 billion) were paid in April 2024. No dividends had been paid or declared by the Company for the year ended December 31, 2023.</w:t>
      </w:r>
    </w:p>
    <w:p>
      <w:pPr>
        <w:spacing w:after="0" w:line="179" w:lineRule="exact"/>
        <w:rPr>
          <w:rFonts w:ascii="Times New Roman" w:cs="Times New Roman" w:eastAsia="Times New Roman" w:hAnsi="Times New Roman"/>
          <w:sz w:val="17"/>
          <w:szCs w:val="17"/>
          <w:b w:val="1"/>
          <w:bCs w:val="1"/>
          <w:color w:val="auto"/>
        </w:rPr>
      </w:pPr>
    </w:p>
    <w:p>
      <w:pPr>
        <w:ind w:left="340" w:right="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February 21, 2025, the board of directors of the Company declared a dividend of US$2.40 per ordinary share, or US$0.48 per ADS, to holders of ordinary shares and holders of ADSs of record as of the close of business on April 11, 2025. The cash dividends amounted to US$247.4 million (RMB1.80 billion) were paid in April 2025.</w:t>
      </w:r>
    </w:p>
    <w:p>
      <w:pPr>
        <w:spacing w:after="0" w:line="171" w:lineRule="exact"/>
        <w:rPr>
          <w:rFonts w:ascii="Times New Roman" w:cs="Times New Roman" w:eastAsia="Times New Roman" w:hAnsi="Times New Roman"/>
          <w:sz w:val="17"/>
          <w:szCs w:val="17"/>
          <w:b w:val="1"/>
          <w:bCs w:val="1"/>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 Non-controlling</w:t>
            </w:r>
          </w:p>
        </w:tc>
      </w:tr>
      <w:tr>
        <w:trPr>
          <w:trHeight w:val="173"/>
        </w:trPr>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interests</w:t>
            </w:r>
          </w:p>
        </w:tc>
      </w:tr>
      <w:tr>
        <w:trPr>
          <w:trHeight w:val="142"/>
        </w:trPr>
        <w:tc>
          <w:tcPr>
            <w:tcW w:w="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1,598,354</w:t>
            </w:r>
          </w:p>
        </w:tc>
      </w:tr>
      <w:tr>
        <w:trPr>
          <w:trHeight w:val="216"/>
        </w:trPr>
        <w:tc>
          <w:tcPr>
            <w:tcW w:w="6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99,010</w:t>
            </w:r>
          </w:p>
        </w:tc>
      </w:tr>
      <w:tr>
        <w:trPr>
          <w:trHeight w:val="216"/>
        </w:trPr>
        <w:tc>
          <w:tcPr>
            <w:tcW w:w="660" w:type="dxa"/>
            <w:vAlign w:val="bottom"/>
          </w:tcPr>
          <w:p>
            <w:pPr>
              <w:spacing w:after="0"/>
              <w:rPr>
                <w:sz w:val="18"/>
                <w:szCs w:val="18"/>
                <w:color w:val="auto"/>
              </w:rPr>
            </w:pPr>
          </w:p>
        </w:tc>
        <w:tc>
          <w:tcPr>
            <w:tcW w:w="5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Acquisition of additional equity interests in subsidiaries</w:t>
            </w:r>
            <w:r>
              <w:rPr>
                <w:rFonts w:ascii="Times New Roman" w:cs="Times New Roman" w:eastAsia="Times New Roman" w:hAnsi="Times New Roman"/>
                <w:sz w:val="25"/>
                <w:szCs w:val="25"/>
                <w:color w:val="auto"/>
                <w:vertAlign w:val="superscript"/>
              </w:rPr>
              <w:t>(i)</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(228,345)</w:t>
            </w:r>
          </w:p>
        </w:tc>
      </w:tr>
      <w:tr>
        <w:trPr>
          <w:trHeight w:val="216"/>
        </w:trPr>
        <w:tc>
          <w:tcPr>
            <w:tcW w:w="6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distribution to non-controlling interests holders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(42,891)</w:t>
            </w:r>
          </w:p>
        </w:tc>
      </w:tr>
      <w:tr>
        <w:trPr>
          <w:trHeight w:val="216"/>
        </w:trPr>
        <w:tc>
          <w:tcPr>
            <w:tcW w:w="6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Deregistration of subsidiaries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16"/>
        </w:trPr>
        <w:tc>
          <w:tcPr>
            <w:tcW w:w="660" w:type="dxa"/>
            <w:vAlign w:val="bottom"/>
          </w:tcPr>
          <w:p>
            <w:pPr>
              <w:spacing w:after="0"/>
              <w:rPr>
                <w:sz w:val="18"/>
                <w:szCs w:val="18"/>
                <w:color w:val="auto"/>
              </w:rPr>
            </w:pPr>
          </w:p>
        </w:tc>
        <w:tc>
          <w:tcPr>
            <w:tcW w:w="5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Capital contribution from non-controlling interests shareholders</w:t>
            </w:r>
            <w:r>
              <w:rPr>
                <w:rFonts w:ascii="Times New Roman" w:cs="Times New Roman" w:eastAsia="Times New Roman" w:hAnsi="Times New Roman"/>
                <w:sz w:val="25"/>
                <w:szCs w:val="25"/>
                <w:color w:val="auto"/>
                <w:vertAlign w:val="superscript"/>
              </w:rPr>
              <w:t>(ii)</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155,563</w:t>
            </w:r>
          </w:p>
        </w:tc>
      </w:tr>
      <w:tr>
        <w:trPr>
          <w:trHeight w:val="210"/>
        </w:trPr>
        <w:tc>
          <w:tcPr>
            <w:tcW w:w="660" w:type="dxa"/>
            <w:vAlign w:val="bottom"/>
          </w:tcPr>
          <w:p>
            <w:pPr>
              <w:spacing w:after="0"/>
              <w:rPr>
                <w:sz w:val="18"/>
                <w:szCs w:val="18"/>
                <w:color w:val="auto"/>
              </w:rPr>
            </w:pPr>
          </w:p>
        </w:tc>
        <w:tc>
          <w:tcPr>
            <w:tcW w:w="5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1,580,416</w:t>
            </w:r>
          </w:p>
        </w:tc>
      </w:tr>
      <w:tr>
        <w:trPr>
          <w:trHeight w:val="216"/>
        </w:trPr>
        <w:tc>
          <w:tcPr>
            <w:tcW w:w="6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167,149</w:t>
            </w:r>
          </w:p>
        </w:tc>
      </w:tr>
      <w:tr>
        <w:trPr>
          <w:trHeight w:val="216"/>
        </w:trPr>
        <w:tc>
          <w:tcPr>
            <w:tcW w:w="6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distribution to non-controlling interests holders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(22,350)</w:t>
            </w:r>
          </w:p>
        </w:tc>
      </w:tr>
      <w:tr>
        <w:trPr>
          <w:trHeight w:val="216"/>
        </w:trPr>
        <w:tc>
          <w:tcPr>
            <w:tcW w:w="660" w:type="dxa"/>
            <w:vAlign w:val="bottom"/>
          </w:tcPr>
          <w:p>
            <w:pPr>
              <w:spacing w:after="0"/>
              <w:rPr>
                <w:sz w:val="18"/>
                <w:szCs w:val="18"/>
                <w:color w:val="auto"/>
              </w:rPr>
            </w:pPr>
          </w:p>
        </w:tc>
        <w:tc>
          <w:tcPr>
            <w:tcW w:w="5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Capital contribution from non-controlling interests shareholders</w:t>
            </w:r>
            <w:r>
              <w:rPr>
                <w:rFonts w:ascii="Times New Roman" w:cs="Times New Roman" w:eastAsia="Times New Roman" w:hAnsi="Times New Roman"/>
                <w:sz w:val="25"/>
                <w:szCs w:val="25"/>
                <w:color w:val="auto"/>
                <w:vertAlign w:val="superscript"/>
              </w:rPr>
              <w:t>(ii)</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660" w:type="dxa"/>
            <w:vAlign w:val="bottom"/>
          </w:tcPr>
          <w:p>
            <w:pPr>
              <w:spacing w:after="0"/>
              <w:rPr>
                <w:sz w:val="18"/>
                <w:szCs w:val="18"/>
                <w:color w:val="auto"/>
              </w:rPr>
            </w:pPr>
          </w:p>
        </w:tc>
        <w:tc>
          <w:tcPr>
            <w:tcW w:w="5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Capital contribution from Vipshop Outlet REIT</w:t>
            </w:r>
            <w:r>
              <w:rPr>
                <w:rFonts w:ascii="Times New Roman" w:cs="Times New Roman" w:eastAsia="Times New Roman" w:hAnsi="Times New Roman"/>
                <w:sz w:val="25"/>
                <w:szCs w:val="25"/>
                <w:color w:val="auto"/>
                <w:vertAlign w:val="superscript"/>
              </w:rPr>
              <w:t>(iii)</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1,705,200</w:t>
            </w:r>
          </w:p>
        </w:tc>
      </w:tr>
      <w:tr>
        <w:trPr>
          <w:trHeight w:val="210"/>
        </w:trPr>
        <w:tc>
          <w:tcPr>
            <w:tcW w:w="63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0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3,438,415</w:t>
            </w:r>
          </w:p>
        </w:tc>
      </w:tr>
      <w:tr>
        <w:trPr>
          <w:trHeight w:val="20"/>
        </w:trPr>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5"/>
        </w:trPr>
        <w:tc>
          <w:tcPr>
            <w:tcW w:w="6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3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r>
    </w:tbl>
    <w:p>
      <w:pPr>
        <w:spacing w:after="0" w:line="63" w:lineRule="exact"/>
        <w:rPr>
          <w:sz w:val="20"/>
          <w:szCs w:val="20"/>
          <w:color w:val="auto"/>
        </w:rPr>
      </w:pPr>
    </w:p>
    <w:p>
      <w:pPr>
        <w:ind w:left="660" w:hanging="328"/>
        <w:spacing w:after="0" w:line="261"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Group made further investment of RMB512,031 to acquire the remaining shares from non-controlling interests shareholder of Shan Jing Commercial Management (Ningbo) Co., Ltd. The transaction is recorded as a debit of RMB228,139 based on the book value of the non-controlling interests and the remaining amount of RMB283,892 is recorded to additional paid-in capital.</w:t>
      </w:r>
    </w:p>
    <w:p>
      <w:pPr>
        <w:sectPr>
          <w:pgSz w:w="11900" w:h="16838" w:orient="portrait"/>
          <w:cols w:equalWidth="0" w:num="1">
            <w:col w:w="9860"/>
          </w:cols>
          <w:pgMar w:left="980" w:top="513"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 (Continued)</w:t>
      </w:r>
    </w:p>
    <w:p>
      <w:pPr>
        <w:spacing w:after="0" w:line="229" w:lineRule="exact"/>
        <w:rPr>
          <w:rFonts w:ascii="Times New Roman" w:cs="Times New Roman" w:eastAsia="Times New Roman" w:hAnsi="Times New Roman"/>
          <w:sz w:val="18"/>
          <w:szCs w:val="18"/>
          <w:b w:val="1"/>
          <w:bCs w:val="1"/>
          <w:color w:val="auto"/>
        </w:rPr>
      </w:pPr>
    </w:p>
    <w:p>
      <w:pPr>
        <w:ind w:left="660" w:right="80" w:hanging="328"/>
        <w:spacing w:after="0" w:line="266"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a total capital contribution of RMB163,860 was received from the non-controlling interests shareholders of several subsidiaries of Shan Shan Outlets in which RMB155,563 and RMB8,297 was recorded in non-controlling interests and additional paid-in capital, respectively.</w:t>
      </w:r>
    </w:p>
    <w:p>
      <w:pPr>
        <w:spacing w:after="0" w:line="175" w:lineRule="exact"/>
        <w:rPr>
          <w:rFonts w:ascii="Times New Roman" w:cs="Times New Roman" w:eastAsia="Times New Roman" w:hAnsi="Times New Roman"/>
          <w:sz w:val="18"/>
          <w:szCs w:val="18"/>
          <w:color w:val="auto"/>
        </w:rPr>
      </w:pPr>
    </w:p>
    <w:p>
      <w:pPr>
        <w:ind w:left="660"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a total capital contribution of RMB8,000 was received from the non-controlling interests shareholders of a Shan Shan Outlet and was recorded in non-controlling interests.</w:t>
      </w:r>
    </w:p>
    <w:p>
      <w:pPr>
        <w:spacing w:after="0" w:line="161"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Vipshop Outlet REIT that established by the Company to invest in one outlet project owned and operated by Shan Shan Outlets, received formal approval from China’s Securities Regulatory Commission. On September 12, 2025, the Vipshop Outlet REIT was listed on the Shanghai Stock Exchange. The Company subscribed 51% of the units issued by the Vipshop Outlet REIT and consolidates the REIT. The remaining units amounted to RMB1.71 billion was invested by third party investors which was recorded as non-controlling interests. Upon the completion of the listing of the Vipshop Outlet REIT, the Company raised net proceeds for approximately RMB1.39 billion.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schedule below discloses the effect of changes in the Company’s ownership interests in subsidiaries on the Company’s equity:</w:t>
      </w:r>
    </w:p>
    <w:p>
      <w:pPr>
        <w:spacing w:after="0" w:line="2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51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5180" w:type="dxa"/>
            <w:vAlign w:val="bottom"/>
            <w:gridSpan w:val="2"/>
          </w:tcPr>
          <w:p>
            <w:pPr>
              <w:ind w:left="50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1000" w:type="dxa"/>
            <w:vAlign w:val="bottom"/>
            <w:gridSpan w:val="2"/>
          </w:tcPr>
          <w:p>
            <w:pPr>
              <w:jc w:val="right"/>
              <w:ind w:right="195"/>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Net income attributable to Vipshop Holdings Limited’s shareholders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8,116,624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7,739,935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7,242,490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(to) from the non-controlling interests: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Decrease in the Company’s additional paid-in capital in relation to</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acquisition of additional equity interests in subsidiaries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(283,892)</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contributions from non-controlling interests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to non-controlling interests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(275,595)</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1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Changes from net income attributable to Vipshop Holdings</w:t>
            </w:r>
          </w:p>
        </w:tc>
        <w:tc>
          <w:tcPr>
            <w:tcW w:w="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8,097,262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7,464,340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7,242,490</w:t>
            </w:r>
          </w:p>
        </w:tc>
        <w:tc>
          <w:tcPr>
            <w:tcW w:w="0" w:type="dxa"/>
            <w:vAlign w:val="bottom"/>
          </w:tcPr>
          <w:p>
            <w:pPr>
              <w:spacing w:after="0"/>
              <w:rPr>
                <w:sz w:val="1"/>
                <w:szCs w:val="1"/>
                <w:color w:val="auto"/>
              </w:rPr>
            </w:pPr>
          </w:p>
        </w:tc>
      </w:tr>
      <w:tr>
        <w:trPr>
          <w:trHeight w:val="221"/>
        </w:trPr>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Limited’s shareholders and transfers from non-controlling interests</w:t>
            </w:r>
          </w:p>
        </w:tc>
        <w:tc>
          <w:tcPr>
            <w:tcW w:w="7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operating income</w:t>
      </w:r>
    </w:p>
    <w:p>
      <w:pPr>
        <w:spacing w:after="0" w:line="229" w:lineRule="exact"/>
        <w:rPr>
          <w:rFonts w:ascii="Times New Roman" w:cs="Times New Roman" w:eastAsia="Times New Roman" w:hAnsi="Times New Roman"/>
          <w:sz w:val="18"/>
          <w:szCs w:val="18"/>
          <w:b w:val="1"/>
          <w:bCs w:val="1"/>
          <w:color w:val="auto"/>
        </w:rPr>
      </w:pPr>
    </w:p>
    <w:p>
      <w:pPr>
        <w:ind w:left="34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operating income consists of government grants, claims income and other miscellaneous income. Government grants related to depreciable assets are recognized in statement of income over the periods in which depreciation expense on those assets is recognized, corresponding to the useful lives of the assets. Claims income represents settlements received from insurance claims against suppliers who breached the contractual terms.</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operating income is comprised of:</w:t>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5280" w:type="dxa"/>
            <w:vAlign w:val="bottom"/>
            <w:gridSpan w:val="2"/>
          </w:tcPr>
          <w:p>
            <w:pPr>
              <w:ind w:left="5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60" w:type="dxa"/>
            <w:vAlign w:val="bottom"/>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100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980" w:type="dxa"/>
            <w:vAlign w:val="bottom"/>
          </w:tcPr>
          <w:p>
            <w:pPr>
              <w:spacing w:after="0"/>
              <w:rPr>
                <w:sz w:val="12"/>
                <w:szCs w:val="12"/>
                <w:color w:val="auto"/>
              </w:rPr>
            </w:pPr>
          </w:p>
        </w:tc>
      </w:tr>
      <w:tr>
        <w:trPr>
          <w:trHeight w:val="216"/>
        </w:trPr>
        <w:tc>
          <w:tcPr>
            <w:tcW w:w="100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495,078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635,673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704,602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Claims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168,940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177,924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155,438</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195,803</w:t>
            </w:r>
          </w:p>
        </w:tc>
        <w:tc>
          <w:tcPr>
            <w:tcW w:w="980" w:type="dxa"/>
            <w:vAlign w:val="bottom"/>
          </w:tcPr>
          <w:p>
            <w:pPr>
              <w:spacing w:after="0"/>
              <w:rPr>
                <w:sz w:val="18"/>
                <w:szCs w:val="18"/>
                <w:color w:val="auto"/>
              </w:rPr>
            </w:pPr>
          </w:p>
        </w:tc>
      </w:tr>
      <w:tr>
        <w:trPr>
          <w:trHeight w:val="209"/>
        </w:trPr>
        <w:tc>
          <w:tcPr>
            <w:tcW w:w="62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 other operating income</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801,560</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915,208</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1,055,843</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71"/>
        </w:trPr>
        <w:tc>
          <w:tcPr>
            <w:tcW w:w="1000" w:type="dxa"/>
            <w:vAlign w:val="bottom"/>
          </w:tcPr>
          <w:p>
            <w:pPr>
              <w:spacing w:after="0"/>
              <w:rPr>
                <w:sz w:val="24"/>
                <w:szCs w:val="24"/>
                <w:color w:val="auto"/>
              </w:rPr>
            </w:pPr>
          </w:p>
        </w:tc>
        <w:tc>
          <w:tcPr>
            <w:tcW w:w="528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F-48</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right="8060" w:hanging="332"/>
        <w:spacing w:after="0" w:line="532" w:lineRule="auto"/>
        <w:tabs>
          <w:tab w:leader="none" w:pos="34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i w:val="1"/>
          <w:iCs w:val="1"/>
          <w:color w:val="auto"/>
        </w:rPr>
        <w:t>Cayman Islands</w:t>
      </w:r>
    </w:p>
    <w:p>
      <w:pPr>
        <w:spacing w:after="0" w:line="1" w:lineRule="exact"/>
        <w:rPr>
          <w:rFonts w:ascii="Times New Roman" w:cs="Times New Roman" w:eastAsia="Times New Roman" w:hAnsi="Times New Roman"/>
          <w:sz w:val="17"/>
          <w:szCs w:val="17"/>
          <w:b w:val="1"/>
          <w:bCs w:val="1"/>
          <w:color w:val="auto"/>
        </w:rPr>
      </w:pPr>
    </w:p>
    <w:p>
      <w:pPr>
        <w:ind w:left="340" w:right="1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Under the current laws of the Cayman Islands, Vipshop Holdings Limited is not subject to tax on its income or capital gains. In addition, upon payments of dividends by Vipshop Holdings Limited to its shareholders, no Cayman Islands withholding tax will be imposed.</w:t>
      </w:r>
    </w:p>
    <w:p>
      <w:pPr>
        <w:spacing w:after="0" w:line="173"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Hong Kong</w:t>
      </w:r>
    </w:p>
    <w:p>
      <w:pPr>
        <w:spacing w:after="0" w:line="227" w:lineRule="exact"/>
        <w:rPr>
          <w:rFonts w:ascii="Times New Roman" w:cs="Times New Roman" w:eastAsia="Times New Roman" w:hAnsi="Times New Roman"/>
          <w:sz w:val="17"/>
          <w:szCs w:val="17"/>
          <w:b w:val="1"/>
          <w:bCs w:val="1"/>
          <w:color w:val="auto"/>
        </w:rPr>
      </w:pPr>
    </w:p>
    <w:p>
      <w:pPr>
        <w:ind w:left="340" w:right="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Group’s subsidiaries operating in Hong Kong are subject to a two-tiered income tax rate for taxable income earned in Hong Kong effectively since April 1, 2018. The first 2.0 million Hong Kong dollars of profits earned by a company are subject to be taxed at an income tax rate at 8.25%, while the remaining profits will continue to be taxed at the existing tax rate, 16.5%.</w:t>
      </w:r>
    </w:p>
    <w:p>
      <w:pPr>
        <w:spacing w:after="0" w:line="173"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Singapore</w:t>
      </w:r>
    </w:p>
    <w:p>
      <w:pPr>
        <w:spacing w:after="0" w:line="227" w:lineRule="exact"/>
        <w:rPr>
          <w:rFonts w:ascii="Times New Roman" w:cs="Times New Roman" w:eastAsia="Times New Roman" w:hAnsi="Times New Roman"/>
          <w:sz w:val="17"/>
          <w:szCs w:val="17"/>
          <w:b w:val="1"/>
          <w:bCs w:val="1"/>
          <w:color w:val="auto"/>
        </w:rPr>
      </w:pPr>
    </w:p>
    <w:p>
      <w:pPr>
        <w:ind w:left="340" w:right="10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wholly owned subsidiaries incorporated in Singapore are subject to Singapore corporate tax at a rate of 17% on the assessable profits arising from Singapore. Vipshop Singapore Pte. is entitled to enjoy the beneficial tax rate at 10% from July 1,</w:t>
      </w:r>
    </w:p>
    <w:p>
      <w:pPr>
        <w:ind w:left="340" w:right="100"/>
        <w:spacing w:after="0" w:line="49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2022 to December 31, 2024, and to enjoy the beneficial tax rate at 15% for trading business from January 1, 2025 to June 30, 2027. </w:t>
      </w:r>
      <w:r>
        <w:rPr>
          <w:rFonts w:ascii="Times New Roman" w:cs="Times New Roman" w:eastAsia="Times New Roman" w:hAnsi="Times New Roman"/>
          <w:sz w:val="18"/>
          <w:szCs w:val="18"/>
          <w:i w:val="1"/>
          <w:iCs w:val="1"/>
          <w:color w:val="auto"/>
        </w:rPr>
        <w:t>The People’s Republic of China</w:t>
      </w:r>
    </w:p>
    <w:p>
      <w:pPr>
        <w:ind w:left="3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Under the Law of the People’s Republic of China on Enterprise Income Tax (“EIT Law”), PRC enterprises are subject to a tax rate at 25%. Besides, preferential tax treatment may continue to be given to companies in certain encouraged sectors and to entities classified as high and new technology companies.</w:t>
      </w:r>
    </w:p>
    <w:p>
      <w:pPr>
        <w:spacing w:after="0" w:line="175" w:lineRule="exact"/>
        <w:rPr>
          <w:rFonts w:ascii="Times New Roman" w:cs="Times New Roman" w:eastAsia="Times New Roman" w:hAnsi="Times New Roman"/>
          <w:sz w:val="17"/>
          <w:szCs w:val="17"/>
          <w:b w:val="1"/>
          <w:bCs w:val="1"/>
          <w:color w:val="auto"/>
        </w:rPr>
      </w:pPr>
    </w:p>
    <w:p>
      <w:pPr>
        <w:ind w:left="340" w:right="1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accordance with the State Administration of Taxation Announcement 2018 No. 23: the Administrative Measures on Corporate Income Tax Preferential Policies (Revision 2018), the enterprise shall voluntarily assess and apply the relevant preferential tax rate according to the de facto operating situation and relevant tax regulations, the relevant supporting documents of which shall be retained for any examination by the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 (Continued)</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The People’s Republic of China (Continued)</w:t>
      </w:r>
    </w:p>
    <w:p>
      <w:pPr>
        <w:spacing w:after="0" w:line="227" w:lineRule="exact"/>
        <w:rPr>
          <w:rFonts w:ascii="Times New Roman" w:cs="Times New Roman" w:eastAsia="Times New Roman" w:hAnsi="Times New Roman"/>
          <w:sz w:val="18"/>
          <w:szCs w:val="18"/>
          <w:b w:val="1"/>
          <w:bCs w:val="1"/>
          <w:color w:val="auto"/>
        </w:rPr>
      </w:pPr>
    </w:p>
    <w:p>
      <w:pPr>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subsidiaries and the VIEs in the PRC are all subject to the tax rate at 25% for the periods presented except for some principal subsidiaries that were entitled to the following preferential tax treatment, based on the Group’s assessment and relevant tax regulations:</w:t>
      </w:r>
    </w:p>
    <w:p>
      <w:pPr>
        <w:spacing w:after="0" w:line="175" w:lineRule="exact"/>
        <w:rPr>
          <w:rFonts w:ascii="Times New Roman" w:cs="Times New Roman" w:eastAsia="Times New Roman" w:hAnsi="Times New Roman"/>
          <w:sz w:val="18"/>
          <w:szCs w:val="18"/>
          <w:b w:val="1"/>
          <w:bCs w:val="1"/>
          <w:color w:val="auto"/>
        </w:rPr>
      </w:pPr>
    </w:p>
    <w:p>
      <w:pPr>
        <w:ind w:left="680" w:right="40" w:hanging="321"/>
        <w:spacing w:after="0" w:line="261" w:lineRule="auto"/>
        <w:tabs>
          <w:tab w:leader="none" w:pos="6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Pinwei Software Co., Ltd. (“Pinwei Software”) was qualified as High and New Technology Enterprises (“HNTE”) and is entitled to a favorable tax rate at 15%. The HNTE qualification was received and approved in December 2020 and need to re-apply every three years, and the HNTE qualification was renewed in December 2023. Pinwei Software is entitled to enjoy the beneficial tax rate at 15% as an HNTE for the years ended December 31, 2023, 2024 and 2025.</w:t>
      </w:r>
    </w:p>
    <w:p>
      <w:pPr>
        <w:spacing w:after="0" w:line="179"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Vipshop (Guangzhou) Software Co., Ltd. (“Guangzhou Software”) was granted the Software Enterprise status and was thereby entitled to an income tax exemption for two years beginning from its first profitable taxation year of 2021, and 50% reduction of income tax (i.e. entitled to a favorable tax rate at 12.5%) for the subsequent three consecutive years started from the taxation year of 2023.</w:t>
      </w:r>
    </w:p>
    <w:p>
      <w:pPr>
        <w:spacing w:after="0" w:line="179"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Vipshop (Xian) E-Commerce Co., Ltd., Vipshop (Jianyang) E-Commerce Co., Ltd. (“Vipshop Jianyang”), Chongqing Vipshop E-Commerce Co., Ltd. (“Vipshop Chongqing”) have been recognized as “encouraged enterprises in an industry sector encouraged by the PRC government” in the Western Region and are entitled to a preferential tax rate at 15% for the years ended December 31, 2023, 2024 and 2025. Chongqing Pinwei E-commerce Co., Ltd. was established on March 12, 2024 and has been recognized as “encouraged enterprises in an industry sector encouraged by the PRC government” in the Western Region and are entitled to a preferential tax rate at 15% for the years ended December 31, 2024 and 2025.</w:t>
      </w:r>
    </w:p>
    <w:p>
      <w:pPr>
        <w:spacing w:after="0" w:line="187" w:lineRule="exact"/>
        <w:rPr>
          <w:sz w:val="20"/>
          <w:szCs w:val="20"/>
          <w:color w:val="auto"/>
        </w:rPr>
      </w:pPr>
    </w:p>
    <w:p>
      <w:pPr>
        <w:ind w:left="340" w:right="140"/>
        <w:spacing w:after="0" w:line="266" w:lineRule="auto"/>
        <w:rPr>
          <w:sz w:val="20"/>
          <w:szCs w:val="20"/>
          <w:color w:val="auto"/>
        </w:rPr>
      </w:pPr>
      <w:r>
        <w:rPr>
          <w:rFonts w:ascii="Times New Roman" w:cs="Times New Roman" w:eastAsia="Times New Roman" w:hAnsi="Times New Roman"/>
          <w:sz w:val="18"/>
          <w:szCs w:val="18"/>
          <w:color w:val="auto"/>
        </w:rPr>
        <w:t>The Group evaluates the level of authority for each uncertain tax position (including the potential application of interest and penalties) based on the technical merits, and measures the unrecognized benefits associated with the tax positions. As of December 31, 2024 and 2025, the Group had no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 (Continued)</w:t>
      </w:r>
    </w:p>
    <w:p>
      <w:pPr>
        <w:spacing w:after="0" w:line="15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The People’s Republic of China (Continued)</w:t>
      </w:r>
    </w:p>
    <w:p>
      <w:pPr>
        <w:spacing w:after="0" w:line="146" w:lineRule="exact"/>
        <w:rPr>
          <w:rFonts w:ascii="Times New Roman" w:cs="Times New Roman" w:eastAsia="Times New Roman" w:hAnsi="Times New Roman"/>
          <w:sz w:val="18"/>
          <w:szCs w:val="18"/>
          <w:b w:val="1"/>
          <w:bCs w:val="1"/>
          <w:color w:val="auto"/>
        </w:rPr>
      </w:pPr>
    </w:p>
    <w:p>
      <w:pPr>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 to the PRC Tax Administration and Collection Law, the statute of limitations is three years if the underpayment of income taxes is due to computational errors made by the taxpayer. The statute of limitations will be extended to five years under special circumstances, which are not clearly defined, but an underpayment of income tax liability exceeding RMB100 (US$14.30) in aggregate amount is specifically listed as a special circumstance. In the case of a transfer pricing related adjustment, the statute of limitations is ten years. There is no statute of limitations in the case of tax evasion, refusal to pay tax and tax fraud.</w:t>
      </w:r>
    </w:p>
    <w:p>
      <w:pPr>
        <w:spacing w:after="0" w:line="11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by tax jurisdictions: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80" w:type="dxa"/>
            <w:vAlign w:val="bottom"/>
          </w:tcPr>
          <w:p>
            <w:pPr>
              <w:ind w:left="5060"/>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
        </w:trPr>
        <w:tc>
          <w:tcPr>
            <w:tcW w:w="5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tcPr>
          <w:p>
            <w:pPr>
              <w:ind w:left="50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5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China operations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9,825,456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9,788,828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8,699,263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non-China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198,652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215,420</w:t>
            </w:r>
          </w:p>
        </w:tc>
        <w:tc>
          <w:tcPr>
            <w:tcW w:w="0" w:type="dxa"/>
            <w:vAlign w:val="bottom"/>
          </w:tcPr>
          <w:p>
            <w:pPr>
              <w:spacing w:after="0"/>
              <w:rPr>
                <w:sz w:val="1"/>
                <w:szCs w:val="1"/>
                <w:color w:val="auto"/>
              </w:rPr>
            </w:pPr>
          </w:p>
        </w:tc>
      </w:tr>
      <w:tr>
        <w:trPr>
          <w:trHeight w:val="178"/>
        </w:trPr>
        <w:tc>
          <w:tcPr>
            <w:tcW w:w="5180" w:type="dxa"/>
            <w:vAlign w:val="bottom"/>
            <w:tcBorders>
              <w:top w:val="single" w:sz="8" w:color="CCEEFF"/>
              <w:right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income before income taxes and share of income of equity</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9,987,002</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9,987,480</w:t>
            </w: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8,914,683</w:t>
            </w:r>
          </w:p>
        </w:tc>
        <w:tc>
          <w:tcPr>
            <w:tcW w:w="0" w:type="dxa"/>
            <w:vAlign w:val="bottom"/>
          </w:tcPr>
          <w:p>
            <w:pPr>
              <w:spacing w:after="0"/>
              <w:rPr>
                <w:sz w:val="1"/>
                <w:szCs w:val="1"/>
                <w:color w:val="auto"/>
              </w:rPr>
            </w:pPr>
          </w:p>
        </w:tc>
      </w:tr>
      <w:tr>
        <w:trPr>
          <w:trHeight w:val="221"/>
        </w:trPr>
        <w:tc>
          <w:tcPr>
            <w:tcW w:w="51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method investees</w:t>
            </w: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80" w:type="dxa"/>
            <w:vAlign w:val="bottom"/>
          </w:tcPr>
          <w:p>
            <w:pPr>
              <w:ind w:left="5060"/>
              <w:spacing w:after="0"/>
              <w:rPr>
                <w:sz w:val="20"/>
                <w:szCs w:val="20"/>
                <w:color w:val="auto"/>
              </w:rPr>
            </w:pPr>
            <w:r>
              <w:rPr>
                <w:rFonts w:ascii="Times New Roman" w:cs="Times New Roman" w:eastAsia="Times New Roman" w:hAnsi="Times New Roman"/>
                <w:sz w:val="14"/>
                <w:szCs w:val="14"/>
                <w:b w:val="1"/>
                <w:bCs w:val="1"/>
                <w:color w:val="auto"/>
              </w:rPr>
              <w:t>​​​</w:t>
            </w:r>
          </w:p>
        </w:tc>
        <w:tc>
          <w:tcPr>
            <w:tcW w:w="27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
        </w:trPr>
        <w:tc>
          <w:tcPr>
            <w:tcW w:w="5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tcPr>
          <w:p>
            <w:pPr>
              <w:ind w:left="50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5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applicable to Chinese mainland operations: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1,742,444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2,217,077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1,897,251</w:t>
            </w:r>
          </w:p>
        </w:tc>
        <w:tc>
          <w:tcPr>
            <w:tcW w:w="0" w:type="dxa"/>
            <w:vAlign w:val="bottom"/>
          </w:tcPr>
          <w:p>
            <w:pPr>
              <w:spacing w:after="0"/>
              <w:rPr>
                <w:sz w:val="1"/>
                <w:szCs w:val="1"/>
                <w:color w:val="auto"/>
              </w:rPr>
            </w:pPr>
          </w:p>
        </w:tc>
      </w:tr>
      <w:tr>
        <w:trPr>
          <w:trHeight w:val="216"/>
        </w:trPr>
        <w:tc>
          <w:tcPr>
            <w:tcW w:w="5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expenses/(benefits)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(145,780)</w:t>
            </w:r>
          </w:p>
        </w:tc>
        <w:tc>
          <w:tcPr>
            <w:tcW w:w="0" w:type="dxa"/>
            <w:vAlign w:val="bottom"/>
          </w:tcPr>
          <w:p>
            <w:pPr>
              <w:spacing w:after="0"/>
              <w:rPr>
                <w:sz w:val="1"/>
                <w:szCs w:val="1"/>
                <w:color w:val="auto"/>
              </w:rPr>
            </w:pPr>
          </w:p>
        </w:tc>
      </w:tr>
      <w:tr>
        <w:trPr>
          <w:trHeight w:val="178"/>
        </w:trPr>
        <w:tc>
          <w:tcPr>
            <w:tcW w:w="51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Subtotal income tax expenses applicable to Chinese mainland</w:t>
            </w: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1,874,078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2,305,033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1,751,471</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applicable to non-Chinese mainland operations:</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income tax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54,337</w:t>
            </w:r>
          </w:p>
        </w:tc>
        <w:tc>
          <w:tcPr>
            <w:tcW w:w="0" w:type="dxa"/>
            <w:vAlign w:val="bottom"/>
          </w:tcPr>
          <w:p>
            <w:pPr>
              <w:spacing w:after="0"/>
              <w:rPr>
                <w:sz w:val="1"/>
                <w:szCs w:val="1"/>
                <w:color w:val="auto"/>
              </w:rPr>
            </w:pPr>
          </w:p>
        </w:tc>
      </w:tr>
      <w:tr>
        <w:trPr>
          <w:trHeight w:val="216"/>
        </w:trPr>
        <w:tc>
          <w:tcPr>
            <w:tcW w:w="51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(benefits)/expenses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0" w:type="dxa"/>
            <w:vAlign w:val="bottom"/>
          </w:tcPr>
          <w:p>
            <w:pPr>
              <w:spacing w:after="0"/>
              <w:rPr>
                <w:sz w:val="1"/>
                <w:szCs w:val="1"/>
                <w:color w:val="auto"/>
              </w:rPr>
            </w:pPr>
          </w:p>
        </w:tc>
      </w:tr>
      <w:tr>
        <w:trPr>
          <w:trHeight w:val="178"/>
        </w:trPr>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Subtotal income tax (benefits)/expenses applicable to non-Chinese</w:t>
            </w: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mainland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47,492</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1,866,004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2,315,515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1,798,963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Current tax was mainly related to income tax in mainland China.</w:t>
      </w:r>
    </w:p>
    <w:p>
      <w:pPr>
        <w:spacing w:after="0" w:line="144" w:lineRule="exact"/>
        <w:rPr>
          <w:sz w:val="20"/>
          <w:szCs w:val="20"/>
          <w:color w:val="auto"/>
        </w:rPr>
      </w:pPr>
    </w:p>
    <w:p>
      <w:pPr>
        <w:ind w:left="340" w:right="100"/>
        <w:spacing w:after="0" w:line="258" w:lineRule="auto"/>
        <w:rPr>
          <w:sz w:val="20"/>
          <w:szCs w:val="20"/>
          <w:color w:val="auto"/>
        </w:rPr>
      </w:pPr>
      <w:r>
        <w:rPr>
          <w:rFonts w:ascii="Times New Roman" w:cs="Times New Roman" w:eastAsia="Times New Roman" w:hAnsi="Times New Roman"/>
          <w:sz w:val="18"/>
          <w:szCs w:val="18"/>
          <w:color w:val="auto"/>
        </w:rPr>
        <w:t>Under the EIT Law, enterprises are classified as either resident or non-resident. A resident enterprise refers to one that is incorporated under the PRC law or under the law of a jurisdiction outside the PRC with its “de facto management organization” located within the PRC. Non-residential enterprise refers to one that is incorporated under the law of a jurisdiction outside the PRC with its “de facto management organization” located also outside the PRC, but which has either set up institutions or establishments in the PRC or has income originating from the PRC without setting up any institution or establishments in the PRC.</w:t>
      </w:r>
    </w:p>
    <w:p>
      <w:pPr>
        <w:spacing w:after="0" w:line="116"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color w:val="auto"/>
        </w:rPr>
        <w:t>Due to the present uncertainties resulting from the limited PRC tax guidance on this issue, it is unclear that the legal entities organized outside of PRC should be treated as residents for New Tax Law purposes. Nevertheless, even if one or more of its legal entities organized outside of the PRC were characterized as PRC tax residents, no significant underpayment of income taxes would be expected.</w:t>
      </w:r>
    </w:p>
    <w:p>
      <w:pPr>
        <w:spacing w:after="0" w:line="112"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If the entity were to be non-resident for PRC tax purpose, dividends paid out of profits earned after January 1, 2008 would be subject to a withholding tax. In the case of dividends paid by PRC entities the withholding tax would be 10% and in the case of a subsidiary 25% or more directly owned by residents which meet the criteria of beneficial owner in the Hong Kong Special Administrative Region (“Hong Kong SAR”), the withholding tax would be 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 (Continued)</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The People’s Republic of China (Continued)</w:t>
      </w:r>
    </w:p>
    <w:p>
      <w:pPr>
        <w:spacing w:after="0" w:line="227" w:lineRule="exact"/>
        <w:rPr>
          <w:rFonts w:ascii="Times New Roman" w:cs="Times New Roman" w:eastAsia="Times New Roman" w:hAnsi="Times New Roman"/>
          <w:sz w:val="18"/>
          <w:szCs w:val="18"/>
          <w:b w:val="1"/>
          <w:bCs w:val="1"/>
          <w:color w:val="auto"/>
        </w:rPr>
      </w:pPr>
    </w:p>
    <w:p>
      <w:pPr>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2023 and 2024, the Group accrued RMB148.8 million and RMB649.9 million withholding tax expenses associated with its earnings distributed or expected to be distributed to the holding company located outside mainland China in Hong Kong SAR, respectively, which was fully paid when the distributions were actually made. During the year ended December 31, 2025, the Group accrued such withholding tax expenses amounting to RMB261.6 million. The remaining undistributed earnings of the Group’s subsidiaries in the PRC that are available for distribution to the Group amount to approximately RMB13.72 billion as of December 31, 2025, which are considered to be indefinitely reinvested under ASC 740-30, Accounting for Income Taxes—Special Areas, and accordingly, no provision has been made for the Chinese dividend withholding taxes. If those earnings were to be distributed or they were determined to be no longer permanently reinvested, the Group would have to record a deferred income tax liability in respect of those undistributed earnings of approximately RMB686.1 million as of December 31, 2025.</w:t>
      </w:r>
    </w:p>
    <w:p>
      <w:pPr>
        <w:spacing w:after="0" w:line="194" w:lineRule="exact"/>
        <w:rPr>
          <w:rFonts w:ascii="Times New Roman" w:cs="Times New Roman" w:eastAsia="Times New Roman" w:hAnsi="Times New Roman"/>
          <w:sz w:val="18"/>
          <w:szCs w:val="18"/>
          <w:b w:val="1"/>
          <w:bCs w:val="1"/>
          <w:color w:val="auto"/>
        </w:rPr>
      </w:pPr>
    </w:p>
    <w:p>
      <w:pPr>
        <w:ind w:left="34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income tax expense to income before income tax expense and share of income of equity method investees computed by applying the PRC statutory income tax rate of 25% per the consolidated statements of income and comprehensive income is as follows: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240" w:type="dxa"/>
            <w:vAlign w:val="bottom"/>
          </w:tcPr>
          <w:p>
            <w:pPr>
              <w:ind w:left="31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Borders>
              <w:right w:val="single" w:sz="8" w:color="auto"/>
            </w:tcBorders>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tcPr>
          <w:p>
            <w:pPr>
              <w:ind w:left="3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i w:val="1"/>
                <w:iCs w:val="1"/>
                <w:color w:val="auto"/>
              </w:rPr>
              <w:t>RMB</w:t>
            </w:r>
          </w:p>
        </w:tc>
        <w:tc>
          <w:tcPr>
            <w:tcW w:w="54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i w:val="1"/>
                <w:iCs w:val="1"/>
                <w:color w:val="auto"/>
              </w:rPr>
              <w:t>​​​  %</w:t>
            </w:r>
          </w:p>
        </w:tc>
        <w:tc>
          <w:tcPr>
            <w:tcW w:w="18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i w:val="1"/>
                <w:iCs w:val="1"/>
                <w:color w:val="auto"/>
              </w:rPr>
              <w:t>RMB</w:t>
            </w:r>
          </w:p>
        </w:tc>
        <w:tc>
          <w:tcPr>
            <w:tcW w:w="5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i w:val="1"/>
                <w:iCs w:val="1"/>
                <w:color w:val="auto"/>
              </w:rPr>
              <w:t>​​​  %</w:t>
            </w:r>
          </w:p>
        </w:tc>
        <w:tc>
          <w:tcPr>
            <w:tcW w:w="180" w:type="dxa"/>
            <w:vAlign w:val="bottom"/>
          </w:tcPr>
          <w:p>
            <w:pPr>
              <w:spacing w:after="0"/>
              <w:rPr>
                <w:sz w:val="12"/>
                <w:szCs w:val="12"/>
                <w:color w:val="auto"/>
              </w:rPr>
            </w:pPr>
          </w:p>
        </w:tc>
        <w:tc>
          <w:tcPr>
            <w:tcW w:w="880" w:type="dxa"/>
            <w:vAlign w:val="bottom"/>
            <w:tcBorders>
              <w:top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i w:val="1"/>
                <w:iCs w:val="1"/>
                <w:color w:val="auto"/>
              </w:rPr>
              <w:t>RMB</w:t>
            </w:r>
          </w:p>
        </w:tc>
        <w:tc>
          <w:tcPr>
            <w:tcW w:w="5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i w:val="1"/>
                <w:iCs w:val="1"/>
                <w:color w:val="auto"/>
              </w:rPr>
              <w:t>​​​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before income taxes and share of</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of equity method investees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9,987,002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9,987,480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8,914,683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Computed income tax expense at PRC</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25.0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2,496,870</w:t>
            </w:r>
          </w:p>
        </w:tc>
        <w:tc>
          <w:tcPr>
            <w:tcW w:w="40" w:type="dxa"/>
            <w:vAlign w:val="bottom"/>
          </w:tcPr>
          <w:p>
            <w:pPr>
              <w:spacing w:after="0"/>
              <w:rPr>
                <w:sz w:val="17"/>
                <w:szCs w:val="17"/>
                <w:color w:val="auto"/>
              </w:rPr>
            </w:pPr>
          </w:p>
        </w:tc>
        <w:tc>
          <w:tcPr>
            <w:tcW w:w="2300" w:type="dxa"/>
            <w:vAlign w:val="bottom"/>
            <w:gridSpan w:val="8"/>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25.0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2,228,671   25.0 </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4"/>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EIT tax rate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2,496,751</w:t>
            </w:r>
          </w:p>
        </w:tc>
        <w:tc>
          <w:tcPr>
            <w:tcW w:w="20" w:type="dxa"/>
            <w:vAlign w:val="bottom"/>
          </w:tcPr>
          <w:p>
            <w:pPr>
              <w:spacing w:after="0"/>
              <w:rPr>
                <w:sz w:val="20"/>
                <w:szCs w:val="20"/>
                <w:color w:val="auto"/>
              </w:rPr>
            </w:pPr>
          </w:p>
        </w:tc>
        <w:tc>
          <w:tcPr>
            <w:tcW w:w="154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gridSpan w:val="8"/>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tax, including: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(68,154)</w:t>
            </w:r>
          </w:p>
        </w:tc>
        <w:tc>
          <w:tcPr>
            <w:tcW w:w="2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(131,089)</w:t>
            </w:r>
          </w:p>
        </w:tc>
        <w:tc>
          <w:tcPr>
            <w:tcW w:w="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9"/>
                <w:szCs w:val="19"/>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(75,173)</w:t>
            </w: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8"/>
        </w:trPr>
        <w:tc>
          <w:tcPr>
            <w:tcW w:w="32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 of different tax rates of</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 operating in foreign</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r>
              <w:rPr>
                <w:rFonts w:ascii="Times New Roman" w:cs="Times New Roman" w:eastAsia="Times New Roman" w:hAnsi="Times New Roman"/>
                <w:sz w:val="19"/>
                <w:szCs w:val="19"/>
                <w:color w:val="auto"/>
              </w:rPr>
              <w: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r>
              <w:rPr>
                <w:rFonts w:ascii="Times New Roman" w:cs="Times New Roman" w:eastAsia="Times New Roman" w:hAnsi="Times New Roman"/>
                <w:sz w:val="19"/>
                <w:szCs w:val="19"/>
                <w:color w:val="auto"/>
              </w:rPr>
              <w:t>%</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jurisdiction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(53,121)</w:t>
            </w:r>
          </w:p>
        </w:tc>
        <w:tc>
          <w:tcPr>
            <w:tcW w:w="20" w:type="dxa"/>
            <w:vAlign w:val="bottom"/>
          </w:tcPr>
          <w:p>
            <w:pPr>
              <w:spacing w:after="0"/>
              <w:rPr>
                <w:sz w:val="20"/>
                <w:szCs w:val="20"/>
                <w:color w:val="auto"/>
              </w:rPr>
            </w:pPr>
          </w:p>
        </w:tc>
        <w:tc>
          <w:tcPr>
            <w:tcW w:w="720" w:type="dxa"/>
            <w:vAlign w:val="bottom"/>
            <w:gridSpan w:val="3"/>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(73,738)</w:t>
            </w:r>
          </w:p>
        </w:tc>
        <w:tc>
          <w:tcPr>
            <w:tcW w:w="40" w:type="dxa"/>
            <w:vAlign w:val="bottom"/>
          </w:tcPr>
          <w:p>
            <w:pPr>
              <w:spacing w:after="0"/>
              <w:rPr>
                <w:sz w:val="20"/>
                <w:szCs w:val="20"/>
                <w:color w:val="auto"/>
              </w:rPr>
            </w:pPr>
          </w:p>
        </w:tc>
        <w:tc>
          <w:tcPr>
            <w:tcW w:w="700" w:type="dxa"/>
            <w:vAlign w:val="bottom"/>
            <w:gridSpan w:val="3"/>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40" w:type="dxa"/>
            <w:vAlign w:val="bottom"/>
          </w:tcPr>
          <w:p>
            <w:pPr>
              <w:spacing w:after="0"/>
              <w:rPr>
                <w:sz w:val="20"/>
                <w:szCs w:val="20"/>
                <w:color w:val="auto"/>
              </w:rPr>
            </w:pPr>
          </w:p>
        </w:tc>
        <w:tc>
          <w:tcPr>
            <w:tcW w:w="7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r>
              <w:rPr>
                <w:rFonts w:ascii="Times New Roman" w:cs="Times New Roman" w:eastAsia="Times New Roman" w:hAnsi="Times New Roman"/>
                <w:sz w:val="19"/>
                <w:szCs w:val="19"/>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(57,351)</w:t>
            </w:r>
          </w:p>
        </w:tc>
        <w:tc>
          <w:tcPr>
            <w:tcW w:w="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r>
              <w:rPr>
                <w:rFonts w:ascii="Times New Roman" w:cs="Times New Roman" w:eastAsia="Times New Roman" w:hAnsi="Times New Roman"/>
                <w:sz w:val="19"/>
                <w:szCs w:val="19"/>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(49,919)</w:t>
            </w:r>
          </w:p>
        </w:tc>
        <w:tc>
          <w:tcPr>
            <w:tcW w:w="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w:t>
            </w: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8"/>
        </w:trPr>
        <w:tc>
          <w:tcPr>
            <w:tcW w:w="3240" w:type="dxa"/>
            <w:vAlign w:val="bottom"/>
            <w:tcBorders>
              <w:right w:val="single" w:sz="8" w:color="CCEEFF"/>
            </w:tcBorders>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 of non-deductible expenses,</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9"/>
                <w:szCs w:val="19"/>
                <w:color w:val="auto"/>
              </w:rPr>
              <w:t>%</w:t>
            </w: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9"/>
                <w:szCs w:val="19"/>
                <w:color w:val="auto"/>
              </w:rPr>
              <w:t>%</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4"/>
        </w:trPr>
        <w:tc>
          <w:tcPr>
            <w:tcW w:w="32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including: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162,876</w:t>
            </w:r>
          </w:p>
        </w:tc>
        <w:tc>
          <w:tcPr>
            <w:tcW w:w="20" w:type="dxa"/>
            <w:vAlign w:val="bottom"/>
            <w:shd w:val="clear" w:color="auto" w:fill="CCEEFF"/>
          </w:tcPr>
          <w:p>
            <w:pPr>
              <w:spacing w:after="0"/>
              <w:rPr>
                <w:sz w:val="20"/>
                <w:szCs w:val="20"/>
                <w:color w:val="auto"/>
              </w:rPr>
            </w:pPr>
          </w:p>
        </w:tc>
        <w:tc>
          <w:tcPr>
            <w:tcW w:w="720" w:type="dxa"/>
            <w:vAlign w:val="bottom"/>
            <w:gridSpan w:val="3"/>
            <w:vMerge w:val="continue"/>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140,517</w:t>
            </w:r>
          </w:p>
        </w:tc>
        <w:tc>
          <w:tcPr>
            <w:tcW w:w="40" w:type="dxa"/>
            <w:vAlign w:val="bottom"/>
            <w:shd w:val="clear" w:color="auto" w:fill="CCEEFF"/>
          </w:tcPr>
          <w:p>
            <w:pPr>
              <w:spacing w:after="0"/>
              <w:rPr>
                <w:sz w:val="20"/>
                <w:szCs w:val="20"/>
                <w:color w:val="auto"/>
              </w:rPr>
            </w:pPr>
          </w:p>
        </w:tc>
        <w:tc>
          <w:tcPr>
            <w:tcW w:w="700" w:type="dxa"/>
            <w:vAlign w:val="bottom"/>
            <w:gridSpan w:val="3"/>
            <w:vMerge w:val="continue"/>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128,485</w:t>
            </w:r>
          </w:p>
        </w:tc>
        <w:tc>
          <w:tcPr>
            <w:tcW w:w="40" w:type="dxa"/>
            <w:vAlign w:val="bottom"/>
            <w:shd w:val="clear" w:color="auto" w:fill="CCEEFF"/>
          </w:tcPr>
          <w:p>
            <w:pPr>
              <w:spacing w:after="0"/>
              <w:rPr>
                <w:sz w:val="20"/>
                <w:szCs w:val="20"/>
                <w:color w:val="auto"/>
              </w:rPr>
            </w:pPr>
          </w:p>
        </w:tc>
        <w:tc>
          <w:tcPr>
            <w:tcW w:w="7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-Share-based compensation expenses of</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9"/>
                <w:szCs w:val="19"/>
                <w:color w:val="auto"/>
              </w:rPr>
              <w:t>%</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9"/>
                <w:szCs w:val="19"/>
                <w:color w:val="auto"/>
              </w:rPr>
              <w:t>%</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 operating in PRC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148,223</w:t>
            </w:r>
          </w:p>
        </w:tc>
        <w:tc>
          <w:tcPr>
            <w:tcW w:w="20" w:type="dxa"/>
            <w:vAlign w:val="bottom"/>
          </w:tcPr>
          <w:p>
            <w:pPr>
              <w:spacing w:after="0"/>
              <w:rPr>
                <w:sz w:val="20"/>
                <w:szCs w:val="20"/>
                <w:color w:val="auto"/>
              </w:rPr>
            </w:pPr>
          </w:p>
        </w:tc>
        <w:tc>
          <w:tcPr>
            <w:tcW w:w="720" w:type="dxa"/>
            <w:vAlign w:val="bottom"/>
            <w:gridSpan w:val="3"/>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119,857</w:t>
            </w:r>
          </w:p>
        </w:tc>
        <w:tc>
          <w:tcPr>
            <w:tcW w:w="40" w:type="dxa"/>
            <w:vAlign w:val="bottom"/>
          </w:tcPr>
          <w:p>
            <w:pPr>
              <w:spacing w:after="0"/>
              <w:rPr>
                <w:sz w:val="20"/>
                <w:szCs w:val="20"/>
                <w:color w:val="auto"/>
              </w:rPr>
            </w:pPr>
          </w:p>
        </w:tc>
        <w:tc>
          <w:tcPr>
            <w:tcW w:w="700" w:type="dxa"/>
            <w:vAlign w:val="bottom"/>
            <w:gridSpan w:val="3"/>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121,376</w:t>
            </w:r>
          </w:p>
        </w:tc>
        <w:tc>
          <w:tcPr>
            <w:tcW w:w="40" w:type="dxa"/>
            <w:vAlign w:val="bottom"/>
          </w:tcPr>
          <w:p>
            <w:pPr>
              <w:spacing w:after="0"/>
              <w:rPr>
                <w:sz w:val="20"/>
                <w:szCs w:val="20"/>
                <w:color w:val="auto"/>
              </w:rPr>
            </w:pPr>
          </w:p>
        </w:tc>
        <w:tc>
          <w:tcPr>
            <w:tcW w:w="7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19"/>
                <w:szCs w:val="19"/>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0.2 </w:t>
            </w:r>
            <w:r>
              <w:rPr>
                <w:rFonts w:ascii="Times New Roman" w:cs="Times New Roman" w:eastAsia="Times New Roman" w:hAnsi="Times New Roman"/>
                <w:sz w:val="19"/>
                <w:szCs w:val="19"/>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on dividends and undistributed</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9"/>
                <w:szCs w:val="19"/>
                <w:color w:val="auto"/>
              </w:rPr>
              <w:t>%</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9"/>
                <w:szCs w:val="19"/>
                <w:color w:val="auto"/>
              </w:rPr>
              <w:t>%</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4"/>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148,750</w:t>
            </w:r>
          </w:p>
        </w:tc>
        <w:tc>
          <w:tcPr>
            <w:tcW w:w="20" w:type="dxa"/>
            <w:vAlign w:val="bottom"/>
          </w:tcPr>
          <w:p>
            <w:pPr>
              <w:spacing w:after="0"/>
              <w:rPr>
                <w:sz w:val="20"/>
                <w:szCs w:val="20"/>
                <w:color w:val="auto"/>
              </w:rPr>
            </w:pPr>
          </w:p>
        </w:tc>
        <w:tc>
          <w:tcPr>
            <w:tcW w:w="720" w:type="dxa"/>
            <w:vAlign w:val="bottom"/>
            <w:gridSpan w:val="3"/>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649,860</w:t>
            </w:r>
          </w:p>
        </w:tc>
        <w:tc>
          <w:tcPr>
            <w:tcW w:w="40" w:type="dxa"/>
            <w:vAlign w:val="bottom"/>
          </w:tcPr>
          <w:p>
            <w:pPr>
              <w:spacing w:after="0"/>
              <w:rPr>
                <w:sz w:val="20"/>
                <w:szCs w:val="20"/>
                <w:color w:val="auto"/>
              </w:rPr>
            </w:pPr>
          </w:p>
        </w:tc>
        <w:tc>
          <w:tcPr>
            <w:tcW w:w="700" w:type="dxa"/>
            <w:vAlign w:val="bottom"/>
            <w:gridSpan w:val="3"/>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261,646</w:t>
            </w:r>
          </w:p>
        </w:tc>
        <w:tc>
          <w:tcPr>
            <w:tcW w:w="40" w:type="dxa"/>
            <w:vAlign w:val="bottom"/>
          </w:tcPr>
          <w:p>
            <w:pPr>
              <w:spacing w:after="0"/>
              <w:rPr>
                <w:sz w:val="20"/>
                <w:szCs w:val="20"/>
                <w:color w:val="auto"/>
              </w:rPr>
            </w:pPr>
          </w:p>
        </w:tc>
        <w:tc>
          <w:tcPr>
            <w:tcW w:w="7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tax holidays on concessionary</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(851,865)</w:t>
            </w:r>
          </w:p>
        </w:tc>
        <w:tc>
          <w:tcPr>
            <w:tcW w:w="40" w:type="dxa"/>
            <w:vAlign w:val="bottom"/>
            <w:shd w:val="clear" w:color="auto" w:fill="CCEEFF"/>
          </w:tcPr>
          <w:p>
            <w:pPr>
              <w:spacing w:after="0"/>
              <w:rPr>
                <w:sz w:val="17"/>
                <w:szCs w:val="17"/>
                <w:color w:val="auto"/>
              </w:rPr>
            </w:pPr>
          </w:p>
        </w:tc>
        <w:tc>
          <w:tcPr>
            <w:tcW w:w="15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(698,883)</w:t>
            </w:r>
          </w:p>
        </w:tc>
        <w:tc>
          <w:tcPr>
            <w:tcW w:w="40" w:type="dxa"/>
            <w:vAlign w:val="bottom"/>
            <w:shd w:val="clear" w:color="auto" w:fill="CCEEFF"/>
          </w:tcPr>
          <w:p>
            <w:pPr>
              <w:spacing w:after="0"/>
              <w:rPr>
                <w:sz w:val="17"/>
                <w:szCs w:val="17"/>
                <w:color w:val="auto"/>
              </w:rPr>
            </w:pP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4"/>
        </w:trPr>
        <w:tc>
          <w:tcPr>
            <w:tcW w:w="324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granted to PRC subsidiaries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(824,300)</w:t>
            </w:r>
          </w:p>
        </w:tc>
        <w:tc>
          <w:tcPr>
            <w:tcW w:w="20" w:type="dxa"/>
            <w:vAlign w:val="bottom"/>
            <w:shd w:val="clear" w:color="auto" w:fill="CCEEFF"/>
          </w:tcPr>
          <w:p>
            <w:pPr>
              <w:spacing w:after="0"/>
              <w:rPr>
                <w:sz w:val="20"/>
                <w:szCs w:val="20"/>
                <w:color w:val="auto"/>
              </w:rPr>
            </w:pPr>
          </w:p>
        </w:tc>
        <w:tc>
          <w:tcPr>
            <w:tcW w:w="1540" w:type="dxa"/>
            <w:vAlign w:val="bottom"/>
            <w:gridSpan w:val="4"/>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40" w:type="dxa"/>
            <w:vAlign w:val="bottom"/>
            <w:gridSpan w:val="4"/>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1,866,004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2,315,515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1,798,963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taxes paid (net of refunds) amount disaggregated by foreign taxes and PRC EIT taxes are as follows:</w:t>
      </w:r>
    </w:p>
    <w:p>
      <w:pPr>
        <w:spacing w:after="0" w:line="2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5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r>
      <w:tr>
        <w:trPr>
          <w:trHeight w:val="122"/>
        </w:trPr>
        <w:tc>
          <w:tcPr>
            <w:tcW w:w="5180" w:type="dxa"/>
            <w:vAlign w:val="bottom"/>
          </w:tcPr>
          <w:p>
            <w:pPr>
              <w:ind w:left="50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97"/>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199"/>
              <w:spacing w:after="0" w:line="122" w:lineRule="exact"/>
              <w:rPr>
                <w:sz w:val="20"/>
                <w:szCs w:val="20"/>
                <w:color w:val="auto"/>
              </w:rPr>
            </w:pPr>
            <w:r>
              <w:rPr>
                <w:rFonts w:ascii="Times New Roman" w:cs="Times New Roman" w:eastAsia="Times New Roman" w:hAnsi="Times New Roman"/>
                <w:sz w:val="14"/>
                <w:szCs w:val="14"/>
                <w:b w:val="1"/>
                <w:bCs w:val="1"/>
                <w:color w:val="auto"/>
              </w:rPr>
              <w:t>​​​   2024</w:t>
            </w:r>
          </w:p>
        </w:tc>
        <w:tc>
          <w:tcPr>
            <w:tcW w:w="1000" w:type="dxa"/>
            <w:vAlign w:val="bottom"/>
            <w:gridSpan w:val="2"/>
          </w:tcPr>
          <w:p>
            <w:pPr>
              <w:jc w:val="right"/>
              <w:ind w:right="219"/>
              <w:spacing w:after="0" w:line="122" w:lineRule="exact"/>
              <w:rPr>
                <w:sz w:val="20"/>
                <w:szCs w:val="20"/>
                <w:color w:val="auto"/>
              </w:rPr>
            </w:pPr>
            <w:r>
              <w:rPr>
                <w:rFonts w:ascii="Times New Roman" w:cs="Times New Roman" w:eastAsia="Times New Roman" w:hAnsi="Times New Roman"/>
                <w:sz w:val="14"/>
                <w:szCs w:val="14"/>
                <w:b w:val="1"/>
                <w:bCs w:val="1"/>
                <w:color w:val="auto"/>
              </w:rPr>
              <w:t>​​​   2025</w:t>
            </w:r>
          </w:p>
        </w:tc>
      </w:tr>
      <w:tr>
        <w:trPr>
          <w:trHeight w:val="142"/>
        </w:trPr>
        <w:tc>
          <w:tcPr>
            <w:tcW w:w="518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i w:val="1"/>
                <w:i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i w:val="1"/>
                <w:iCs w:val="1"/>
                <w:color w:val="auto"/>
              </w:rPr>
              <w:t>RMB</w:t>
            </w:r>
          </w:p>
        </w:tc>
        <w:tc>
          <w:tcPr>
            <w:tcW w:w="140" w:type="dxa"/>
            <w:vAlign w:val="bottom"/>
          </w:tcPr>
          <w:p>
            <w:pPr>
              <w:spacing w:after="0"/>
              <w:rPr>
                <w:sz w:val="12"/>
                <w:szCs w:val="12"/>
                <w:color w:val="auto"/>
              </w:rPr>
            </w:pPr>
          </w:p>
        </w:tc>
        <w:tc>
          <w:tcPr>
            <w:tcW w:w="86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i w:val="1"/>
                <w:iCs w:val="1"/>
                <w:color w:val="auto"/>
              </w:rPr>
              <w:t>RMB</w:t>
            </w:r>
          </w:p>
        </w:tc>
      </w:tr>
      <w:tr>
        <w:trPr>
          <w:trHeight w:val="216"/>
        </w:trPr>
        <w:tc>
          <w:tcPr>
            <w:tcW w:w="5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EIT taxes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1,778,409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2,173,022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2,400,582</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42,521</w:t>
            </w:r>
          </w:p>
        </w:tc>
      </w:tr>
      <w:tr>
        <w:trPr>
          <w:trHeight w:val="210"/>
        </w:trPr>
        <w:tc>
          <w:tcPr>
            <w:tcW w:w="5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taxes paid</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1,778,785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2,169,488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2,443,103</w:t>
            </w:r>
          </w:p>
        </w:tc>
      </w:tr>
      <w:tr>
        <w:trPr>
          <w:trHeight w:val="20"/>
        </w:trPr>
        <w:tc>
          <w:tcPr>
            <w:tcW w:w="5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 (Continued)</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The People’s Republic of China (Continued)</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amount and per share effect of the tax holidays and tax concessions are as follows: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66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2300" w:type="dxa"/>
            <w:vAlign w:val="bottom"/>
            <w:gridSpan w:val="11"/>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
        </w:trPr>
        <w:tc>
          <w:tcPr>
            <w:tcW w:w="6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440" w:type="dxa"/>
            <w:vAlign w:val="bottom"/>
            <w:gridSpan w:val="2"/>
          </w:tcPr>
          <w:p>
            <w:pPr>
              <w:ind w:left="24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56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4"/>
                <w:szCs w:val="14"/>
                <w:b w:val="1"/>
                <w:bCs w:val="1"/>
                <w:color w:val="auto"/>
              </w:rPr>
              <w:t>2024</w:t>
            </w:r>
          </w:p>
        </w:tc>
        <w:tc>
          <w:tcPr>
            <w:tcW w:w="240" w:type="dxa"/>
            <w:vAlign w:val="bottom"/>
            <w:gridSpan w:val="4"/>
          </w:tcPr>
          <w:p>
            <w:pPr>
              <w:ind w:left="100"/>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RMB</w:t>
            </w:r>
          </w:p>
        </w:tc>
      </w:tr>
      <w:tr>
        <w:trPr>
          <w:trHeight w:val="229"/>
        </w:trPr>
        <w:tc>
          <w:tcPr>
            <w:tcW w:w="66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aggregate effect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824,300</w:t>
            </w:r>
          </w:p>
        </w:tc>
        <w:tc>
          <w:tcPr>
            <w:tcW w:w="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851,865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698,883</w:t>
            </w:r>
          </w:p>
        </w:tc>
      </w:tr>
      <w:tr>
        <w:trPr>
          <w:trHeight w:val="230"/>
        </w:trPr>
        <w:tc>
          <w:tcPr>
            <w:tcW w:w="6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 share effect: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and Class B ordinary share:</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30"/>
        </w:trPr>
        <w:tc>
          <w:tcPr>
            <w:tcW w:w="66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432"/>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principal components of deferred tax assets and liabilities are as follows: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8"/>
        </w:trPr>
        <w:tc>
          <w:tcPr>
            <w:tcW w:w="6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11"/>
          </w:tcPr>
          <w:p>
            <w:pPr>
              <w:ind w:left="500"/>
              <w:spacing w:after="0"/>
              <w:rPr>
                <w:sz w:val="20"/>
                <w:szCs w:val="20"/>
                <w:color w:val="auto"/>
              </w:rPr>
            </w:pPr>
            <w:r>
              <w:rPr>
                <w:rFonts w:ascii="Times New Roman" w:cs="Times New Roman" w:eastAsia="Times New Roman" w:hAnsi="Times New Roman"/>
                <w:sz w:val="14"/>
                <w:szCs w:val="14"/>
                <w:b w:val="1"/>
                <w:bCs w:val="1"/>
                <w:color w:val="auto"/>
              </w:rPr>
              <w:t>​​​   As of December 31,</w:t>
            </w:r>
          </w:p>
        </w:tc>
      </w:tr>
      <w:tr>
        <w:trPr>
          <w:trHeight w:val="142"/>
        </w:trPr>
        <w:tc>
          <w:tcPr>
            <w:tcW w:w="6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455,594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460,715</w:t>
            </w:r>
          </w:p>
        </w:tc>
      </w:tr>
      <w:tr>
        <w:trPr>
          <w:trHeight w:val="216"/>
        </w:trPr>
        <w:tc>
          <w:tcPr>
            <w:tcW w:w="6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debts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w:t>
            </w: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17,055</w:t>
            </w:r>
          </w:p>
        </w:tc>
      </w:tr>
      <w:tr>
        <w:trPr>
          <w:trHeight w:val="216"/>
        </w:trPr>
        <w:tc>
          <w:tcPr>
            <w:tcW w:w="6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write-down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104,633</w:t>
            </w: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528,094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575,505</w:t>
            </w:r>
          </w:p>
        </w:tc>
      </w:tr>
      <w:tr>
        <w:trPr>
          <w:trHeight w:val="216"/>
        </w:trPr>
        <w:tc>
          <w:tcPr>
            <w:tcW w:w="6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107,901</w:t>
            </w: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r>
      <w:tr>
        <w:trPr>
          <w:trHeight w:val="216"/>
        </w:trPr>
        <w:tc>
          <w:tcPr>
            <w:tcW w:w="6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(653,367)</w:t>
            </w:r>
          </w:p>
        </w:tc>
        <w:tc>
          <w:tcPr>
            <w:tcW w:w="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(543,109)</w:t>
            </w:r>
          </w:p>
        </w:tc>
      </w:tr>
      <w:tr>
        <w:trPr>
          <w:trHeight w:val="210"/>
        </w:trPr>
        <w:tc>
          <w:tcPr>
            <w:tcW w:w="5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deferred tax assets-non-current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681,029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757,113</w:t>
            </w:r>
          </w:p>
        </w:tc>
      </w:tr>
      <w:tr>
        <w:trPr>
          <w:trHeight w:val="20"/>
        </w:trPr>
        <w:tc>
          <w:tcPr>
            <w:tcW w:w="6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11"/>
          </w:tcPr>
          <w:p>
            <w:pPr>
              <w:ind w:left="500"/>
              <w:spacing w:after="0"/>
              <w:rPr>
                <w:sz w:val="20"/>
                <w:szCs w:val="20"/>
                <w:color w:val="auto"/>
              </w:rPr>
            </w:pPr>
            <w:r>
              <w:rPr>
                <w:rFonts w:ascii="Times New Roman" w:cs="Times New Roman" w:eastAsia="Times New Roman" w:hAnsi="Times New Roman"/>
                <w:sz w:val="14"/>
                <w:szCs w:val="14"/>
                <w:b w:val="1"/>
                <w:bCs w:val="1"/>
                <w:color w:val="auto"/>
              </w:rPr>
              <w:t>​​​   As of December 31,</w:t>
            </w:r>
          </w:p>
        </w:tc>
      </w:tr>
      <w:tr>
        <w:trPr>
          <w:trHeight w:val="142"/>
        </w:trPr>
        <w:tc>
          <w:tcPr>
            <w:tcW w:w="6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7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6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 of long-lived assets from business acquisition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482,128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455,587</w:t>
            </w:r>
          </w:p>
        </w:tc>
      </w:tr>
      <w:tr>
        <w:trPr>
          <w:trHeight w:val="216"/>
        </w:trPr>
        <w:tc>
          <w:tcPr>
            <w:tcW w:w="6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 on undistributed earnings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250,000</w:t>
            </w:r>
          </w:p>
        </w:tc>
      </w:tr>
      <w:tr>
        <w:trPr>
          <w:trHeight w:val="216"/>
        </w:trPr>
        <w:tc>
          <w:tcPr>
            <w:tcW w:w="6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10"/>
        </w:trPr>
        <w:tc>
          <w:tcPr>
            <w:tcW w:w="660" w:type="dxa"/>
            <w:vAlign w:val="bottom"/>
          </w:tcPr>
          <w:p>
            <w:pPr>
              <w:spacing w:after="0"/>
              <w:rPr>
                <w:sz w:val="18"/>
                <w:szCs w:val="18"/>
                <w:color w:val="auto"/>
              </w:rPr>
            </w:pPr>
          </w:p>
        </w:tc>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liabilities-non-current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707,322</w:t>
            </w:r>
          </w:p>
        </w:tc>
      </w:tr>
      <w:tr>
        <w:trPr>
          <w:trHeight w:val="20"/>
        </w:trPr>
        <w:tc>
          <w:tcPr>
            <w:tcW w:w="6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As of December 31, 2023, 2024 and 2025, the amount of tax loss carried forward was RMB301.7 million, RMB470.6 million and RMB569.4 million, respectively, for the Group’s subsidiary incorporated in Hong Kong and Singapore, which can be carried forward indefinitely to offset future taxable income if there is no change in shareholding of the Group’s subsidiary. The remaining amount of tax loss of RMB1.90 billion, RMB1.75 billion and RMB1.68 billion, mainly arose from the Group’s certain subsidiaries established in the PRC, which can be carried forward to offset future taxable income and will expire during the period from 2026 to 2030.</w:t>
      </w:r>
    </w:p>
    <w:p>
      <w:pPr>
        <w:spacing w:after="0" w:line="187"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2024 and 2025, respectively, the Group recognized a valuation allowance against deferred tax assets associated with the future benefits of net operating loss carryforwards and other deferred tax assets of certain subsidiaries. This was because management cannot conclude that the realization of these deferred tax assets is more likely than not.</w:t>
      </w:r>
    </w:p>
    <w:p>
      <w:pPr>
        <w:sectPr>
          <w:pgSz w:w="11900" w:h="16838" w:orient="portrait"/>
          <w:cols w:equalWidth="0" w:num="1">
            <w:col w:w="9820"/>
          </w:cols>
          <w:pgMar w:left="980" w:top="513"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4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earnings per share is calculated based on the weighted average number of ordinary shares outstanding during each period. Diluted net earnings per share is calculated based on the weighted average number of ordinary shares outstanding and incremental weighted average number of ordinary shares from assumed vesting of non-vested shares and exercise of share options, and conversion of the convertible senior notes during each period.</w:t>
      </w:r>
    </w:p>
    <w:p>
      <w:pPr>
        <w:spacing w:after="0" w:line="179" w:lineRule="exact"/>
        <w:rPr>
          <w:rFonts w:ascii="Times New Roman" w:cs="Times New Roman" w:eastAsia="Times New Roman" w:hAnsi="Times New Roman"/>
          <w:sz w:val="18"/>
          <w:szCs w:val="18"/>
          <w:b w:val="1"/>
          <w:bCs w:val="1"/>
          <w:color w:val="auto"/>
        </w:rPr>
      </w:pPr>
    </w:p>
    <w:p>
      <w:pPr>
        <w:ind w:left="34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economic rights and obligations are applied equally to both Class A and Class B ordinary shares, earnings are allocated between the two classes of ordinary shares evenly with the same allocation on a per share basis.</w:t>
      </w:r>
    </w:p>
    <w:p>
      <w:pPr>
        <w:spacing w:after="0" w:line="161" w:lineRule="exact"/>
        <w:rPr>
          <w:rFonts w:ascii="Times New Roman" w:cs="Times New Roman" w:eastAsia="Times New Roman" w:hAnsi="Times New Roman"/>
          <w:sz w:val="18"/>
          <w:szCs w:val="18"/>
          <w:b w:val="1"/>
          <w:bCs w:val="1"/>
          <w:color w:val="auto"/>
        </w:rPr>
      </w:pPr>
    </w:p>
    <w:p>
      <w:pPr>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and 2025, there are 181,734 and 24,032 employee share options or non-vested ordinary shares, respectively, which could potentially dilute basic net earnings per share in the future, but which were excluded from the computation of diluted net earnings per share in the periods presented, as their effects would have been anti-dilutive.</w:t>
      </w:r>
    </w:p>
    <w:p>
      <w:pPr>
        <w:spacing w:after="0" w:line="175"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and diluted earnings per share have been calculated for the years ended December 31, 2023, 2024 and 2025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620" w:type="dxa"/>
            <w:vAlign w:val="bottom"/>
          </w:tcPr>
          <w:p>
            <w:pPr>
              <w:ind w:left="4500"/>
              <w:spacing w:after="0"/>
              <w:rPr>
                <w:sz w:val="20"/>
                <w:szCs w:val="20"/>
                <w:color w:val="auto"/>
              </w:rPr>
            </w:pPr>
            <w:r>
              <w:rPr>
                <w:rFonts w:ascii="Times New Roman" w:cs="Times New Roman" w:eastAsia="Times New Roman" w:hAnsi="Times New Roman"/>
                <w:sz w:val="14"/>
                <w:szCs w:val="14"/>
                <w:b w:val="1"/>
                <w:bCs w:val="1"/>
                <w:color w:val="auto"/>
              </w:rPr>
              <w:t>​​​</w:t>
            </w:r>
          </w:p>
        </w:tc>
        <w:tc>
          <w:tcPr>
            <w:tcW w:w="3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2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4620" w:type="dxa"/>
            <w:vAlign w:val="bottom"/>
          </w:tcPr>
          <w:p>
            <w:pPr>
              <w:ind w:left="45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2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4620" w:type="dxa"/>
            <w:vAlign w:val="bottom"/>
          </w:tcPr>
          <w:p>
            <w:pPr>
              <w:ind w:left="45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62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earnings per share attributable to Vipshop Holdings</w:t>
            </w:r>
          </w:p>
        </w:tc>
        <w:tc>
          <w:tcPr>
            <w:tcW w:w="9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Limited’s ordinary shareholders:</w:t>
            </w:r>
          </w:p>
        </w:tc>
        <w:tc>
          <w:tcPr>
            <w:tcW w:w="9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80" w:type="dxa"/>
            <w:vAlign w:val="bottom"/>
          </w:tcPr>
          <w:p>
            <w:pPr>
              <w:spacing w:after="0"/>
              <w:rPr>
                <w:sz w:val="18"/>
                <w:szCs w:val="18"/>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2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62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Earnings attributable to Class A and Class B ordinary</w:t>
            </w:r>
          </w:p>
        </w:tc>
        <w:tc>
          <w:tcPr>
            <w:tcW w:w="9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for computing basic earnings per Class A and</w:t>
            </w: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ordinary share</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8,116,624</w:t>
            </w:r>
          </w:p>
        </w:tc>
        <w:tc>
          <w:tcPr>
            <w:tcW w:w="180" w:type="dxa"/>
            <w:vAlign w:val="bottom"/>
            <w:tcBorders>
              <w:right w:val="single" w:sz="8" w:color="CCEEFF"/>
            </w:tcBorders>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7,739,935</w:t>
            </w:r>
          </w:p>
        </w:tc>
        <w:tc>
          <w:tcPr>
            <w:tcW w:w="20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7,242,490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80" w:type="dxa"/>
            <w:vAlign w:val="bottom"/>
            <w:tcBorders>
              <w:top w:val="single" w:sz="8" w:color="auto"/>
            </w:tcBorders>
          </w:tcPr>
          <w:p>
            <w:pPr>
              <w:spacing w:after="0"/>
              <w:rPr>
                <w:sz w:val="18"/>
                <w:szCs w:val="18"/>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spacing w:after="0"/>
              <w:rPr>
                <w:sz w:val="18"/>
                <w:szCs w:val="18"/>
                <w:color w:val="auto"/>
              </w:rPr>
            </w:pPr>
          </w:p>
        </w:tc>
        <w:tc>
          <w:tcPr>
            <w:tcW w:w="2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62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Class A and Class B ordinary</w:t>
            </w:r>
          </w:p>
        </w:tc>
        <w:tc>
          <w:tcPr>
            <w:tcW w:w="9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outstanding for computing basic earnings per Class</w:t>
            </w: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 and Class B ordinary share</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110,695,778</w:t>
            </w:r>
          </w:p>
        </w:tc>
        <w:tc>
          <w:tcPr>
            <w:tcW w:w="180" w:type="dxa"/>
            <w:vAlign w:val="bottom"/>
            <w:tcBorders>
              <w:right w:val="single" w:sz="8" w:color="CCEEFF"/>
            </w:tcBorders>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106,074,914</w:t>
            </w:r>
          </w:p>
        </w:tc>
        <w:tc>
          <w:tcPr>
            <w:tcW w:w="20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100,072,178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Basic earnings per Class A and Class B ordinary shares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Diluted earnings per share for the years ended December 31, 2023, 2024 and 2025 are calculated as follows:</w:t>
            </w: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4620" w:type="dxa"/>
            <w:vAlign w:val="bottom"/>
          </w:tcPr>
          <w:p>
            <w:pPr>
              <w:ind w:left="4500"/>
              <w:spacing w:after="0"/>
              <w:rPr>
                <w:sz w:val="20"/>
                <w:szCs w:val="20"/>
                <w:color w:val="auto"/>
              </w:rPr>
            </w:pPr>
            <w:r>
              <w:rPr>
                <w:rFonts w:ascii="Times New Roman" w:cs="Times New Roman" w:eastAsia="Times New Roman" w:hAnsi="Times New Roman"/>
                <w:sz w:val="14"/>
                <w:szCs w:val="14"/>
                <w:b w:val="1"/>
                <w:bCs w:val="1"/>
                <w:color w:val="auto"/>
              </w:rPr>
              <w:t>​​​</w:t>
            </w:r>
          </w:p>
        </w:tc>
        <w:tc>
          <w:tcPr>
            <w:tcW w:w="3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2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4620" w:type="dxa"/>
            <w:vAlign w:val="bottom"/>
          </w:tcPr>
          <w:p>
            <w:pPr>
              <w:ind w:left="45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2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4620" w:type="dxa"/>
            <w:vAlign w:val="bottom"/>
          </w:tcPr>
          <w:p>
            <w:pPr>
              <w:ind w:left="45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80" w:type="dxa"/>
            <w:vAlign w:val="bottom"/>
          </w:tcPr>
          <w:p>
            <w:pPr>
              <w:spacing w:after="0"/>
              <w:rPr>
                <w:sz w:val="18"/>
                <w:szCs w:val="18"/>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2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62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Earnings attributable to Class A and Class B ordinary</w:t>
            </w:r>
          </w:p>
        </w:tc>
        <w:tc>
          <w:tcPr>
            <w:tcW w:w="9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for computing basic earnings per Class A and</w:t>
            </w: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ordinary share</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8,116,624</w:t>
            </w:r>
          </w:p>
        </w:tc>
        <w:tc>
          <w:tcPr>
            <w:tcW w:w="180" w:type="dxa"/>
            <w:vAlign w:val="bottom"/>
            <w:tcBorders>
              <w:right w:val="single" w:sz="8" w:color="CCEEFF"/>
            </w:tcBorders>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7,739,935</w:t>
            </w:r>
          </w:p>
        </w:tc>
        <w:tc>
          <w:tcPr>
            <w:tcW w:w="20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7,242,490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80" w:type="dxa"/>
            <w:vAlign w:val="bottom"/>
            <w:tcBorders>
              <w:top w:val="single" w:sz="8" w:color="auto"/>
            </w:tcBorders>
          </w:tcPr>
          <w:p>
            <w:pPr>
              <w:spacing w:after="0"/>
              <w:rPr>
                <w:sz w:val="18"/>
                <w:szCs w:val="18"/>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spacing w:after="0"/>
              <w:rPr>
                <w:sz w:val="18"/>
                <w:szCs w:val="18"/>
                <w:color w:val="auto"/>
              </w:rPr>
            </w:pPr>
          </w:p>
        </w:tc>
        <w:tc>
          <w:tcPr>
            <w:tcW w:w="2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62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Class A and Class B ordinary</w:t>
            </w:r>
          </w:p>
        </w:tc>
        <w:tc>
          <w:tcPr>
            <w:tcW w:w="9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outstanding for computing basic earnings per Class</w:t>
            </w: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 and Class B ordinary share</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110,695,778</w:t>
            </w:r>
          </w:p>
        </w:tc>
        <w:tc>
          <w:tcPr>
            <w:tcW w:w="180" w:type="dxa"/>
            <w:vAlign w:val="bottom"/>
            <w:tcBorders>
              <w:right w:val="single" w:sz="8" w:color="CCEEFF"/>
            </w:tcBorders>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106,074,914</w:t>
            </w:r>
          </w:p>
        </w:tc>
        <w:tc>
          <w:tcPr>
            <w:tcW w:w="20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100,072,178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46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Dilutive employee share options and non-vested ordinary</w:t>
            </w: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1,856,620</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1,780,892</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2,311,712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4620" w:type="dxa"/>
            <w:vAlign w:val="bottom"/>
            <w:tcBorders>
              <w:top w:val="single" w:sz="8" w:color="CCEEFF"/>
              <w:right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number of Class A and Class B ordinary</w:t>
            </w:r>
          </w:p>
        </w:tc>
        <w:tc>
          <w:tcPr>
            <w:tcW w:w="98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98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outstanding for computing diluted earnings per</w:t>
            </w: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2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 and Class B ordinary share</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112,552,398</w:t>
            </w:r>
          </w:p>
        </w:tc>
        <w:tc>
          <w:tcPr>
            <w:tcW w:w="180" w:type="dxa"/>
            <w:vAlign w:val="bottom"/>
            <w:tcBorders>
              <w:right w:val="single" w:sz="8" w:color="CCEEFF"/>
            </w:tcBorders>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107,855,806</w:t>
            </w:r>
          </w:p>
        </w:tc>
        <w:tc>
          <w:tcPr>
            <w:tcW w:w="200" w:type="dxa"/>
            <w:vAlign w:val="bottom"/>
            <w:tcBorders>
              <w:right w:val="single" w:sz="8" w:color="CCEEFF"/>
            </w:tcBorders>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102,383,890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Diluted earnings per Class A and Class B ordinary shares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right="7060" w:hanging="332"/>
        <w:spacing w:after="0" w:line="532" w:lineRule="auto"/>
        <w:tabs>
          <w:tab w:leader="none" w:pos="34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Capital commitment</w:t>
      </w:r>
    </w:p>
    <w:p>
      <w:pPr>
        <w:spacing w:after="0" w:line="1" w:lineRule="exact"/>
        <w:rPr>
          <w:rFonts w:ascii="Times New Roman" w:cs="Times New Roman" w:eastAsia="Times New Roman" w:hAnsi="Times New Roman"/>
          <w:sz w:val="17"/>
          <w:szCs w:val="17"/>
          <w:b w:val="1"/>
          <w:bCs w:val="1"/>
          <w:color w:val="auto"/>
        </w:rPr>
      </w:pPr>
    </w:p>
    <w:p>
      <w:pPr>
        <w:ind w:left="340" w:right="6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2024 and 2025, the Group has contracted for capital expenditures of RMB1,199,691 and RMB258,378, respectively.</w:t>
      </w:r>
    </w:p>
    <w:p>
      <w:pPr>
        <w:spacing w:after="0" w:line="159"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Other commitments</w:t>
      </w:r>
    </w:p>
    <w:p>
      <w:pPr>
        <w:spacing w:after="0" w:line="22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has the following commitments:</w:t>
      </w:r>
    </w:p>
    <w:p>
      <w:pPr>
        <w:spacing w:after="0" w:line="225" w:lineRule="exact"/>
        <w:rPr>
          <w:rFonts w:ascii="Times New Roman" w:cs="Times New Roman" w:eastAsia="Times New Roman" w:hAnsi="Times New Roman"/>
          <w:sz w:val="17"/>
          <w:szCs w:val="17"/>
          <w:b w:val="1"/>
          <w:bCs w:val="1"/>
          <w:color w:val="auto"/>
        </w:rPr>
      </w:pPr>
    </w:p>
    <w:p>
      <w:pPr>
        <w:ind w:left="340" w:right="7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2024 and 2025, the Group has investment commitment of RMB654.0 million and RMB941.2 million, respectively.</w:t>
      </w:r>
    </w:p>
    <w:p>
      <w:pPr>
        <w:spacing w:after="0" w:line="159"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Contingencies</w:t>
      </w:r>
    </w:p>
    <w:p>
      <w:pPr>
        <w:spacing w:after="0" w:line="227" w:lineRule="exact"/>
        <w:rPr>
          <w:rFonts w:ascii="Times New Roman" w:cs="Times New Roman" w:eastAsia="Times New Roman" w:hAnsi="Times New Roman"/>
          <w:sz w:val="17"/>
          <w:szCs w:val="17"/>
          <w:b w:val="1"/>
          <w:bCs w:val="1"/>
          <w:color w:val="auto"/>
        </w:rPr>
      </w:pPr>
    </w:p>
    <w:p>
      <w:pPr>
        <w:ind w:left="340" w:right="1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is subject to periodic legal or administrative proceedings in the ordinary course of business. The Group does not believe that any currently pending legal proceeding to which the Group is a party will have a material effect on its business, results of operations or cash flows.</w:t>
      </w:r>
    </w:p>
    <w:p>
      <w:pPr>
        <w:spacing w:after="0" w:line="185" w:lineRule="exact"/>
        <w:rPr>
          <w:rFonts w:ascii="Times New Roman" w:cs="Times New Roman" w:eastAsia="Times New Roman" w:hAnsi="Times New Roman"/>
          <w:sz w:val="17"/>
          <w:szCs w:val="17"/>
          <w:b w:val="1"/>
          <w:bCs w:val="1"/>
          <w:color w:val="auto"/>
        </w:rPr>
      </w:pPr>
    </w:p>
    <w:p>
      <w:pPr>
        <w:ind w:left="340" w:hanging="332"/>
        <w:spacing w:after="0"/>
        <w:tabs>
          <w:tab w:leader="none" w:pos="3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2023, 2024 and 2025, the Group entered into the following material related party transactions: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00" w:type="dxa"/>
            <w:vAlign w:val="bottom"/>
          </w:tcPr>
          <w:p>
            <w:pPr>
              <w:ind w:left="5480"/>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
        </w:trPr>
        <w:tc>
          <w:tcPr>
            <w:tcW w:w="56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42"/>
        </w:trPr>
        <w:tc>
          <w:tcPr>
            <w:tcW w:w="5600" w:type="dxa"/>
            <w:vAlign w:val="bottom"/>
          </w:tcPr>
          <w:p>
            <w:pPr>
              <w:ind w:left="54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56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42"/>
        </w:trPr>
        <w:tc>
          <w:tcPr>
            <w:tcW w:w="5600" w:type="dxa"/>
            <w:vAlign w:val="bottom"/>
          </w:tcPr>
          <w:p>
            <w:pPr>
              <w:ind w:left="54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5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Nature of transactions:</w:t>
            </w:r>
          </w:p>
        </w:tc>
        <w:tc>
          <w:tcPr>
            <w:tcW w:w="6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Purchase of goods </w:t>
            </w:r>
            <w:r>
              <w:rPr>
                <w:rFonts w:ascii="Times New Roman" w:cs="Times New Roman" w:eastAsia="Times New Roman" w:hAnsi="Times New Roman"/>
                <w:sz w:val="18"/>
                <w:szCs w:val="18"/>
                <w:i w:val="1"/>
                <w:iCs w:val="1"/>
                <w:color w:val="auto"/>
              </w:rPr>
              <w:t>(i)</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373,864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294,963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278,988</w:t>
            </w:r>
          </w:p>
        </w:tc>
      </w:tr>
      <w:tr>
        <w:trPr>
          <w:trHeight w:val="216"/>
        </w:trPr>
        <w:tc>
          <w:tcPr>
            <w:tcW w:w="5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Purchase of services </w:t>
            </w:r>
            <w:r>
              <w:rPr>
                <w:rFonts w:ascii="Times New Roman" w:cs="Times New Roman" w:eastAsia="Times New Roman" w:hAnsi="Times New Roman"/>
                <w:sz w:val="18"/>
                <w:szCs w:val="18"/>
                <w:i w:val="1"/>
                <w:iCs w:val="1"/>
                <w:color w:val="auto"/>
              </w:rPr>
              <w:t>(i)</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838,609</w:t>
            </w: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823,372</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920,193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44,572</w:t>
            </w:r>
          </w:p>
        </w:tc>
      </w:tr>
      <w:tr>
        <w:trPr>
          <w:trHeight w:val="216"/>
        </w:trPr>
        <w:tc>
          <w:tcPr>
            <w:tcW w:w="5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product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73,608</w:t>
            </w: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48260</wp:posOffset>
            </wp:positionV>
            <wp:extent cx="15684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2" w:lineRule="exact"/>
        <w:rPr>
          <w:sz w:val="20"/>
          <w:szCs w:val="20"/>
          <w:color w:val="auto"/>
        </w:rPr>
      </w:pPr>
    </w:p>
    <w:p>
      <w:pPr>
        <w:ind w:left="680" w:right="280" w:hanging="321"/>
        <w:spacing w:after="0" w:line="282" w:lineRule="auto"/>
        <w:tabs>
          <w:tab w:leader="none" w:pos="6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goods and services were purchased from companies either controlled by its shareholders or directors and equity method investees of the Group.</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Details of the balances with related parties are as follows:</w:t>
      </w:r>
    </w:p>
    <w:p>
      <w:pPr>
        <w:spacing w:after="0" w:line="194" w:lineRule="exact"/>
        <w:rPr>
          <w:sz w:val="20"/>
          <w:szCs w:val="20"/>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due from related parties, net</w:t>
      </w:r>
    </w:p>
    <w:p>
      <w:pPr>
        <w:spacing w:after="0" w:line="188" w:lineRule="exact"/>
        <w:rPr>
          <w:rFonts w:ascii="Times New Roman" w:cs="Times New Roman" w:eastAsia="Times New Roman" w:hAnsi="Times New Roman"/>
          <w:sz w:val="18"/>
          <w:szCs w:val="18"/>
          <w:b w:val="1"/>
          <w:bCs w:val="1"/>
          <w:color w:val="auto"/>
        </w:rPr>
      </w:pPr>
    </w:p>
    <w:p>
      <w:pPr>
        <w:ind w:left="6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amounts due from related parties amounted to RMB762,781. Of this total, RMB29,708 represented interest-bearing loans to Gansu Shanshan, an equity method investee, carrying an annual interest rate of 2.85% and RMB20,307 represented interest-free loans to another equity method investee. The remaining amount consisted of RMB599,078 shareholder deposits to VipFubon at 2.20% and 2.45% annual interest and RMB113,688 primarily for prepayments related to purchases of goods and other services.</w:t>
      </w:r>
    </w:p>
    <w:p>
      <w:pPr>
        <w:spacing w:after="0" w:line="142"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amounts due from related parties amounted to RMB548,145. Of this total, RMB39,618 represented interest-bearing loans to Gansu Shan Shan, an equity method investee, carrying an annual interest rate of 2.85% and RMB11,887 represented interest-free loans to another equity method investee. The remaining amount consisted of RMB403,037 loan to VipFubon at 3.3% annual interest, renewed during the year, and RMB93,603 primarily for prepayments related to purchases of goods and other services.</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due to related parties</w:t>
      </w:r>
    </w:p>
    <w:p>
      <w:pPr>
        <w:spacing w:after="0" w:line="229"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due to related parties as of December 31, 2025 amounted to RMB101,782, mainly includes payables for purchases of goods and other services.</w:t>
      </w:r>
    </w:p>
    <w:p>
      <w:pPr>
        <w:spacing w:after="0" w:line="161"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due to related parties as of December 31, 2024 amounted to RMB104,187, mainly includes payables for purchases of goods and other services.</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incentive plan</w:t>
      </w:r>
    </w:p>
    <w:p>
      <w:pPr>
        <w:spacing w:after="0" w:line="229"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adopted three stock incentive plans since inception. The 2011 Stock Incentive Plan and 2012 Share Incentive Plan each terminated at the end of their respective ten-year terms and some grants from each of these plans are still outstanding as of December 31, 2025.</w:t>
      </w:r>
    </w:p>
    <w:p>
      <w:pPr>
        <w:spacing w:after="0" w:line="175"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2014, the Group adopted the 2014 Stock Incentive Plan (the “2014 Plan”), in which the maximum aggregate number of ordinary shares may be issued under the 2014 Plan is (i) 5,366,998 Class A ordinary shares, and (ii) an automatic increase on January 1 of each year after the effective date of the 2014 Plan by that number of shares representing 1.5% of the Group’s then total issued and outstanding share capital as of December 31 of the preceding year, or such less number as determined by the board of directors.</w:t>
      </w:r>
    </w:p>
    <w:p>
      <w:pPr>
        <w:spacing w:after="0" w:line="183" w:lineRule="exact"/>
        <w:rPr>
          <w:rFonts w:ascii="Times New Roman" w:cs="Times New Roman" w:eastAsia="Times New Roman" w:hAnsi="Times New Roman"/>
          <w:sz w:val="18"/>
          <w:szCs w:val="18"/>
          <w:b w:val="1"/>
          <w:bCs w:val="1"/>
          <w:color w:val="auto"/>
        </w:rPr>
      </w:pPr>
    </w:p>
    <w:p>
      <w:pPr>
        <w:ind w:left="660" w:right="2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2024, the Group adopted the Amended and Restated 2014 Share Incentive Plan, which amends and restates the previously adopted 2014 Share Incentive Plan of the Company in its entirety and assumes all awards granted under the 2014 Share Incentive Plan. The maximum aggregate number of shares authorized under the Amended and Restated 2014 Share Incentive Plan was (i) 13,985,001 Class A ordinary shares, and (ii) an automatic increase on January 1 of each year after the effective date of the 2014 Amended and Restated Share Incentive Plan by that number of shares representing 1.5% of the Company’s total issued and outstanding share capital as of December 31 of the preceding year, or such less number as determined by the board of directors.</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share incentive plan was adopted for the years ended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incentive plan (Continued)</w:t>
      </w:r>
    </w:p>
    <w:p>
      <w:pPr>
        <w:spacing w:after="0" w:line="229"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dates of the options were 5 to 10 years from grant date, vesting is subject to the continuous services of the option holders to the Group, and post-termination exercise period ranged from 3 to 9 months. During any authorized leave of absence, the vesting of the option shall be suspended after the leave of absence exceeds a period of 90 days. Vesting of the option shall resume upon the option holders’ return to service to the Group. The vesting schedule shall be extended by the length of the suspension.</w:t>
      </w:r>
    </w:p>
    <w:p>
      <w:pPr>
        <w:spacing w:after="0" w:line="183" w:lineRule="exact"/>
        <w:rPr>
          <w:rFonts w:ascii="Times New Roman" w:cs="Times New Roman" w:eastAsia="Times New Roman" w:hAnsi="Times New Roman"/>
          <w:sz w:val="18"/>
          <w:szCs w:val="18"/>
          <w:b w:val="1"/>
          <w:bCs w:val="1"/>
          <w:color w:val="auto"/>
        </w:rPr>
      </w:pPr>
    </w:p>
    <w:p>
      <w:pPr>
        <w:ind w:left="660"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termination of the option holders’ continuous service for cause, the option holders’ right to exercise the option shall terminate concurrently, except otherwise determined by the plan administrator, and the Group shall have the rights to repurchase all vested options purchased by the option holders at a discount price determined by the plan administrator. The share option holders have waived any voting rights with regard to the shares and granted a power of attorney to the board of directors of the Group to exercise voting rights with respect to the shares.</w:t>
      </w:r>
    </w:p>
    <w:p>
      <w:pPr>
        <w:spacing w:after="0" w:line="183"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uses the Binomial model to determine the estimated fair value for each option granted with the assistance of an independent valuation firm. The Group estimates that the forfeiture rate for key management and employees will be nil and 23% for 2023, nil and 29% for 2024, nil and 28% for 2025, respectively.</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 option as of December 31, 2025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80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years to</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expiry</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80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 outstanding</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share</w:t>
            </w:r>
          </w:p>
        </w:tc>
        <w:tc>
          <w:tcPr>
            <w:tcW w:w="20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value</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5,792,691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4.72 years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5,420,691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80" w:type="dxa"/>
            <w:vAlign w:val="bottom"/>
          </w:tcPr>
          <w:p>
            <w:pPr>
              <w:spacing w:after="0"/>
              <w:rPr>
                <w:sz w:val="22"/>
                <w:szCs w:val="2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3.94 years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122,494</w:t>
            </w:r>
          </w:p>
        </w:tc>
        <w:tc>
          <w:tcPr>
            <w:tcW w:w="0" w:type="dxa"/>
            <w:vAlign w:val="bottom"/>
          </w:tcPr>
          <w:p>
            <w:pPr>
              <w:spacing w:after="0"/>
              <w:rPr>
                <w:sz w:val="1"/>
                <w:szCs w:val="1"/>
                <w:color w:val="auto"/>
              </w:rPr>
            </w:pPr>
          </w:p>
        </w:tc>
      </w:tr>
      <w:tr>
        <w:trPr>
          <w:trHeight w:val="197"/>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Non-vested as of December 31, 2025</w:t>
            </w:r>
          </w:p>
        </w:tc>
        <w:tc>
          <w:tcPr>
            <w:tcW w:w="9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74,495</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December 31, 2025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5,420,691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3.94 years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122,494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5,346,196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3.94 years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recognized share-based payment expenses of RMB283,630, RMB298,650 and RMB302,334 in connection with the share options granted to key management and employees, respectively. The total fair value of share options vested during the years ended December 31, 2023, 2024 and 2025 was RMB283,039, RMB298,114 and RMB301,883, respectively.</w:t>
      </w:r>
    </w:p>
    <w:p>
      <w:pPr>
        <w:spacing w:after="0" w:line="180"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there was RMB304,593 and nil unrecognized compensation cost related to unvested share options granted to key management and employees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Non-vested shares</w:t>
      </w:r>
    </w:p>
    <w:p>
      <w:pPr>
        <w:spacing w:after="0" w:line="229" w:lineRule="exact"/>
        <w:rPr>
          <w:rFonts w:ascii="Times New Roman" w:cs="Times New Roman" w:eastAsia="Times New Roman" w:hAnsi="Times New Roman"/>
          <w:sz w:val="18"/>
          <w:szCs w:val="18"/>
          <w:b w:val="1"/>
          <w:bCs w:val="1"/>
          <w:color w:val="auto"/>
        </w:rPr>
      </w:pPr>
    </w:p>
    <w:p>
      <w:pPr>
        <w:ind w:left="66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2023, 2024 and 2025, a total of 2,894,700, 1,794,730, and 1,546,550 non-vested shares were granted to executive officers and employees under the 2014 Plan, respectively.</w:t>
      </w:r>
    </w:p>
    <w:p>
      <w:pPr>
        <w:spacing w:after="0" w:line="161" w:lineRule="exact"/>
        <w:rPr>
          <w:rFonts w:ascii="Times New Roman" w:cs="Times New Roman" w:eastAsia="Times New Roman" w:hAnsi="Times New Roman"/>
          <w:sz w:val="18"/>
          <w:szCs w:val="18"/>
          <w:b w:val="1"/>
          <w:bCs w:val="1"/>
          <w:color w:val="auto"/>
        </w:rPr>
      </w:pPr>
    </w:p>
    <w:p>
      <w:pPr>
        <w:ind w:left="6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Most of the non-vested shares granted have a vesting period of four years of employment services with the first one-fourth vesting on the first anniversary from grant date, and the remaining three fourth vesting on a monthly or quarterly or annually basis over a three-year period ending on the fourth anniversary of the grant date.</w:t>
      </w:r>
    </w:p>
    <w:p>
      <w:pPr>
        <w:spacing w:after="0" w:line="175" w:lineRule="exact"/>
        <w:rPr>
          <w:rFonts w:ascii="Times New Roman" w:cs="Times New Roman" w:eastAsia="Times New Roman" w:hAnsi="Times New Roman"/>
          <w:sz w:val="18"/>
          <w:szCs w:val="18"/>
          <w:b w:val="1"/>
          <w:bCs w:val="1"/>
          <w:color w:val="auto"/>
        </w:rPr>
      </w:pPr>
    </w:p>
    <w:p>
      <w:pPr>
        <w:ind w:left="6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non-vested shares are not transferable and may not be sold or pledged and the holder has no voting or dividend right on the non-vested shares. In the event a non-vested shareholder’s employment for the Group is terminated for any reason prior to the fourth anniversary of the grant date, the holder’s right to the non-vested shares will terminate effectively. The outstanding non-vested shares shall be forfeited and automatically transferred to and reacquired by the Group without any consideration.</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2024 and 2025, the non-vested shares movement was as follows:</w:t>
      </w:r>
    </w:p>
    <w:p>
      <w:pPr>
        <w:spacing w:after="0" w:line="23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 Non-vested shares</w:t>
      </w:r>
    </w:p>
    <w:tbl>
      <w:tblPr>
        <w:tblLayout w:type="fixed"/>
        <w:tblInd w:w="1000" w:type="dxa"/>
        <w:tblCellMar>
          <w:top w:w="0" w:type="dxa"/>
          <w:left w:w="0" w:type="dxa"/>
          <w:bottom w:w="0" w:type="dxa"/>
          <w:right w:w="0" w:type="dxa"/>
        </w:tblCellMar>
      </w:tblPr>
      <w:tr>
        <w:trPr>
          <w:trHeight w:val="161"/>
        </w:trPr>
        <w:tc>
          <w:tcPr>
            <w:tcW w:w="6680" w:type="dxa"/>
            <w:vAlign w:val="bottom"/>
            <w:tcBorders>
              <w:bottom w:val="single" w:sz="8" w:color="CCEEFF"/>
            </w:tcBorders>
          </w:tcPr>
          <w:p>
            <w:pPr>
              <w:ind w:left="656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3,723,979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1,546,550</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(1,541,405)</w:t>
            </w:r>
          </w:p>
        </w:tc>
      </w:tr>
      <w:tr>
        <w:trPr>
          <w:trHeight w:val="216"/>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(541,222)</w:t>
            </w:r>
          </w:p>
        </w:tc>
      </w:tr>
      <w:tr>
        <w:trPr>
          <w:trHeight w:val="210"/>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3,187,902</w:t>
            </w:r>
          </w:p>
        </w:tc>
      </w:tr>
      <w:tr>
        <w:trPr>
          <w:trHeight w:val="20"/>
        </w:trPr>
        <w:tc>
          <w:tcPr>
            <w:tcW w:w="6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Group recognized compensation expense over the four year service periods on a straight-line basis, and applied a forfeiture rate of nil for key management for years ended December 31, 2023, 2024 and 2025, while the forfeiture rate is 23%, 29% and 28% for employees for the years ended December 31, 2023, 2024 and 2025, respectively. The aggregate fair value of the restricted shares at grant dates was RMB1,549,568, RMB1,083,690 and RMB878,900 during the years ended December 31, 2023, 2024 and 2025, respectively. The fair value of non-vested shares is measured at the respective fair value of the Company’s ordinary shares on the grant dates.</w:t>
      </w:r>
    </w:p>
    <w:p>
      <w:pPr>
        <w:spacing w:after="0" w:line="187"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recognized share-based payment expenses of RMB784,981, RMB879,035 and RMB768,010 in connection with the non-vested shares granted to employees, respectively.</w:t>
      </w:r>
    </w:p>
    <w:p>
      <w:pPr>
        <w:spacing w:after="0" w:line="162"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As of December 31, 2024 and 2025, there was RMB1,541,967 and RMB1,431,304 unrecognized compensation cost related to non-vested shares which is expected to be recognized over a weighted average vesting period of 2.55 years and 2.43 years. The weighted average granted fair value per share of non-vested shares granted during the years ended December 31, 2023, 2024 and 2025 were US$76.49 (approximately RMB535.31), US$83.87 (approximately RMB603.82), and US$79.52 (approximately RMB568.30), respectively.</w:t>
      </w:r>
    </w:p>
    <w:p>
      <w:pPr>
        <w:spacing w:after="0" w:line="179" w:lineRule="exact"/>
        <w:rPr>
          <w:sz w:val="20"/>
          <w:szCs w:val="20"/>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awards relating to the Shan Shan Outlets</w:t>
      </w:r>
    </w:p>
    <w:p>
      <w:pPr>
        <w:spacing w:after="0" w:line="229" w:lineRule="exact"/>
        <w:rPr>
          <w:rFonts w:ascii="Times New Roman" w:cs="Times New Roman" w:eastAsia="Times New Roman" w:hAnsi="Times New Roman"/>
          <w:sz w:val="18"/>
          <w:szCs w:val="18"/>
          <w:b w:val="1"/>
          <w:bCs w:val="1"/>
          <w:color w:val="auto"/>
        </w:rPr>
      </w:pPr>
    </w:p>
    <w:p>
      <w:pPr>
        <w:ind w:left="6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2019, Shan Shan Outlets, a wholly-owned subsidiary of the Group, adopted a Stock Incentive Plan (“the Shan Shan Plan”), which provided up to 15% of the equity interest of the Shan Shan Outlets as share-based compensation to employees, external assigned employees and other eligible personal. The maximum contractual term of the Shan Shan Plan is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awards relating to the Shan Shan Outlets (Continued)</w:t>
      </w:r>
    </w:p>
    <w:p>
      <w:pPr>
        <w:spacing w:after="0" w:line="229" w:lineRule="exact"/>
        <w:rPr>
          <w:rFonts w:ascii="Times New Roman" w:cs="Times New Roman" w:eastAsia="Times New Roman" w:hAnsi="Times New Roman"/>
          <w:sz w:val="18"/>
          <w:szCs w:val="18"/>
          <w:b w:val="1"/>
          <w:bCs w:val="1"/>
          <w:color w:val="auto"/>
        </w:rPr>
      </w:pPr>
    </w:p>
    <w:p>
      <w:pPr>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2023, 0.8680% of the equity interest of Shan Shan Outlets were granted to key employees of Shan Shan. In January 2024, 1.3472% of the equity interest of Shan Shan Outlets were granted to key employees of Shan Shan. In January 2025, 2.0248% of the equity interest of Shan Shan Outlets were granted to key employees of Shan Shan.</w:t>
      </w:r>
    </w:p>
    <w:p>
      <w:pPr>
        <w:spacing w:after="0" w:line="175" w:lineRule="exact"/>
        <w:rPr>
          <w:rFonts w:ascii="Times New Roman" w:cs="Times New Roman" w:eastAsia="Times New Roman" w:hAnsi="Times New Roman"/>
          <w:sz w:val="18"/>
          <w:szCs w:val="18"/>
          <w:b w:val="1"/>
          <w:bCs w:val="1"/>
          <w:color w:val="auto"/>
        </w:rPr>
      </w:pPr>
    </w:p>
    <w:p>
      <w:pPr>
        <w:ind w:left="6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period is generally 1-4 years of employment services where 25% to 100% will be vested on the first anniversary from grant date with the remaining to be vested ratably over the remaining vesting period. For options granted in 2024, the vesting period is two years, after which 100% of the granted options will be fully vested.</w:t>
      </w:r>
    </w:p>
    <w:p>
      <w:pPr>
        <w:spacing w:after="0" w:line="175" w:lineRule="exact"/>
        <w:rPr>
          <w:rFonts w:ascii="Times New Roman" w:cs="Times New Roman" w:eastAsia="Times New Roman" w:hAnsi="Times New Roman"/>
          <w:sz w:val="18"/>
          <w:szCs w:val="18"/>
          <w:b w:val="1"/>
          <w:bCs w:val="1"/>
          <w:color w:val="auto"/>
        </w:rPr>
      </w:pPr>
    </w:p>
    <w:p>
      <w:pPr>
        <w:ind w:left="66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consideration will be transferred to the Group upon exercise, where the Group shall repurchase the shares at a price determined based on Shan Shan Outlet’s 3-year-audited-average net profit. The fair value of a liability-classified award will be re-measured to an updated fair value at each reporting period until the award is settled. The compensation cost is recognized over the requisite service period, which is usually the vesting period. For the years ended December 31, 2023, 2024 and 2025, the Group recognized share-based payment expenses of RMB441,195, RMB360,055 and RMB660,719 in connection with the share options granted, respectively. For the years ended December 31, 2023, 2024 and 2025, the Shan Shan Outlets repurchased RMB66,829, RMB100,922 and RMB293,383 in connection with the share options granted.</w:t>
      </w:r>
    </w:p>
    <w:p>
      <w:pPr>
        <w:spacing w:after="0" w:line="188" w:lineRule="exact"/>
        <w:rPr>
          <w:rFonts w:ascii="Times New Roman" w:cs="Times New Roman" w:eastAsia="Times New Roman" w:hAnsi="Times New Roman"/>
          <w:sz w:val="18"/>
          <w:szCs w:val="18"/>
          <w:b w:val="1"/>
          <w:bCs w:val="1"/>
          <w:color w:val="auto"/>
        </w:rPr>
      </w:pPr>
    </w:p>
    <w:p>
      <w:pPr>
        <w:jc w:val="both"/>
        <w:ind w:left="660" w:right="32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Group uses the Monte Carlo Simulation Mode (the “MC” model) to determine the estimated fair value for share- based compensation liability below with the assistance of an independent valuation firm as of December 31, 2023, 2024 and 2025.</w:t>
      </w:r>
    </w:p>
    <w:p>
      <w:pPr>
        <w:spacing w:after="0" w:line="13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assumptions used in determining the fair value of the share-based awards for the years ended December 31, 2023, 2024 and</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c>
          <w:tcPr>
            <w:tcW w:w="3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Borders>
              <w:top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2.17%~2.35 %</w:t>
            </w:r>
          </w:p>
        </w:tc>
        <w:tc>
          <w:tcPr>
            <w:tcW w:w="136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1.41%~1.47 %</w:t>
            </w: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1.36%~1.43 %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180" w:type="dxa"/>
            <w:vAlign w:val="bottom"/>
            <w:gridSpan w:val="11"/>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32.95%~38.74 % 23.17%~27.53 % 19.90%~42.18 %</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share-based awards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1,097,668</w:t>
            </w:r>
          </w:p>
        </w:tc>
        <w:tc>
          <w:tcPr>
            <w:tcW w:w="2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1,540,863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1,749,207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15684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w:t>
      </w:r>
    </w:p>
    <w:p>
      <w:pPr>
        <w:spacing w:after="0" w:line="225" w:lineRule="exact"/>
        <w:rPr>
          <w:rFonts w:ascii="Times New Roman" w:cs="Times New Roman" w:eastAsia="Times New Roman" w:hAnsi="Times New Roman"/>
          <w:sz w:val="18"/>
          <w:szCs w:val="18"/>
          <w:color w:val="auto"/>
        </w:rPr>
      </w:pPr>
    </w:p>
    <w:p>
      <w:pPr>
        <w:ind w:left="34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was estimated by the Group based on Shan Shan Outlet’s dividend policy over the expected life of the awards.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w:t>
      </w:r>
    </w:p>
    <w:p>
      <w:pPr>
        <w:spacing w:after="0" w:line="225" w:lineRule="exact"/>
        <w:rPr>
          <w:rFonts w:ascii="Times New Roman" w:cs="Times New Roman" w:eastAsia="Times New Roman" w:hAnsi="Times New Roman"/>
          <w:sz w:val="18"/>
          <w:szCs w:val="18"/>
          <w:color w:val="auto"/>
        </w:rPr>
      </w:pPr>
    </w:p>
    <w:p>
      <w:pPr>
        <w:ind w:left="340" w:righ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was estimated based on the China Government Bonds with a maturity life equal to the time period of the simulation as of the valuation date.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was estimated based on the 3-year average annualized volatility of comparable companies’ revenue.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hanging="332"/>
        <w:spacing w:after="0"/>
        <w:tabs>
          <w:tab w:leader="none" w:pos="3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 (Continued)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 expenses</w:t>
      </w:r>
    </w:p>
    <w:p>
      <w:pPr>
        <w:spacing w:after="0" w:line="229" w:lineRule="exact"/>
        <w:rPr>
          <w:rFonts w:ascii="Times New Roman" w:cs="Times New Roman" w:eastAsia="Times New Roman" w:hAnsi="Times New Roman"/>
          <w:sz w:val="18"/>
          <w:szCs w:val="18"/>
          <w:b w:val="1"/>
          <w:bCs w:val="1"/>
          <w:color w:val="auto"/>
        </w:rPr>
      </w:pPr>
    </w:p>
    <w:p>
      <w:pPr>
        <w:ind w:left="66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2023, 2024 and 2025, share based compensation expenses have been included in the following balances on the consolidated statements of income and comprehensive income:</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980" w:type="dxa"/>
            <w:vAlign w:val="bottom"/>
          </w:tcPr>
          <w:p>
            <w:pPr>
              <w:ind w:left="4860"/>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
        </w:trPr>
        <w:tc>
          <w:tcPr>
            <w:tcW w:w="49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142"/>
        </w:trPr>
        <w:tc>
          <w:tcPr>
            <w:tcW w:w="4980" w:type="dxa"/>
            <w:vAlign w:val="bottom"/>
          </w:tcPr>
          <w:p>
            <w:pPr>
              <w:ind w:left="48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
        </w:trPr>
        <w:tc>
          <w:tcPr>
            <w:tcW w:w="49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142"/>
        </w:trPr>
        <w:tc>
          <w:tcPr>
            <w:tcW w:w="4980" w:type="dxa"/>
            <w:vAlign w:val="bottom"/>
          </w:tcPr>
          <w:p>
            <w:pPr>
              <w:ind w:left="48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4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Fulfillment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(77,926)</w:t>
            </w: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(84,079)</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(68,092)</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(52,074)</w:t>
            </w:r>
          </w:p>
        </w:tc>
      </w:tr>
      <w:tr>
        <w:trPr>
          <w:trHeight w:val="216"/>
        </w:trPr>
        <w:tc>
          <w:tcPr>
            <w:tcW w:w="4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content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(330,197)</w:t>
            </w: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(382,308)</w:t>
            </w:r>
          </w:p>
        </w:tc>
        <w:tc>
          <w:tcPr>
            <w:tcW w:w="2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(309,364)</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(1,068,304)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(1,040,138)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(1,301,533)</w:t>
            </w:r>
          </w:p>
        </w:tc>
      </w:tr>
      <w:tr>
        <w:trPr>
          <w:trHeight w:val="209"/>
        </w:trPr>
        <w:tc>
          <w:tcPr>
            <w:tcW w:w="49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(1,509,806)</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(1,537,740)</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(1,731,063)</w:t>
            </w:r>
          </w:p>
        </w:tc>
      </w:tr>
      <w:tr>
        <w:trPr>
          <w:trHeight w:val="20"/>
        </w:trPr>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right="7480" w:hanging="332"/>
        <w:spacing w:after="0" w:line="532" w:lineRule="auto"/>
        <w:tabs>
          <w:tab w:leader="none" w:pos="34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Segment information </w:t>
      </w:r>
      <w:r>
        <w:rPr>
          <w:rFonts w:ascii="Times New Roman" w:cs="Times New Roman" w:eastAsia="Times New Roman" w:hAnsi="Times New Roman"/>
          <w:sz w:val="17"/>
          <w:szCs w:val="17"/>
          <w:i w:val="1"/>
          <w:iCs w:val="1"/>
          <w:color w:val="auto"/>
        </w:rPr>
        <w:t>Segment revenue and results</w:t>
      </w:r>
    </w:p>
    <w:p>
      <w:pPr>
        <w:spacing w:after="0" w:line="1" w:lineRule="exact"/>
        <w:rPr>
          <w:rFonts w:ascii="Times New Roman" w:cs="Times New Roman" w:eastAsia="Times New Roman" w:hAnsi="Times New Roman"/>
          <w:sz w:val="17"/>
          <w:szCs w:val="17"/>
          <w:b w:val="1"/>
          <w:bCs w:val="1"/>
          <w:color w:val="auto"/>
        </w:rPr>
      </w:pPr>
    </w:p>
    <w:p>
      <w:pPr>
        <w:ind w:left="340"/>
        <w:spacing w:after="0" w:line="28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the years ended December 31, 2023, 2024 and 2025, the Group has determined it has five operating segments, Vip.com, internet finance, Shan Shan Outlets, offline shops and City Outlets.Vip.com and Shan Shan Outlets have been identified as reportable segments while internet finance, offline shops and City Outlets operating segments were aggregated as others reportable segment.</w:t>
      </w:r>
    </w:p>
    <w:p>
      <w:pPr>
        <w:spacing w:after="0" w:line="157" w:lineRule="exact"/>
        <w:rPr>
          <w:rFonts w:ascii="Times New Roman" w:cs="Times New Roman" w:eastAsia="Times New Roman" w:hAnsi="Times New Roman"/>
          <w:sz w:val="17"/>
          <w:szCs w:val="17"/>
          <w:b w:val="1"/>
          <w:bCs w:val="1"/>
          <w:color w:val="auto"/>
        </w:rPr>
      </w:pPr>
    </w:p>
    <w:p>
      <w:pPr>
        <w:ind w:left="340" w:right="1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Group’s CODM assesses the segments’ performance by using each segments’ income from operations (which includes certain expense allocations directly attributable to each of the segments).</w:t>
      </w:r>
    </w:p>
    <w:p>
      <w:pPr>
        <w:spacing w:after="0" w:line="161" w:lineRule="exact"/>
        <w:rPr>
          <w:rFonts w:ascii="Times New Roman" w:cs="Times New Roman" w:eastAsia="Times New Roman" w:hAnsi="Times New Roman"/>
          <w:sz w:val="17"/>
          <w:szCs w:val="17"/>
          <w:b w:val="1"/>
          <w:bCs w:val="1"/>
          <w:color w:val="auto"/>
        </w:rPr>
      </w:pPr>
    </w:p>
    <w:p>
      <w:pPr>
        <w:ind w:left="340" w:right="1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CODM uses income from operations for each segment to measure the performance of each segment to monitor budget versus actual results and evaluate the performance, and to allocate resources to each of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right="6660" w:hanging="332"/>
        <w:spacing w:after="0" w:line="532" w:lineRule="auto"/>
        <w:tabs>
          <w:tab w:leader="none" w:pos="340"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Segment information (Continued) </w:t>
      </w:r>
      <w:r>
        <w:rPr>
          <w:rFonts w:ascii="Times New Roman" w:cs="Times New Roman" w:eastAsia="Times New Roman" w:hAnsi="Times New Roman"/>
          <w:sz w:val="17"/>
          <w:szCs w:val="17"/>
          <w:i w:val="1"/>
          <w:iCs w:val="1"/>
          <w:color w:val="auto"/>
        </w:rPr>
        <w:t>Segment revenue and results (Continued)</w:t>
      </w:r>
    </w:p>
    <w:p>
      <w:pPr>
        <w:spacing w:after="0" w:line="1" w:lineRule="exact"/>
        <w:rPr>
          <w:rFonts w:ascii="Times New Roman" w:cs="Times New Roman" w:eastAsia="Times New Roman" w:hAnsi="Times New Roman"/>
          <w:sz w:val="17"/>
          <w:szCs w:val="17"/>
          <w:b w:val="1"/>
          <w:bCs w:val="1"/>
          <w:color w:val="auto"/>
        </w:rPr>
      </w:pPr>
    </w:p>
    <w:p>
      <w:pPr>
        <w:ind w:left="340" w:right="3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tables below provide a summary of the Group’s operating segment results including the significant expense categories and amounts for each reportable segment that are regularly provided to the CODM for the years ended December 31, 2023, 2024 and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16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Vip.com</w:t>
            </w:r>
          </w:p>
        </w:tc>
        <w:tc>
          <w:tcPr>
            <w:tcW w:w="140" w:type="dxa"/>
            <w:vAlign w:val="bottom"/>
          </w:tcPr>
          <w:p>
            <w:pPr>
              <w:spacing w:after="0"/>
              <w:rPr>
                <w:sz w:val="13"/>
                <w:szCs w:val="1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Shan Shan</w:t>
            </w:r>
          </w:p>
        </w:tc>
        <w:tc>
          <w:tcPr>
            <w:tcW w:w="96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  Others</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8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4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   Outlets</w:t>
            </w:r>
          </w:p>
        </w:tc>
        <w:tc>
          <w:tcPr>
            <w:tcW w:w="96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0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82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109,177,540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2,771,018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907,462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112,856,020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18"/>
                <w:szCs w:val="18"/>
                <w:i w:val="1"/>
                <w:iCs w:val="1"/>
                <w:color w:val="auto"/>
              </w:rPr>
              <w:t>(Note 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378,941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24,959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326,591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109,556,481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2,795,977</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1,234,053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113,586,511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total net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112,856,020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(85,569,090)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(1,488,518)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(405,095)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Fulfillment expenses </w:t>
            </w:r>
            <w:r>
              <w:rPr>
                <w:rFonts w:ascii="Times New Roman" w:cs="Times New Roman" w:eastAsia="Times New Roman" w:hAnsi="Times New Roman"/>
                <w:sz w:val="18"/>
                <w:szCs w:val="18"/>
                <w:i w:val="1"/>
                <w:iCs w:val="1"/>
                <w:color w:val="auto"/>
              </w:rPr>
              <w:t>(Note b)</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(8,151,510)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Marketing expenses </w:t>
            </w:r>
            <w:r>
              <w:rPr>
                <w:rFonts w:ascii="Times New Roman" w:cs="Times New Roman" w:eastAsia="Times New Roman" w:hAnsi="Times New Roman"/>
                <w:sz w:val="18"/>
                <w:szCs w:val="18"/>
                <w:i w:val="1"/>
                <w:iCs w:val="1"/>
                <w:color w:val="auto"/>
              </w:rPr>
              <w:t>(Note b)</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(3,170,057)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(170,246)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Technology and content expenses </w:t>
            </w:r>
            <w:r>
              <w:rPr>
                <w:rFonts w:ascii="Times New Roman" w:cs="Times New Roman" w:eastAsia="Times New Roman" w:hAnsi="Times New Roman"/>
                <w:sz w:val="18"/>
                <w:szCs w:val="18"/>
                <w:i w:val="1"/>
                <w:iCs w:val="1"/>
                <w:color w:val="auto"/>
              </w:rPr>
              <w:t>(Note b)</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(1,350,414)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(Note b)</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(2,312,911)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(457,780)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(530,555)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Share-based compensation expenses </w:t>
            </w:r>
            <w:r>
              <w:rPr>
                <w:rFonts w:ascii="Times New Roman" w:cs="Times New Roman" w:eastAsia="Times New Roman" w:hAnsi="Times New Roman"/>
                <w:sz w:val="18"/>
                <w:szCs w:val="18"/>
                <w:i w:val="1"/>
                <w:iCs w:val="1"/>
                <w:color w:val="auto"/>
              </w:rPr>
              <w:t>(Note c)</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(1,023,215)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(441,195)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18"/>
                <w:szCs w:val="18"/>
                <w:i w:val="1"/>
                <w:iCs w:val="1"/>
                <w:color w:val="auto"/>
              </w:rPr>
              <w:t>(Note 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639,886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122,882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(174,558)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8,619,170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income and expenses </w:t>
            </w:r>
            <w:r>
              <w:rPr>
                <w:rFonts w:ascii="Times New Roman" w:cs="Times New Roman" w:eastAsia="Times New Roman" w:hAnsi="Times New Roman"/>
                <w:sz w:val="18"/>
                <w:szCs w:val="18"/>
                <w:i w:val="1"/>
                <w:iCs w:val="1"/>
                <w:color w:val="auto"/>
              </w:rPr>
              <w:t>(Note 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and share of income of equity method investees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Segment information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Segment revenue and results (Continued)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16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Vip.com</w:t>
            </w:r>
          </w:p>
        </w:tc>
        <w:tc>
          <w:tcPr>
            <w:tcW w:w="140" w:type="dxa"/>
            <w:vAlign w:val="bottom"/>
          </w:tcPr>
          <w:p>
            <w:pPr>
              <w:spacing w:after="0"/>
              <w:rPr>
                <w:sz w:val="13"/>
                <w:szCs w:val="1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Shan Shan</w:t>
            </w:r>
          </w:p>
        </w:tc>
        <w:tc>
          <w:tcPr>
            <w:tcW w:w="90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  Others</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6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4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   Outlets</w:t>
            </w:r>
          </w:p>
        </w:tc>
        <w:tc>
          <w:tcPr>
            <w:tcW w:w="90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90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104,379,002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3,284,968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108,420,832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18"/>
                <w:szCs w:val="18"/>
                <w:i w:val="1"/>
                <w:iCs w:val="1"/>
                <w:color w:val="auto"/>
              </w:rPr>
              <w:t>(Note 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352,166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25,761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205,325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104,731,168</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3,310,729</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962,187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109,004,084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total net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108,420,832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(81,251,073)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(1,626,883)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(344,551)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Fulfillment expenses </w:t>
            </w:r>
            <w:r>
              <w:rPr>
                <w:rFonts w:ascii="Times New Roman" w:cs="Times New Roman" w:eastAsia="Times New Roman" w:hAnsi="Times New Roman"/>
                <w:sz w:val="18"/>
                <w:szCs w:val="18"/>
                <w:i w:val="1"/>
                <w:iCs w:val="1"/>
                <w:color w:val="auto"/>
              </w:rPr>
              <w:t>(Note b)</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(8,241,185)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Marketing expenses </w:t>
            </w:r>
            <w:r>
              <w:rPr>
                <w:rFonts w:ascii="Times New Roman" w:cs="Times New Roman" w:eastAsia="Times New Roman" w:hAnsi="Times New Roman"/>
                <w:sz w:val="18"/>
                <w:szCs w:val="18"/>
                <w:i w:val="1"/>
                <w:iCs w:val="1"/>
                <w:color w:val="auto"/>
              </w:rPr>
              <w:t>(Note b)</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(2,766,702)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(200,850)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Technology and content expenses </w:t>
            </w:r>
            <w:r>
              <w:rPr>
                <w:rFonts w:ascii="Times New Roman" w:cs="Times New Roman" w:eastAsia="Times New Roman" w:hAnsi="Times New Roman"/>
                <w:sz w:val="18"/>
                <w:szCs w:val="18"/>
                <w:i w:val="1"/>
                <w:iCs w:val="1"/>
                <w:color w:val="auto"/>
              </w:rPr>
              <w:t>(Note b)</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(1,424,414)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(Note b)</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(2,290,281)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(558,476)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(333,414)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Share-based compensation expenses </w:t>
            </w:r>
            <w:r>
              <w:rPr>
                <w:rFonts w:ascii="Times New Roman" w:cs="Times New Roman" w:eastAsia="Times New Roman" w:hAnsi="Times New Roman"/>
                <w:sz w:val="18"/>
                <w:szCs w:val="18"/>
                <w:i w:val="1"/>
                <w:iCs w:val="1"/>
                <w:color w:val="auto"/>
              </w:rPr>
              <w:t>(Note c)</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(1,137,590)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(360,055)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18"/>
                <w:szCs w:val="18"/>
                <w:i w:val="1"/>
                <w:iCs w:val="1"/>
                <w:color w:val="auto"/>
              </w:rPr>
              <w:t>(Note 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731,609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160,771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(187,737)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8,351,532</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725,236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9,173,253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income and expenses </w:t>
            </w:r>
            <w:r>
              <w:rPr>
                <w:rFonts w:ascii="Times New Roman" w:cs="Times New Roman" w:eastAsia="Times New Roman" w:hAnsi="Times New Roman"/>
                <w:sz w:val="18"/>
                <w:szCs w:val="18"/>
                <w:i w:val="1"/>
                <w:iCs w:val="1"/>
                <w:color w:val="auto"/>
              </w:rPr>
              <w:t>(Note 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and share of income of equity method investees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Segment information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Segment revenue and results (Continued)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Shan Shan</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60" w:type="dxa"/>
            <w:vAlign w:val="bottom"/>
            <w:gridSpan w:val="2"/>
            <w:vMerge w:val="continue"/>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Vip.com</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Outlets</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Others   ​​​</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101,136,509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4,058,022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725,015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105,919,546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18"/>
                <w:szCs w:val="18"/>
                <w:i w:val="1"/>
                <w:iCs w:val="1"/>
                <w:color w:val="auto"/>
              </w:rPr>
              <w:t>(Note 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384,346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101,520,855</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4,081,538</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914,187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106,516,580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of total net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105,919,546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(79,555,236)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(1,859,631)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99"/>
              </w:rPr>
              <w:t>(350,505)</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Fulfillment expenses </w:t>
            </w:r>
            <w:r>
              <w:rPr>
                <w:rFonts w:ascii="Times New Roman" w:cs="Times New Roman" w:eastAsia="Times New Roman" w:hAnsi="Times New Roman"/>
                <w:sz w:val="18"/>
                <w:szCs w:val="18"/>
                <w:i w:val="1"/>
                <w:iCs w:val="1"/>
                <w:color w:val="auto"/>
              </w:rPr>
              <w:t>(Note b)</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(8,200,923)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Marketing expenses </w:t>
            </w:r>
            <w:r>
              <w:rPr>
                <w:rFonts w:ascii="Times New Roman" w:cs="Times New Roman" w:eastAsia="Times New Roman" w:hAnsi="Times New Roman"/>
                <w:sz w:val="18"/>
                <w:szCs w:val="18"/>
                <w:i w:val="1"/>
                <w:iCs w:val="1"/>
                <w:color w:val="auto"/>
              </w:rPr>
              <w:t>(Note b)</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(2,719,647)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(234,942)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Technology and content expenses </w:t>
            </w:r>
            <w:r>
              <w:rPr>
                <w:rFonts w:ascii="Times New Roman" w:cs="Times New Roman" w:eastAsia="Times New Roman" w:hAnsi="Times New Roman"/>
                <w:sz w:val="18"/>
                <w:szCs w:val="18"/>
                <w:i w:val="1"/>
                <w:iCs w:val="1"/>
                <w:color w:val="auto"/>
              </w:rPr>
              <w:t>(Note b)</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(1,355,745)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(Note b)</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(2,323,903)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(644,851)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99"/>
              </w:rPr>
              <w:t>(263,248)</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Share-based compensation expenses </w:t>
            </w:r>
            <w:r>
              <w:rPr>
                <w:rFonts w:ascii="Times New Roman" w:cs="Times New Roman" w:eastAsia="Times New Roman" w:hAnsi="Times New Roman"/>
                <w:sz w:val="18"/>
                <w:szCs w:val="18"/>
                <w:i w:val="1"/>
                <w:iCs w:val="1"/>
                <w:color w:val="auto"/>
              </w:rPr>
              <w:t>(Note c)</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(1,039,023)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(660,719)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18"/>
                <w:szCs w:val="18"/>
                <w:i w:val="1"/>
                <w:iCs w:val="1"/>
                <w:color w:val="auto"/>
              </w:rPr>
              <w:t>(Note 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856,160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99"/>
              </w:rPr>
              <w:t>(204,239)</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7,182,538</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857,213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8,135,946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income and expenses </w:t>
            </w:r>
            <w:r>
              <w:rPr>
                <w:rFonts w:ascii="Times New Roman" w:cs="Times New Roman" w:eastAsia="Times New Roman" w:hAnsi="Times New Roman"/>
                <w:sz w:val="18"/>
                <w:szCs w:val="18"/>
                <w:i w:val="1"/>
                <w:iCs w:val="1"/>
                <w:color w:val="auto"/>
              </w:rPr>
              <w:t>(Note 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 and share of income of equity method investees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80" w:type="dxa"/>
            <w:vAlign w:val="bottom"/>
            <w:tcBorders>
              <w:bottom w:val="single" w:sz="8" w:color="auto"/>
            </w:tcBorders>
          </w:tcPr>
          <w:p>
            <w:pPr>
              <w:spacing w:after="0"/>
              <w:rPr>
                <w:sz w:val="6"/>
                <w:szCs w:val="6"/>
                <w:color w:val="auto"/>
              </w:rPr>
            </w:pPr>
          </w:p>
        </w:tc>
        <w:tc>
          <w:tcPr>
            <w:tcW w:w="3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right="380" w:hanging="332"/>
        <w:spacing w:after="0" w:line="266" w:lineRule="auto"/>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revenues mainly consist of payment processing, inter platform technical services, warehousing rental services and supply chain management services, promotion services provided by Vip.com to internet finance business and by offline shops to Vip.com, and internal procurement between offline shops, Shan Shan Outlets and Vip.com.</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expenses exclude share-based compensation expenses.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 information was disclosed in Note 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segment, the other segment items category includes: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Vip.com — other operating income which consists of government grants, claims income and other miscellaneous income.</w:t>
      </w:r>
    </w:p>
    <w:p>
      <w:pPr>
        <w:spacing w:after="0" w:line="225" w:lineRule="exact"/>
        <w:rPr>
          <w:rFonts w:ascii="Times New Roman" w:cs="Times New Roman" w:eastAsia="Times New Roman" w:hAnsi="Times New Roman"/>
          <w:sz w:val="18"/>
          <w:szCs w:val="18"/>
          <w:color w:val="auto"/>
        </w:rPr>
      </w:pPr>
    </w:p>
    <w:p>
      <w:pPr>
        <w:ind w:left="340"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Shanshan — technology and content expenses, other operating income which consists of government grants, claims income and other miscellaneous income.</w:t>
      </w:r>
    </w:p>
    <w:p>
      <w:pPr>
        <w:spacing w:after="0" w:line="161" w:lineRule="exact"/>
        <w:rPr>
          <w:rFonts w:ascii="Times New Roman" w:cs="Times New Roman" w:eastAsia="Times New Roman" w:hAnsi="Times New Roman"/>
          <w:sz w:val="18"/>
          <w:szCs w:val="18"/>
          <w:color w:val="auto"/>
        </w:rPr>
      </w:pPr>
    </w:p>
    <w:p>
      <w:pPr>
        <w:ind w:left="34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 fulfillment expenses, marketing expenses, technology and content expenses, share-based compensation expenses, other operating income which consists of government grants, claims income and other miscellaneous income.</w:t>
      </w:r>
    </w:p>
    <w:p>
      <w:pPr>
        <w:spacing w:after="0" w:line="161"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and expenses include interest income, exchange gain/(loss), investment gain/(loss) and revaluation of investments, interest expenses and impairment loss of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ind w:left="340" w:right="6179" w:hanging="332"/>
        <w:spacing w:after="0" w:line="532" w:lineRule="auto"/>
        <w:tabs>
          <w:tab w:leader="none" w:pos="34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Segment information (Continued) </w:t>
      </w:r>
      <w:r>
        <w:rPr>
          <w:rFonts w:ascii="Times New Roman" w:cs="Times New Roman" w:eastAsia="Times New Roman" w:hAnsi="Times New Roman"/>
          <w:sz w:val="17"/>
          <w:szCs w:val="17"/>
          <w:i w:val="1"/>
          <w:iCs w:val="1"/>
          <w:color w:val="auto"/>
        </w:rPr>
        <w:t>Segment revenue and results (Continued)</w:t>
      </w:r>
    </w:p>
    <w:p>
      <w:pPr>
        <w:spacing w:after="0" w:line="1"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Depreciation of property and equipment, net (included in the measurement of segment profit or loss):</w:t>
      </w:r>
    </w:p>
    <w:p>
      <w:pPr>
        <w:spacing w:after="0" w:line="2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660" w:type="dxa"/>
            <w:vAlign w:val="bottom"/>
          </w:tcPr>
          <w:p>
            <w:pPr>
              <w:spacing w:after="0"/>
              <w:rPr>
                <w:sz w:val="12"/>
                <w:szCs w:val="12"/>
                <w:color w:val="auto"/>
              </w:rPr>
            </w:pPr>
          </w:p>
        </w:tc>
        <w:tc>
          <w:tcPr>
            <w:tcW w:w="5140" w:type="dxa"/>
            <w:vAlign w:val="bottom"/>
            <w:gridSpan w:val="2"/>
          </w:tcPr>
          <w:p>
            <w:pPr>
              <w:ind w:left="50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depreciation of property and equipment, net</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Vip.com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924,097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928,680</w:t>
            </w:r>
          </w:p>
        </w:tc>
      </w:tr>
      <w:tr>
        <w:trPr>
          <w:trHeight w:val="216"/>
        </w:trPr>
        <w:tc>
          <w:tcPr>
            <w:tcW w:w="66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Shan Shan Outlets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476,943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585,577</w:t>
            </w:r>
          </w:p>
        </w:tc>
      </w:tr>
      <w:tr>
        <w:trPr>
          <w:trHeight w:val="216"/>
        </w:trPr>
        <w:tc>
          <w:tcPr>
            <w:tcW w:w="660" w:type="dxa"/>
            <w:vAlign w:val="bottom"/>
          </w:tcPr>
          <w:p>
            <w:pPr>
              <w:spacing w:after="0"/>
              <w:rPr>
                <w:sz w:val="18"/>
                <w:szCs w:val="18"/>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17,452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w:t>
            </w:r>
          </w:p>
        </w:tc>
      </w:tr>
      <w:tr>
        <w:trPr>
          <w:trHeight w:val="209"/>
        </w:trPr>
        <w:tc>
          <w:tcPr>
            <w:tcW w:w="66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1,299,384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1,418,492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1,526,471</w:t>
            </w:r>
          </w:p>
        </w:tc>
      </w:tr>
      <w:tr>
        <w:trPr>
          <w:trHeight w:val="20"/>
        </w:trPr>
        <w:tc>
          <w:tcPr>
            <w:tcW w:w="57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13"/>
        </w:trPr>
        <w:tc>
          <w:tcPr>
            <w:tcW w:w="664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color w:val="auto"/>
                <w:w w:val="99"/>
              </w:rPr>
              <w:t>Interest income and expenses (included in the measurement of segment profit or loss):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6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60" w:type="dxa"/>
            <w:vAlign w:val="bottom"/>
          </w:tcPr>
          <w:p>
            <w:pPr>
              <w:spacing w:after="0"/>
              <w:rPr>
                <w:sz w:val="12"/>
                <w:szCs w:val="12"/>
                <w:color w:val="auto"/>
              </w:rPr>
            </w:pPr>
          </w:p>
        </w:tc>
        <w:tc>
          <w:tcPr>
            <w:tcW w:w="5140" w:type="dxa"/>
            <w:vAlign w:val="bottom"/>
            <w:gridSpan w:val="2"/>
          </w:tcPr>
          <w:p>
            <w:pPr>
              <w:ind w:left="50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2"/>
                <w:szCs w:val="12"/>
                <w:color w:val="auto"/>
              </w:rPr>
            </w:pPr>
          </w:p>
        </w:tc>
        <w:tc>
          <w:tcPr>
            <w:tcW w:w="2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6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Vip.com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610,161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643,679</w:t>
            </w:r>
          </w:p>
        </w:tc>
      </w:tr>
      <w:tr>
        <w:trPr>
          <w:trHeight w:val="216"/>
        </w:trPr>
        <w:tc>
          <w:tcPr>
            <w:tcW w:w="66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Shan Shan Outlets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41,932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53,646</w:t>
            </w:r>
          </w:p>
        </w:tc>
      </w:tr>
      <w:tr>
        <w:trPr>
          <w:trHeight w:val="216"/>
        </w:trPr>
        <w:tc>
          <w:tcPr>
            <w:tcW w:w="660" w:type="dxa"/>
            <w:vAlign w:val="bottom"/>
          </w:tcPr>
          <w:p>
            <w:pPr>
              <w:spacing w:after="0"/>
              <w:rPr>
                <w:sz w:val="18"/>
                <w:szCs w:val="18"/>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158,734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105,697</w:t>
            </w:r>
          </w:p>
        </w:tc>
      </w:tr>
      <w:tr>
        <w:trPr>
          <w:trHeight w:val="216"/>
        </w:trPr>
        <w:tc>
          <w:tcPr>
            <w:tcW w:w="66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Inter-segment interest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50"/>
        </w:trPr>
        <w:tc>
          <w:tcPr>
            <w:tcW w:w="660" w:type="dxa"/>
            <w:vAlign w:val="bottom"/>
          </w:tcPr>
          <w:p>
            <w:pPr>
              <w:spacing w:after="0"/>
              <w:rPr>
                <w:sz w:val="21"/>
                <w:szCs w:val="21"/>
                <w:color w:val="auto"/>
              </w:rPr>
            </w:pPr>
          </w:p>
        </w:tc>
        <w:tc>
          <w:tcPr>
            <w:tcW w:w="510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780,292</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809,792</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801,587</w:t>
            </w:r>
          </w:p>
        </w:tc>
      </w:tr>
      <w:tr>
        <w:trPr>
          <w:trHeight w:val="197"/>
        </w:trPr>
        <w:tc>
          <w:tcPr>
            <w:tcW w:w="66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Interest expenses</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Vip.com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(86,718)</w:t>
            </w:r>
          </w:p>
        </w:tc>
      </w:tr>
      <w:tr>
        <w:trPr>
          <w:trHeight w:val="216"/>
        </w:trPr>
        <w:tc>
          <w:tcPr>
            <w:tcW w:w="66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Shan Shan Outlets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16"/>
        </w:trPr>
        <w:tc>
          <w:tcPr>
            <w:tcW w:w="660" w:type="dxa"/>
            <w:vAlign w:val="bottom"/>
          </w:tcPr>
          <w:p>
            <w:pPr>
              <w:spacing w:after="0"/>
              <w:rPr>
                <w:sz w:val="18"/>
                <w:szCs w:val="18"/>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16"/>
        </w:trPr>
        <w:tc>
          <w:tcPr>
            <w:tcW w:w="66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Inter-segment interest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10"/>
        </w:trPr>
        <w:tc>
          <w:tcPr>
            <w:tcW w:w="6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(57,676)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(90,037)</w:t>
            </w:r>
          </w:p>
        </w:tc>
      </w:tr>
      <w:tr>
        <w:trPr>
          <w:trHeight w:val="20"/>
        </w:trPr>
        <w:tc>
          <w:tcPr>
            <w:tcW w:w="6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42"/>
        </w:trPr>
        <w:tc>
          <w:tcPr>
            <w:tcW w:w="660" w:type="dxa"/>
            <w:vAlign w:val="bottom"/>
          </w:tcPr>
          <w:p>
            <w:pPr>
              <w:spacing w:after="0"/>
              <w:rPr>
                <w:sz w:val="12"/>
                <w:szCs w:val="12"/>
                <w:color w:val="auto"/>
              </w:rPr>
            </w:pPr>
          </w:p>
        </w:tc>
        <w:tc>
          <w:tcPr>
            <w:tcW w:w="5140" w:type="dxa"/>
            <w:vAlign w:val="bottom"/>
            <w:gridSpan w:val="2"/>
          </w:tcPr>
          <w:p>
            <w:pPr>
              <w:ind w:left="50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94"/>
        </w:trPr>
        <w:tc>
          <w:tcPr>
            <w:tcW w:w="660" w:type="dxa"/>
            <w:vAlign w:val="bottom"/>
          </w:tcPr>
          <w:p>
            <w:pPr>
              <w:spacing w:after="0"/>
              <w:rPr>
                <w:sz w:val="16"/>
                <w:szCs w:val="16"/>
                <w:color w:val="auto"/>
              </w:rPr>
            </w:pPr>
          </w:p>
        </w:tc>
        <w:tc>
          <w:tcPr>
            <w:tcW w:w="51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 of income (loss) of investments accounted under the</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8"/>
        </w:trPr>
        <w:tc>
          <w:tcPr>
            <w:tcW w:w="660" w:type="dxa"/>
            <w:vAlign w:val="bottom"/>
          </w:tcPr>
          <w:p>
            <w:pPr>
              <w:spacing w:after="0"/>
              <w:rPr>
                <w:sz w:val="20"/>
                <w:szCs w:val="20"/>
                <w:color w:val="auto"/>
              </w:rPr>
            </w:pPr>
          </w:p>
        </w:tc>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equity method</w:t>
            </w: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Vip.com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16"/>
        </w:trPr>
        <w:tc>
          <w:tcPr>
            <w:tcW w:w="66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Shan Shan Outlets.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121,071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141,924</w:t>
            </w:r>
          </w:p>
        </w:tc>
      </w:tr>
      <w:tr>
        <w:trPr>
          <w:trHeight w:val="216"/>
        </w:trPr>
        <w:tc>
          <w:tcPr>
            <w:tcW w:w="660" w:type="dxa"/>
            <w:vAlign w:val="bottom"/>
          </w:tcPr>
          <w:p>
            <w:pPr>
              <w:spacing w:after="0"/>
              <w:rPr>
                <w:sz w:val="18"/>
                <w:szCs w:val="18"/>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153,928</w:t>
            </w:r>
          </w:p>
        </w:tc>
      </w:tr>
      <w:tr>
        <w:trPr>
          <w:trHeight w:val="209"/>
        </w:trPr>
        <w:tc>
          <w:tcPr>
            <w:tcW w:w="66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166,980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293,919</w:t>
            </w:r>
          </w:p>
        </w:tc>
      </w:tr>
      <w:tr>
        <w:trPr>
          <w:trHeight w:val="20"/>
        </w:trPr>
        <w:tc>
          <w:tcPr>
            <w:tcW w:w="6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r>
      <w:tr>
        <w:trPr>
          <w:trHeight w:val="359"/>
        </w:trPr>
        <w:tc>
          <w:tcPr>
            <w:tcW w:w="6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2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Vip.com</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51,103,217</w:t>
            </w:r>
          </w:p>
        </w:tc>
        <w:tc>
          <w:tcPr>
            <w:tcW w:w="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53,572,887</w:t>
            </w:r>
          </w:p>
        </w:tc>
      </w:tr>
      <w:tr>
        <w:trPr>
          <w:trHeight w:val="216"/>
        </w:trPr>
        <w:tc>
          <w:tcPr>
            <w:tcW w:w="660" w:type="dxa"/>
            <w:vAlign w:val="bottom"/>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Shan Shan Outlets.</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19,971,408</w:t>
            </w:r>
          </w:p>
        </w:tc>
        <w:tc>
          <w:tcPr>
            <w:tcW w:w="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21,650,040</w:t>
            </w:r>
          </w:p>
        </w:tc>
      </w:tr>
      <w:tr>
        <w:trPr>
          <w:trHeight w:val="216"/>
        </w:trPr>
        <w:tc>
          <w:tcPr>
            <w:tcW w:w="660" w:type="dxa"/>
            <w:vAlign w:val="bottom"/>
          </w:tcPr>
          <w:p>
            <w:pPr>
              <w:spacing w:after="0"/>
              <w:rPr>
                <w:sz w:val="18"/>
                <w:szCs w:val="18"/>
                <w:color w:val="auto"/>
              </w:rPr>
            </w:pPr>
          </w:p>
        </w:tc>
        <w:tc>
          <w:tcPr>
            <w:tcW w:w="51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3,861,501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3,620,391</w:t>
            </w:r>
          </w:p>
        </w:tc>
      </w:tr>
      <w:tr>
        <w:trPr>
          <w:trHeight w:val="210"/>
        </w:trPr>
        <w:tc>
          <w:tcPr>
            <w:tcW w:w="66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74,936,126</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78,843,318</w:t>
            </w:r>
          </w:p>
        </w:tc>
      </w:tr>
      <w:tr>
        <w:trPr>
          <w:trHeight w:val="20"/>
        </w:trPr>
        <w:tc>
          <w:tcPr>
            <w:tcW w:w="6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HISTORICAL FINANCIAL INFORMATION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Segment information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Segment revenue and results (Continued)</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7"/>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in equity method investees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Vip.com</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1,106,779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2,174,846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Shan Shan Outlets.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134,668</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2,002,043</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3,136,784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80" w:type="dxa"/>
            <w:vAlign w:val="bottom"/>
            <w:gridSpan w:val="2"/>
          </w:tcPr>
          <w:p>
            <w:pPr>
              <w:ind w:left="5060"/>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gridSpan w:val="1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gridSpan w:val="2"/>
          </w:tcPr>
          <w:p>
            <w:pPr>
              <w:spacing w:after="0"/>
              <w:rPr>
                <w:sz w:val="12"/>
                <w:szCs w:val="12"/>
                <w:color w:val="auto"/>
              </w:rPr>
            </w:pPr>
          </w:p>
        </w:tc>
        <w:tc>
          <w:tcPr>
            <w:tcW w:w="1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expenditure for additions of long-lived assets</w:t>
            </w:r>
          </w:p>
        </w:tc>
        <w:tc>
          <w:tcPr>
            <w:tcW w:w="7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Vip.com</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2,330,278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Shan Shan Outlets.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2,895,954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2,687,663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1,469,068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5,230,737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3,562,586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2,066,538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Substantially all revenues and long-lived assets of Group are derived from and located in the PRC.</w:t>
      </w:r>
    </w:p>
    <w:p>
      <w:pPr>
        <w:spacing w:after="0" w:line="221" w:lineRule="exact"/>
        <w:rPr>
          <w:sz w:val="20"/>
          <w:szCs w:val="20"/>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rFonts w:ascii="Times New Roman" w:cs="Times New Roman" w:eastAsia="Times New Roman" w:hAnsi="Times New Roman"/>
          <w:sz w:val="18"/>
          <w:szCs w:val="18"/>
          <w:b w:val="1"/>
          <w:bCs w:val="1"/>
          <w:color w:val="auto"/>
        </w:rPr>
      </w:pPr>
    </w:p>
    <w:p>
      <w:pPr>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26, 2026, the board of directors of the Company declared a dividend of US$3.10 per ordinary share, or US$0.62 per ADS, to holders of ordinary shares and holders of ADSs of record as of the close of business on April 10, 2026. The cash dividends are expected to be paid in April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I—Condensed Financial Information of the Parent Company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Income and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21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119"/>
        </w:trPr>
        <w:tc>
          <w:tcPr>
            <w:tcW w:w="6160" w:type="dxa"/>
            <w:vAlign w:val="bottom"/>
            <w:gridSpan w:val="2"/>
          </w:tcPr>
          <w:p>
            <w:pPr>
              <w:ind w:left="6060"/>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53"/>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820" w:type="dxa"/>
            <w:vAlign w:val="bottom"/>
          </w:tcPr>
          <w:p>
            <w:pPr>
              <w:jc w:val="right"/>
              <w:ind w:right="154"/>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53"/>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940" w:type="dxa"/>
            <w:vAlign w:val="bottom"/>
            <w:gridSpan w:val="2"/>
          </w:tcPr>
          <w:p>
            <w:pPr>
              <w:jc w:val="right"/>
              <w:ind w:right="216"/>
              <w:spacing w:after="0" w:line="119"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Note 2(z)</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40" w:type="dxa"/>
            <w:vAlign w:val="bottom"/>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119,970</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40" w:type="dxa"/>
            <w:vAlign w:val="bottom"/>
          </w:tcPr>
          <w:p>
            <w:pPr>
              <w:spacing w:after="0"/>
              <w:rPr>
                <w:sz w:val="18"/>
                <w:szCs w:val="18"/>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40" w:type="dxa"/>
            <w:vAlign w:val="bottom"/>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gain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Pr>
          <w:p>
            <w:pPr>
              <w:spacing w:after="0"/>
              <w:rPr>
                <w:sz w:val="18"/>
                <w:szCs w:val="18"/>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 and equity income of subsidiaries and VIEs</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40" w:type="dxa"/>
            <w:vAlign w:val="bottom"/>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income of subsidiaries and VIEs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8,090,266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7,757,671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7,204,058</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1,030,169</w:t>
            </w:r>
          </w:p>
        </w:tc>
        <w:tc>
          <w:tcPr>
            <w:tcW w:w="4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40" w:type="dxa"/>
            <w:vAlign w:val="bottom"/>
          </w:tcPr>
          <w:p>
            <w:pPr>
              <w:spacing w:after="0"/>
              <w:rPr>
                <w:sz w:val="18"/>
                <w:szCs w:val="18"/>
                <w:color w:val="auto"/>
              </w:rPr>
            </w:pPr>
          </w:p>
        </w:tc>
      </w:tr>
      <w:tr>
        <w:trPr>
          <w:trHeight w:val="250"/>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Vipshop Holdings Limited’s shareholders</w:t>
            </w:r>
          </w:p>
        </w:tc>
        <w:tc>
          <w:tcPr>
            <w:tcW w:w="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8,116,624</w:t>
            </w:r>
          </w:p>
        </w:tc>
        <w:tc>
          <w:tcPr>
            <w:tcW w:w="1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7,739,935</w:t>
            </w:r>
          </w:p>
        </w:tc>
        <w:tc>
          <w:tcPr>
            <w:tcW w:w="16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7,242,490</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1,035,664</w:t>
            </w:r>
          </w:p>
        </w:tc>
        <w:tc>
          <w:tcPr>
            <w:tcW w:w="40" w:type="dxa"/>
            <w:vAlign w:val="bottom"/>
          </w:tcPr>
          <w:p>
            <w:pPr>
              <w:spacing w:after="0"/>
              <w:rPr>
                <w:sz w:val="21"/>
                <w:szCs w:val="21"/>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net of tax of nil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35,578</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40" w:type="dxa"/>
            <w:vAlign w:val="bottom"/>
          </w:tcPr>
          <w:p>
            <w:pPr>
              <w:spacing w:after="0"/>
              <w:rPr>
                <w:sz w:val="18"/>
                <w:szCs w:val="18"/>
                <w:color w:val="auto"/>
              </w:rPr>
            </w:pPr>
          </w:p>
        </w:tc>
      </w:tr>
      <w:tr>
        <w:trPr>
          <w:trHeight w:val="198"/>
        </w:trPr>
        <w:tc>
          <w:tcPr>
            <w:tcW w:w="61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 of equity adjustments for other comprehensive income (loss) of an equity</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method investee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(148,886)</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40" w:type="dxa"/>
            <w:vAlign w:val="bottom"/>
          </w:tcPr>
          <w:p>
            <w:pPr>
              <w:spacing w:after="0"/>
              <w:rPr>
                <w:sz w:val="20"/>
                <w:szCs w:val="20"/>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Vipshop Holdings Limited’s shareholders</w:t>
            </w: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8,128,663</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7,628,130</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7,225,558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1,033,243</w:t>
            </w:r>
          </w:p>
        </w:tc>
        <w:tc>
          <w:tcPr>
            <w:tcW w:w="4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I—Condensed Financial Information of the Parent Company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22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vMerge w:val="restart"/>
          </w:tcPr>
          <w:p>
            <w:pPr>
              <w:ind w:left="66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860" w:type="dxa"/>
            <w:vAlign w:val="bottom"/>
            <w:vMerge w:val="continue"/>
          </w:tcPr>
          <w:p>
            <w:pPr>
              <w:spacing w:after="0"/>
              <w:rPr>
                <w:sz w:val="10"/>
                <w:szCs w:val="10"/>
                <w:color w:val="auto"/>
              </w:rPr>
            </w:pPr>
          </w:p>
        </w:tc>
        <w:tc>
          <w:tcPr>
            <w:tcW w:w="920" w:type="dxa"/>
            <w:vAlign w:val="bottom"/>
          </w:tcPr>
          <w:p>
            <w:pPr>
              <w:jc w:val="right"/>
              <w:ind w:right="193"/>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212"/>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color w:val="auto"/>
              </w:rPr>
              <w:t>Note 2(z)</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and prepayments,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 and VIEs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52,490,094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58,995,811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subsidiaries and VIEs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908,747</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874,822</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53,402,675</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59,875,861</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8,562,134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13,433,091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17,402,764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1,398,620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13,433,862</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18,871,112</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(US$0.0001 par value, 483,489,642 shares authorized, and</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100,640,510 and 94,482,014 shares issued, of which 86,982,144 and 80,208,937 shares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were outstanding as of December 31, 2024 and 2025, respectively)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(US$0.0001 par value, 16,510,358 shares authorized, and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15,560,358 shares issued and outstanding as of December 31, 2024 and 2025,</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shares, at cost (13,028,013 and 14,273,077 Class A shares as of December 31,</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and 2025, respectively)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(7,042,759)</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(7,876,965)</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(1,126,391)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4,912,703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42,906,188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48,591,829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(807,394)</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(1,206,039)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39,968,813</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41,004,749</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53,402,675</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59,875,861</w:t>
            </w: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I—Condensed Financial Information of the Parent Company</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(All amounts in thousands)</w:t>
      </w:r>
    </w:p>
    <w:p>
      <w:pPr>
        <w:spacing w:after="0" w:line="21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940" w:type="dxa"/>
            <w:vAlign w:val="bottom"/>
            <w:gridSpan w:val="2"/>
          </w:tcPr>
          <w:p>
            <w:pPr>
              <w:ind w:left="58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192"/>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1040" w:type="dxa"/>
            <w:vAlign w:val="bottom"/>
            <w:gridSpan w:val="2"/>
          </w:tcPr>
          <w:p>
            <w:pPr>
              <w:jc w:val="right"/>
              <w:ind w:right="192"/>
              <w:spacing w:after="0" w:line="119"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RMB</w:t>
            </w:r>
          </w:p>
        </w:tc>
        <w:tc>
          <w:tcPr>
            <w:tcW w:w="200" w:type="dxa"/>
            <w:vAlign w:val="bottom"/>
            <w:gridSpan w:val="2"/>
          </w:tcPr>
          <w:p>
            <w:pPr>
              <w:ind w:left="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192"/>
              <w:spacing w:after="0" w:line="119"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Note 2(z)</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8,116,624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7,739,935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7,242,490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by operating activities:</w:t>
            </w:r>
          </w:p>
        </w:tc>
        <w:tc>
          <w:tcPr>
            <w:tcW w:w="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income of subsidiaries and VIEs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(8,090,266)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(7,757,671)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(7,204,058)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(1,030,169)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received from subsidiaries and VIEs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1,768,685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840" w:type="dxa"/>
            <w:vAlign w:val="bottom"/>
          </w:tcPr>
          <w:p>
            <w:pPr>
              <w:spacing w:after="0"/>
              <w:rPr>
                <w:sz w:val="18"/>
                <w:szCs w:val="18"/>
                <w:color w:val="auto"/>
              </w:rPr>
            </w:pPr>
          </w:p>
        </w:tc>
        <w:tc>
          <w:tcPr>
            <w:tcW w:w="1040" w:type="dxa"/>
            <w:vAlign w:val="bottom"/>
            <w:gridSpan w:val="2"/>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receivables and prepayments,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1,662,949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1,855,687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amounts due from/to subsidiaries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5,086,910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3,887,078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3,455,393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5,086,910</w:t>
            </w:r>
          </w:p>
        </w:tc>
        <w:tc>
          <w:tcPr>
            <w:tcW w:w="1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3,887,078</w:t>
            </w:r>
          </w:p>
        </w:tc>
        <w:tc>
          <w:tcPr>
            <w:tcW w:w="1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3,455,393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494,115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(5,106,944)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(3,865,781)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(4,940,778)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 distribution to shareholders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(1,684,721)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(1,795,384)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ordinary shares upon exercise of share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(5,106,944)</w:t>
            </w:r>
          </w:p>
        </w:tc>
        <w:tc>
          <w:tcPr>
            <w:tcW w:w="1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(5,550,502)</w:t>
            </w:r>
          </w:p>
        </w:tc>
        <w:tc>
          <w:tcPr>
            <w:tcW w:w="1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(5,309,459)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 TO SCHEDULE I</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or per share data)</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Schedule I has been provided pursuant to the requirement of Rule 12-04(a) and 4-08(e)(3) of Regulation S-X, which require condensed financial information as to financial position, cash flows and results of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end of the most recently completed fiscal year.</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2025, RMB16.65 billion of the restricted capital, reserves and net asset are not available for distribution or transfer respectively, and as such, the condensed financial information of Vipshop Holdings Limited (“Parent Company”) has been presented. Relevant PRC laws and regulations also restrict the subsidiaries in PRC, the VIEs and VIEs’ subsidiaries from transferring a portion of their net assets to the Parent Company in the form of loans and advances or cash dividends.</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2024 and 2025, cash dividends amounted to nil, US$233.3 million and US$247.4 million were declared and paid by the Parent Company, respectively. On February 26, 2026, cash dividends amounted to US$3.10 per ordinary share, or US$0.62 per ADS were declared and expected to be paid in April, 2026.</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no material contingencies, significant provisions of long-term obligations, and mandatory dividend or redemption requirements of redeemable shares or guarantees of the Parent Company, except for those which have been separately disclosed in the Consolidated Financial Statement,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condensed financial information of the Parent Company has been prepared using the same accounting policies as set out in its consolidated financial statements, except that the Parent Company has used the equity method to account for its investment in its subsidiaries, VIEs and VIEs’ subsidiaries. Accordingly, the condensed financial information presented herein represents the financial information of the Parent Company.</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The footnote discloses certain supplemental information relating to the operations of the Company and, as such, these statements should be read in conjunction with the notes to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0"/>
          <w:szCs w:val="20"/>
          <w:b w:val="1"/>
          <w:bCs w:val="1"/>
          <w:color w:val="auto"/>
        </w:rPr>
        <w:t>Exhibit 8.1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Vipshop Holdings Limited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List of Significant Consolidated Entities of the Registrant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7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47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20"/>
                <w:szCs w:val="20"/>
                <w:b w:val="1"/>
                <w:bCs w:val="1"/>
                <w:color w:val="auto"/>
              </w:rPr>
              <w:t>Jurisdiction of Incorporation</w:t>
            </w:r>
          </w:p>
        </w:tc>
      </w:tr>
      <w:tr>
        <w:trPr>
          <w:trHeight w:val="244"/>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Significant Subsidiaries:</w:t>
            </w:r>
          </w:p>
        </w:tc>
        <w:tc>
          <w:tcPr>
            <w:tcW w:w="420" w:type="dxa"/>
            <w:vAlign w:val="bottom"/>
          </w:tcPr>
          <w:p>
            <w:pPr>
              <w:spacing w:after="0"/>
              <w:rPr>
                <w:sz w:val="21"/>
                <w:szCs w:val="21"/>
                <w:color w:val="auto"/>
              </w:rPr>
            </w:pPr>
          </w:p>
        </w:tc>
        <w:tc>
          <w:tcPr>
            <w:tcW w:w="4720" w:type="dxa"/>
            <w:vAlign w:val="bottom"/>
          </w:tcPr>
          <w:p>
            <w:pPr>
              <w:spacing w:after="0"/>
              <w:rPr>
                <w:sz w:val="21"/>
                <w:szCs w:val="21"/>
                <w:color w:val="auto"/>
              </w:rPr>
            </w:pPr>
          </w:p>
        </w:tc>
      </w:tr>
      <w:tr>
        <w:trPr>
          <w:trHeight w:val="257"/>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Vipshop International Holdings Limited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Hong Kong</w:t>
            </w:r>
          </w:p>
        </w:tc>
      </w:tr>
      <w:tr>
        <w:trPr>
          <w:trHeight w:val="257"/>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Vipshop (China)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57"/>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Chongqing Pinwei E-Commerce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56"/>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Vipshop (Zhaoqing) E-Commerce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57"/>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Vipshop (Jianyang) E-Commerce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57"/>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Vipshop (Tianjin) E-Commerce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57"/>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Guangzhou Pinwei Software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56"/>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Tianjin Pinrong E-Commerce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57"/>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Chongqing Vipshop E-Commerce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57"/>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Vipshop (Guangzhou) Software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57"/>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Vipshop (Xian) E-Commerce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56"/>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Zhejiang Vipshop E-Commerce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53"/>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Vipshop (Hubei) E-Commerce Co., Ltd.</w:t>
            </w:r>
          </w:p>
        </w:tc>
        <w:tc>
          <w:tcPr>
            <w:tcW w:w="420" w:type="dxa"/>
            <w:vAlign w:val="bottom"/>
          </w:tcPr>
          <w:p>
            <w:pPr>
              <w:spacing w:after="0"/>
              <w:rPr>
                <w:sz w:val="21"/>
                <w:szCs w:val="21"/>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r>
        <w:trPr>
          <w:trHeight w:val="261"/>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Significant Consolidated Variable Interest Entity:</w:t>
            </w:r>
          </w:p>
        </w:tc>
        <w:tc>
          <w:tcPr>
            <w:tcW w:w="42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58"/>
        </w:trPr>
        <w:tc>
          <w:tcPr>
            <w:tcW w:w="4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Guangzhou Vipshop E-Commerce Co., Ltd.</w:t>
            </w:r>
          </w:p>
        </w:tc>
        <w:tc>
          <w:tcPr>
            <w:tcW w:w="42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210820</wp:posOffset>
            </wp:positionV>
            <wp:extent cx="156845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97" w:lineRule="exact"/>
        <w:rPr>
          <w:sz w:val="20"/>
          <w:szCs w:val="20"/>
          <w:color w:val="auto"/>
        </w:rPr>
      </w:pPr>
    </w:p>
    <w:p>
      <w:pPr>
        <w:ind w:left="200" w:right="120" w:hanging="192"/>
        <w:spacing w:after="0" w:line="295" w:lineRule="auto"/>
        <w:tabs>
          <w:tab w:leader="none" w:pos="20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consolidated variable interest entities of Vipshop Holdings Limited have been omitted from this list since, considered in the aggregate as a single entity, they would not constitute a significant subsidiary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307975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Ya Shen, certify that:</w:t>
      </w:r>
    </w:p>
    <w:p>
      <w:pPr>
        <w:spacing w:after="0" w:line="225"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Vipshop Holdings Limited (the “Company”);</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540" w:hanging="652"/>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Eric Ya Shen</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Ya Shen</w:t>
            </w:r>
          </w:p>
        </w:tc>
        <w:tc>
          <w:tcPr>
            <w:tcW w:w="4960" w:type="dxa"/>
            <w:vAlign w:val="bottom"/>
          </w:tcPr>
          <w:p>
            <w:pPr>
              <w:spacing w:after="0"/>
              <w:rPr>
                <w:sz w:val="16"/>
                <w:szCs w:val="16"/>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6"/>
        </w:trPr>
        <w:tc>
          <w:tcPr>
            <w:tcW w:w="7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Wang, certify that:</w:t>
      </w:r>
    </w:p>
    <w:p>
      <w:pPr>
        <w:spacing w:after="0" w:line="225"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Vipshop Holdings Limited (the “Company”);</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540" w:hanging="652"/>
        <w:spacing w:after="0" w:line="26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Wang</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Wang</w:t>
            </w:r>
          </w:p>
        </w:tc>
        <w:tc>
          <w:tcPr>
            <w:tcW w:w="4900" w:type="dxa"/>
            <w:vAlign w:val="bottom"/>
          </w:tcPr>
          <w:p>
            <w:pPr>
              <w:spacing w:after="0"/>
              <w:rPr>
                <w:sz w:val="16"/>
                <w:szCs w:val="16"/>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7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380" w:firstLine="97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Vipshop Holdings Limited (the “Company”) on Form 20-F for the year ended December 31, 2025 as filed with the Securities and Exchange Commission on the date hereof (the “Report”), I, Eric Ya Shen,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240" w:hanging="260"/>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w:t>
      </w:r>
    </w:p>
    <w:p>
      <w:pPr>
        <w:spacing w:after="0" w:line="206" w:lineRule="exact"/>
        <w:rPr>
          <w:rFonts w:ascii="Times New Roman" w:cs="Times New Roman" w:eastAsia="Times New Roman" w:hAnsi="Times New Roman"/>
          <w:sz w:val="18"/>
          <w:szCs w:val="18"/>
          <w:color w:val="auto"/>
        </w:rPr>
      </w:pPr>
    </w:p>
    <w:p>
      <w:pPr>
        <w:ind w:right="280" w:firstLine="980"/>
        <w:spacing w:after="0" w:line="282" w:lineRule="auto"/>
        <w:tabs>
          <w:tab w:leader="none" w:pos="122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Eric Ya Shen</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Ya Shen</w:t>
            </w:r>
          </w:p>
        </w:tc>
        <w:tc>
          <w:tcPr>
            <w:tcW w:w="4960" w:type="dxa"/>
            <w:vAlign w:val="bottom"/>
          </w:tcPr>
          <w:p>
            <w:pPr>
              <w:spacing w:after="0"/>
              <w:rPr>
                <w:sz w:val="16"/>
                <w:szCs w:val="16"/>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7"/>
        </w:trPr>
        <w:tc>
          <w:tcPr>
            <w:tcW w:w="7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66" w:lineRule="exact"/>
        <w:rPr>
          <w:sz w:val="20"/>
          <w:szCs w:val="20"/>
          <w:color w:val="auto"/>
        </w:rPr>
      </w:pPr>
    </w:p>
    <w:p>
      <w:pPr>
        <w:ind w:right="40" w:firstLine="97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Vipshop Holdings Limited (the “Company”) on Form 20-F for the year ended December 31, 2025 as filed with the Securities and Exchange Commission on the date hereof (the “Report”), I, Mark Wang,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240" w:hanging="260"/>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w:t>
      </w:r>
    </w:p>
    <w:p>
      <w:pPr>
        <w:spacing w:after="0" w:line="206" w:lineRule="exact"/>
        <w:rPr>
          <w:rFonts w:ascii="Times New Roman" w:cs="Times New Roman" w:eastAsia="Times New Roman" w:hAnsi="Times New Roman"/>
          <w:sz w:val="18"/>
          <w:szCs w:val="18"/>
          <w:color w:val="auto"/>
        </w:rPr>
      </w:pPr>
    </w:p>
    <w:p>
      <w:pPr>
        <w:ind w:right="280" w:firstLine="980"/>
        <w:spacing w:after="0" w:line="282" w:lineRule="auto"/>
        <w:tabs>
          <w:tab w:leader="none" w:pos="122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Wang</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Wang</w:t>
            </w:r>
          </w:p>
        </w:tc>
        <w:tc>
          <w:tcPr>
            <w:tcW w:w="4880" w:type="dxa"/>
            <w:vAlign w:val="bottom"/>
          </w:tcPr>
          <w:p>
            <w:pPr>
              <w:spacing w:after="0"/>
              <w:rPr>
                <w:sz w:val="16"/>
                <w:szCs w:val="16"/>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7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20"/>
          <w:szCs w:val="20"/>
          <w:b w:val="1"/>
          <w:bCs w:val="1"/>
          <w:color w:val="auto"/>
        </w:rPr>
        <w:t>EXHIBIT 15.1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Statements Nos. 333-181559, 333-199515, 333- 222218, 333-248504 and 333-272113 on Form S-8 of our reports dated April 16, 2026, relating to the financial statements of Vipshop Holdings Limited and the effectiveness of Vipshop Holdings Limited’s internal control over financial reporting appearing in this Annual Report on Form 20-F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Touche Tohmatsu</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Deloitte Touche Tohmatsu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31457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Certified Public Accountants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Hong Kong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562610</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6292215" cy="6261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629221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 Dingxin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Haizhu District, Guangzhou 510220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reference to our firm in Vipshop Holdings Limited’s Annual Report on Form 20-F for the fiscal year ended December 31, 2025, which will be filed by Vipshop Holdings Limited in April 2026 with the Securities and Exchange Commission pursuant to Section 13 or 15(d) of the Securities Exchange Act of 1934, and further consent to the incorporation by reference of the summaries of our opinions that appear in the Annual Report on Form 20-F of Vipshop Holdings Limited into its Registration Statements on Form S-8 (No. 333-181559, No. 333-199515, No. 333-222218, No. 333-248504, and No. 333-272113).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1154430</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288925</wp:posOffset>
            </wp:positionV>
            <wp:extent cx="5503545" cy="5226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5503545" cy="52260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4969510</wp:posOffset>
            </wp:positionH>
            <wp:positionV relativeFrom="paragraph">
              <wp:posOffset>156845</wp:posOffset>
            </wp:positionV>
            <wp:extent cx="1329055" cy="8229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132905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Office: </w:t>
      </w:r>
      <w:r>
        <w:rPr>
          <w:rFonts w:ascii="Times New Roman" w:cs="Times New Roman" w:eastAsia="Times New Roman" w:hAnsi="Times New Roman"/>
          <w:sz w:val="18"/>
          <w:szCs w:val="18"/>
          <w:color w:val="auto"/>
        </w:rPr>
        <w:t>+852 2801 6066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Mobile: </w:t>
      </w:r>
      <w:r>
        <w:rPr>
          <w:rFonts w:ascii="Times New Roman" w:cs="Times New Roman" w:eastAsia="Times New Roman" w:hAnsi="Times New Roman"/>
          <w:sz w:val="18"/>
          <w:szCs w:val="18"/>
          <w:color w:val="auto"/>
        </w:rPr>
        <w:t>+852 9718 8740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rthorp@tta.lawyer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Vipshop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 Dingxin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Haizhu District, Guangzhou 510220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 April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Vipshop Holdings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heading “Item 10. Additional Information – E. Taxation” on Form 20-F for the year ended 31 December 2025, which will be filed with the Securities and Exchange Commission in the month of April 2026, and further consent to the incorporation by reference of the summary of our opinion that appear in the annual report on Form 20-F into the registration statements on Form S-8 of Vipshop Holdings Limited (File No. 333-181559, File No. 333-199515, File No. 333-222218, File No. 333-248504 and File No. 333-272113).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TRAVERS THORP ALBERGA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1171575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280035</wp:posOffset>
            </wp:positionV>
            <wp:extent cx="1903095" cy="548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1903095" cy="548640"/>
                    </a:xfrm>
                    <a:prstGeom prst="rect">
                      <a:avLst/>
                    </a:prstGeom>
                    <a:noFill/>
                  </pic:spPr>
                </pic:pic>
              </a:graphicData>
            </a:graphic>
          </wp:anchor>
        </w:drawing>
      </w:r>
    </w:p>
    <w:sectPr>
      <w:pgSz w:w="11900" w:h="16838" w:orient="portrait"/>
      <w:cols w:equalWidth="0" w:num="1">
        <w:col w:w="9920"/>
      </w:cols>
      <w:pgMar w:left="980" w:top="33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lvl w:ilvl="1">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1)"/>
      <w:numFmt w:val="lowerRoman"/>
      <w:start w:val="2"/>
    </w:lvl>
  </w:abstractNum>
  <w:abstractNum w:abstractNumId="10">
    <w:nsid w:val="6EB5BD4"/>
    <w:multiLevelType w:val="hybridMultilevel"/>
    <w:lvl w:ilvl="0">
      <w:lvlJc w:val="left"/>
      <w:lvlText w:val="(%1)"/>
      <w:numFmt w:val="decimal"/>
      <w:start w:val="1"/>
    </w:lvl>
  </w:abstractNum>
  <w:abstractNum w:abstractNumId="11">
    <w:nsid w:val="6F6DD9AC"/>
    <w:multiLevelType w:val="hybridMultilevel"/>
    <w:lvl w:ilvl="0">
      <w:lvlJc w:val="left"/>
      <w:lvlText w:val="%1."/>
      <w:numFmt w:val="decimal"/>
      <w:start w:val="3"/>
    </w:lvl>
  </w:abstractNum>
  <w:abstractNum w:abstractNumId="12">
    <w:nsid w:val="94211F2"/>
    <w:multiLevelType w:val="hybridMultilevel"/>
    <w:lvl w:ilvl="0">
      <w:lvlJc w:val="left"/>
      <w:lvlText w:val="(%1)"/>
      <w:numFmt w:val="lowerRoman"/>
      <w:start w:val="3"/>
    </w:lvl>
  </w:abstractNum>
  <w:abstractNum w:abstractNumId="13">
    <w:nsid w:val="885E1B"/>
    <w:multiLevelType w:val="hybridMultilevel"/>
    <w:lvl w:ilvl="0">
      <w:lvlJc w:val="left"/>
      <w:lvlText w:val="(%1)"/>
      <w:numFmt w:val="decimal"/>
      <w:start w:val="1"/>
    </w:lvl>
  </w:abstractNum>
  <w:abstractNum w:abstractNumId="14">
    <w:nsid w:val="76272110"/>
    <w:multiLevelType w:val="hybridMultilevel"/>
    <w:lvl w:ilvl="0">
      <w:lvlJc w:val="left"/>
      <w:lvlText w:val="(%1)"/>
      <w:numFmt w:val="decimal"/>
      <w:start w:val="1"/>
    </w:lvl>
  </w:abstractNum>
  <w:abstractNum w:abstractNumId="15">
    <w:nsid w:val="4C04A8AF"/>
    <w:multiLevelType w:val="hybridMultilevel"/>
    <w:lvl w:ilvl="0">
      <w:lvlJc w:val="left"/>
      <w:lvlText w:val="(%1)"/>
      <w:numFmt w:val="decimal"/>
      <w:start w:val="1"/>
    </w:lvl>
  </w:abstractNum>
  <w:abstractNum w:abstractNumId="16">
    <w:nsid w:val="1716703B"/>
    <w:multiLevelType w:val="hybridMultilevel"/>
    <w:lvl w:ilvl="0">
      <w:lvlJc w:val="left"/>
      <w:lvlText w:val="(%1)"/>
      <w:numFmt w:val="decimal"/>
      <w:start w:val="2"/>
    </w:lvl>
  </w:abstractNum>
  <w:abstractNum w:abstractNumId="17">
    <w:nsid w:val="14E17E33"/>
    <w:multiLevelType w:val="hybridMultilevel"/>
    <w:lvl w:ilvl="0">
      <w:lvlJc w:val="left"/>
      <w:lvlText w:val="%1."/>
      <w:numFmt w:val="upperLetter"/>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1)"/>
      <w:numFmt w:val="lowerRoman"/>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1)"/>
      <w:numFmt w:val="lowerLetter"/>
      <w:start w:val="6"/>
    </w:lvl>
  </w:abstractNum>
  <w:abstractNum w:abstractNumId="34">
    <w:nsid w:val="50801EE1"/>
    <w:multiLevelType w:val="hybridMultilevel"/>
    <w:lvl w:ilvl="0">
      <w:lvlJc w:val="left"/>
      <w:lvlText w:val="(%1)"/>
      <w:numFmt w:val="lowerRoman"/>
      <w:start w:val="2"/>
    </w:lvl>
  </w:abstractNum>
  <w:abstractNum w:abstractNumId="35">
    <w:nsid w:val="488AC1A"/>
    <w:multiLevelType w:val="hybridMultilevel"/>
    <w:lvl w:ilvl="0">
      <w:lvlJc w:val="left"/>
      <w:lvlText w:val="(%1)"/>
      <w:numFmt w:val="lowerRoman"/>
      <w:start w:val="1"/>
    </w:lvl>
  </w:abstractNum>
  <w:abstractNum w:abstractNumId="36">
    <w:nsid w:val="5FB8011C"/>
    <w:multiLevelType w:val="hybridMultilevel"/>
    <w:lvl w:ilvl="0">
      <w:lvlJc w:val="left"/>
      <w:lvlText w:val="(%1)"/>
      <w:numFmt w:val="lowerRoman"/>
      <w:start w:val="1"/>
    </w:lvl>
  </w:abstractNum>
  <w:abstractNum w:abstractNumId="37">
    <w:nsid w:val="6AA78F7F"/>
    <w:multiLevelType w:val="hybridMultilevel"/>
    <w:lvl w:ilvl="0">
      <w:lvlJc w:val="left"/>
      <w:lvlText w:val="(%1)"/>
      <w:numFmt w:val="lowerRoman"/>
      <w:start w:val="6"/>
    </w:lvl>
  </w:abstractNum>
  <w:abstractNum w:abstractNumId="38">
    <w:nsid w:val="7672BD23"/>
    <w:multiLevelType w:val="hybridMultilevel"/>
    <w:lvl w:ilvl="0">
      <w:lvlJc w:val="left"/>
      <w:lvlText w:val="(%1)"/>
      <w:numFmt w:val="lowerRoman"/>
      <w:start w:val="2"/>
    </w:lvl>
  </w:abstractNum>
  <w:abstractNum w:abstractNumId="39">
    <w:nsid w:val="6FC75AF8"/>
    <w:multiLevelType w:val="hybridMultilevel"/>
    <w:lvl w:ilvl="0">
      <w:lvlJc w:val="left"/>
      <w:lvlText w:val="(%1)"/>
      <w:numFmt w:val="decimal"/>
      <w:start w:val="1"/>
    </w:lvl>
  </w:abstractNum>
  <w:abstractNum w:abstractNumId="40">
    <w:nsid w:val="6A5F7029"/>
    <w:multiLevelType w:val="hybridMultilevel"/>
    <w:lvl w:ilvl="0">
      <w:lvlJc w:val="left"/>
      <w:lvlText w:val="(%1)"/>
      <w:numFmt w:val="decimal"/>
      <w:start w:val="3"/>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1)"/>
      <w:numFmt w:val="decimal"/>
      <w:start w:val="1"/>
    </w:lvl>
  </w:abstractNum>
  <w:abstractNum w:abstractNumId="46">
    <w:nsid w:val="3FA62ACA"/>
    <w:multiLevelType w:val="hybridMultilevel"/>
    <w:lvl w:ilvl="0">
      <w:lvlJc w:val="left"/>
      <w:lvlText w:val="(%1)"/>
      <w:numFmt w:val="lowerRoman"/>
      <w:start w:val="4"/>
    </w:lvl>
  </w:abstractNum>
  <w:abstractNum w:abstractNumId="47">
    <w:nsid w:val="14FCE74E"/>
    <w:multiLevelType w:val="hybridMultilevel"/>
    <w:lvl w:ilvl="0">
      <w:lvlJc w:val="left"/>
      <w:lvlText w:val="(%1)"/>
      <w:numFmt w:val="decimal"/>
      <w:start w:val="3"/>
    </w:lvl>
  </w:abstractNum>
  <w:abstractNum w:abstractNumId="48">
    <w:nsid w:val="6A3DD3E8"/>
    <w:multiLevelType w:val="hybridMultilevel"/>
    <w:lvl w:ilvl="0">
      <w:lvlJc w:val="left"/>
      <w:lvlText w:val="(%1)"/>
      <w:numFmt w:val="decimal"/>
      <w:start w:val="1"/>
    </w:lvl>
  </w:abstractNum>
  <w:abstractNum w:abstractNumId="49">
    <w:nsid w:val="71C91298"/>
    <w:multiLevelType w:val="hybridMultilevel"/>
    <w:lvl w:ilvl="0">
      <w:lvlJc w:val="left"/>
      <w:lvlText w:val="(%1)"/>
      <w:numFmt w:val="decimal"/>
      <w:start w:val="2"/>
    </w:lvl>
  </w:abstractNum>
  <w:abstractNum w:abstractNumId="50">
    <w:nsid w:val="9DAF632"/>
    <w:multiLevelType w:val="hybridMultilevel"/>
    <w:lvl w:ilvl="0">
      <w:lvlJc w:val="left"/>
      <w:lvlText w:val="(%1)"/>
      <w:numFmt w:val="lowerRoman"/>
      <w:start w:val="3"/>
    </w:lvl>
  </w:abstractNum>
  <w:abstractNum w:abstractNumId="51">
    <w:nsid w:val="53299938"/>
    <w:multiLevelType w:val="hybridMultilevel"/>
    <w:lvl w:ilvl="0">
      <w:lvlJc w:val="left"/>
      <w:lvlText w:val="(%1)"/>
      <w:numFmt w:val="lowerRoman"/>
      <w:start w:val="3"/>
    </w:lvl>
  </w:abstractNum>
  <w:abstractNum w:abstractNumId="52">
    <w:nsid w:val="1FBFE8E0"/>
    <w:multiLevelType w:val="hybridMultilevel"/>
    <w:lvl w:ilvl="0">
      <w:lvlJc w:val="left"/>
      <w:lvlText w:val="(%1)"/>
      <w:numFmt w:val="decimal"/>
      <w:start w:val="1"/>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
      <w:numFmt w:val="bullet"/>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1."/>
      <w:numFmt w:val="upperLetter"/>
      <w:start w:val="5"/>
    </w:lvl>
    <w:lvl w:ilvl="1">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1)"/>
      <w:numFmt w:val="decimal"/>
      <w:start w:val="1"/>
    </w:lvl>
  </w:abstractNum>
  <w:abstractNum w:abstractNumId="61">
    <w:nsid w:val="1CA0C5FA"/>
    <w:multiLevelType w:val="hybridMultilevel"/>
    <w:lvl w:ilvl="0">
      <w:lvlJc w:val="left"/>
      <w:lvlText w:val="(%1)"/>
      <w:numFmt w:val="decimal"/>
      <w:start w:val="3"/>
    </w:lvl>
  </w:abstractNum>
  <w:abstractNum w:abstractNumId="62">
    <w:nsid w:val="53584BCB"/>
    <w:multiLevelType w:val="hybridMultilevel"/>
    <w:lvl w:ilvl="0">
      <w:lvlJc w:val="left"/>
      <w:lvlText w:val="(%1)"/>
      <w:numFmt w:val="decimal"/>
      <w:start w:val="15"/>
    </w:lvl>
  </w:abstractNum>
  <w:abstractNum w:abstractNumId="63">
    <w:nsid w:val="415E286C"/>
    <w:multiLevelType w:val="hybridMultilevel"/>
    <w:lvl w:ilvl="0">
      <w:lvlJc w:val="left"/>
      <w:lvlText w:val="%1."/>
      <w:numFmt w:val="upperLetter"/>
      <w:start w:val="6"/>
    </w:lvl>
  </w:abstractNum>
  <w:abstractNum w:abstractNumId="64">
    <w:nsid w:val="7C58FD05"/>
    <w:multiLevelType w:val="hybridMultilevel"/>
    <w:lvl w:ilvl="0">
      <w:lvlJc w:val="left"/>
      <w:lvlText w:val="(%1)"/>
      <w:numFmt w:val="lowerRoman"/>
      <w:start w:val="2"/>
    </w:lvl>
  </w:abstractNum>
  <w:abstractNum w:abstractNumId="65">
    <w:nsid w:val="23D86AAC"/>
    <w:multiLevelType w:val="hybridMultilevel"/>
    <w:lvl w:ilvl="0">
      <w:lvlJc w:val="left"/>
      <w:lvlText w:val="●"/>
      <w:numFmt w:val="bullet"/>
      <w:start w:val="1"/>
    </w:lvl>
  </w:abstractNum>
  <w:abstractNum w:abstractNumId="66">
    <w:nsid w:val="45E6D486"/>
    <w:multiLevelType w:val="hybridMultilevel"/>
    <w:lvl w:ilvl="0">
      <w:lvlJc w:val="left"/>
      <w:lvlText w:val="%1."/>
      <w:numFmt w:val="upperLetter"/>
      <w:start w:val="1"/>
    </w:lvl>
  </w:abstractNum>
  <w:abstractNum w:abstractNumId="67">
    <w:nsid w:val="5C10FE21"/>
    <w:multiLevelType w:val="hybridMultilevel"/>
    <w:lvl w:ilvl="0">
      <w:lvlJc w:val="left"/>
      <w:lvlText w:val="%1."/>
      <w:numFmt w:val="upperLetter"/>
      <w:start w:val="3"/>
    </w:lvl>
  </w:abstractNum>
  <w:abstractNum w:abstractNumId="68">
    <w:nsid w:val="E7FFA2B"/>
    <w:multiLevelType w:val="hybridMultilevel"/>
    <w:lvl w:ilvl="0">
      <w:lvlJc w:val="left"/>
      <w:lvlText w:val="%1."/>
      <w:numFmt w:val="upperLetter"/>
      <w:start w:val="2"/>
    </w:lvl>
  </w:abstractNum>
  <w:abstractNum w:abstractNumId="69">
    <w:nsid w:val="3C5991AA"/>
    <w:multiLevelType w:val="hybridMultilevel"/>
    <w:lvl w:ilvl="0">
      <w:lvlJc w:val="left"/>
      <w:lvlText w:val="%1."/>
      <w:numFmt w:val="upperLetter"/>
      <w:start w:val="4"/>
    </w:lvl>
  </w:abstractNum>
  <w:abstractNum w:abstractNumId="70">
    <w:nsid w:val="4BD8591A"/>
    <w:multiLevelType w:val="hybridMultilevel"/>
    <w:lvl w:ilvl="0">
      <w:lvlJc w:val="left"/>
      <w:lvlText w:val="%1."/>
      <w:numFmt w:val="upperLetter"/>
      <w:start w:val="1"/>
    </w:lvl>
  </w:abstractNum>
  <w:abstractNum w:abstractNumId="71">
    <w:nsid w:val="78DF6A55"/>
    <w:multiLevelType w:val="hybridMultilevel"/>
    <w:lvl w:ilvl="0">
      <w:lvlJc w:val="left"/>
      <w:lvlText w:val="●"/>
      <w:numFmt w:val="bullet"/>
      <w:start w:val="1"/>
    </w:lvl>
  </w:abstractNum>
  <w:abstractNum w:abstractNumId="72">
    <w:nsid w:val="39B7AAA2"/>
    <w:multiLevelType w:val="hybridMultilevel"/>
    <w:lvl w:ilvl="0">
      <w:lvlJc w:val="left"/>
      <w:lvlText w:val="(%1)"/>
      <w:numFmt w:val="lowerRoman"/>
      <w:start w:val="1"/>
    </w:lvl>
  </w:abstractNum>
  <w:abstractNum w:abstractNumId="73">
    <w:nsid w:val="2B0D8DBE"/>
    <w:multiLevelType w:val="hybridMultilevel"/>
    <w:lvl w:ilvl="0">
      <w:lvlJc w:val="left"/>
      <w:lvlText w:val="●"/>
      <w:numFmt w:val="bullet"/>
      <w:start w:val="1"/>
    </w:lvl>
  </w:abstractNum>
  <w:abstractNum w:abstractNumId="74">
    <w:nsid w:val="6C80EC70"/>
    <w:multiLevelType w:val="hybridMultilevel"/>
    <w:lvl w:ilvl="0">
      <w:lvlJc w:val="left"/>
      <w:lvlText w:val="●"/>
      <w:numFmt w:val="bullet"/>
      <w:start w:val="1"/>
    </w:lvl>
  </w:abstractNum>
  <w:abstractNum w:abstractNumId="75">
    <w:nsid w:val="379E21B5"/>
    <w:multiLevelType w:val="hybridMultilevel"/>
    <w:lvl w:ilvl="0">
      <w:lvlJc w:val="left"/>
      <w:lvlText w:val="●"/>
      <w:numFmt w:val="bullet"/>
      <w:start w:val="1"/>
    </w:lvl>
  </w:abstractNum>
  <w:abstractNum w:abstractNumId="76">
    <w:nsid w:val="69E373"/>
    <w:multiLevelType w:val="hybridMultilevel"/>
    <w:lvl w:ilvl="0">
      <w:lvlJc w:val="left"/>
      <w:lvlText w:val="(%1)"/>
      <w:numFmt w:val="lowerRoman"/>
      <w:start w:val="3"/>
    </w:lvl>
  </w:abstractNum>
  <w:abstractNum w:abstractNumId="77">
    <w:nsid w:val="2C27173B"/>
    <w:multiLevelType w:val="hybridMultilevel"/>
    <w:lvl w:ilvl="0">
      <w:lvlJc w:val="left"/>
      <w:lvlText w:val="●"/>
      <w:numFmt w:val="bullet"/>
      <w:start w:val="1"/>
    </w:lvl>
  </w:abstractNum>
  <w:abstractNum w:abstractNumId="78">
    <w:nsid w:val="4C9B0904"/>
    <w:multiLevelType w:val="hybridMultilevel"/>
    <w:lvl w:ilvl="0">
      <w:lvlJc w:val="left"/>
      <w:lvlText w:val="●"/>
      <w:numFmt w:val="bullet"/>
      <w:start w:val="1"/>
    </w:lvl>
  </w:abstractNum>
  <w:abstractNum w:abstractNumId="79">
    <w:nsid w:val="6AA7B75C"/>
    <w:multiLevelType w:val="hybridMultilevel"/>
    <w:lvl w:ilvl="0">
      <w:lvlJc w:val="left"/>
      <w:lvlText w:val="(%1)"/>
      <w:numFmt w:val="lowerLetter"/>
      <w:start w:val="2"/>
    </w:lvl>
    <w:lvl w:ilvl="1">
      <w:lvlJc w:val="left"/>
      <w:lvlText w:val="●"/>
      <w:numFmt w:val="bullet"/>
      <w:start w:val="1"/>
    </w:lvl>
  </w:abstractNum>
  <w:abstractNum w:abstractNumId="80">
    <w:nsid w:val="1DF029D3"/>
    <w:multiLevelType w:val="hybridMultilevel"/>
    <w:lvl w:ilvl="0">
      <w:lvlJc w:val="left"/>
      <w:lvlText w:val="%1."/>
      <w:numFmt w:val="upperLetter"/>
      <w:start w:val="6"/>
    </w:lvl>
  </w:abstractNum>
  <w:abstractNum w:abstractNumId="81">
    <w:nsid w:val="5675FF36"/>
    <w:multiLevelType w:val="hybridMultilevel"/>
    <w:lvl w:ilvl="0">
      <w:lvlJc w:val="left"/>
      <w:lvlText w:val="%1."/>
      <w:numFmt w:val="upperLetter"/>
      <w:start w:val="9"/>
    </w:lvl>
  </w:abstractNum>
  <w:abstractNum w:abstractNumId="82">
    <w:nsid w:val="3DD15094"/>
    <w:multiLevelType w:val="hybridMultilevel"/>
    <w:lvl w:ilvl="0">
      <w:lvlJc w:val="left"/>
      <w:lvlText w:val="%1."/>
      <w:numFmt w:val="upperLetter"/>
      <w:start w:val="1"/>
    </w:lvl>
  </w:abstractNum>
  <w:abstractNum w:abstractNumId="83">
    <w:nsid w:val="3DB012B3"/>
    <w:multiLevelType w:val="hybridMultilevel"/>
    <w:lvl w:ilvl="0">
      <w:lvlJc w:val="left"/>
      <w:lvlText w:val="●"/>
      <w:numFmt w:val="bullet"/>
      <w:start w:val="1"/>
    </w:lvl>
  </w:abstractNum>
  <w:abstractNum w:abstractNumId="84">
    <w:nsid w:val="2708C9AF"/>
    <w:multiLevelType w:val="hybridMultilevel"/>
    <w:lvl w:ilvl="0">
      <w:lvlJc w:val="left"/>
      <w:lvlText w:val="(%1)"/>
      <w:numFmt w:val="decimal"/>
      <w:start w:val="1"/>
    </w:lvl>
  </w:abstractNum>
  <w:abstractNum w:abstractNumId="85">
    <w:nsid w:val="5B25ACE2"/>
    <w:multiLevelType w:val="hybridMultilevel"/>
    <w:lvl w:ilvl="0">
      <w:lvlJc w:val="left"/>
      <w:lvlText w:val="(%1)"/>
      <w:numFmt w:val="decimal"/>
      <w:start w:val="1"/>
    </w:lvl>
  </w:abstractNum>
  <w:abstractNum w:abstractNumId="86">
    <w:nsid w:val="175DFCF0"/>
    <w:multiLevelType w:val="hybridMultilevel"/>
    <w:lvl w:ilvl="0">
      <w:lvlJc w:val="left"/>
      <w:lvlText w:val="%1"/>
      <w:numFmt w:val="decimal"/>
      <w:start w:val="97"/>
    </w:lvl>
  </w:abstractNum>
  <w:abstractNum w:abstractNumId="87">
    <w:nsid w:val="4F97E3E4"/>
    <w:multiLevelType w:val="hybridMultilevel"/>
    <w:lvl w:ilvl="0">
      <w:lvlJc w:val="left"/>
      <w:lvlText w:val="†"/>
      <w:numFmt w:val="bullet"/>
      <w:start w:val="1"/>
    </w:lvl>
  </w:abstractNum>
  <w:abstractNum w:abstractNumId="88">
    <w:nsid w:val="53B0A9E"/>
    <w:multiLevelType w:val="hybridMultilevel"/>
    <w:lvl w:ilvl="0">
      <w:lvlJc w:val="left"/>
      <w:lvlText w:val="●"/>
      <w:numFmt w:val="bullet"/>
      <w:start w:val="1"/>
    </w:lvl>
  </w:abstractNum>
  <w:abstractNum w:abstractNumId="89">
    <w:nsid w:val="34FD6B4F"/>
    <w:multiLevelType w:val="hybridMultilevel"/>
    <w:lvl w:ilvl="0">
      <w:lvlJc w:val="left"/>
      <w:lvlText w:val="%1."/>
      <w:numFmt w:val="decimal"/>
      <w:start w:val="1"/>
    </w:lvl>
    <w:lvl w:ilvl="1">
      <w:lvlJc w:val="left"/>
      <w:lvlText w:val="(%2)"/>
      <w:numFmt w:val="lowerLetter"/>
      <w:start w:val="1"/>
    </w:lvl>
  </w:abstractNum>
  <w:abstractNum w:abstractNumId="90">
    <w:nsid w:val="5915FF32"/>
    <w:multiLevelType w:val="hybridMultilevel"/>
    <w:lvl w:ilvl="0">
      <w:lvlJc w:val="left"/>
      <w:lvlText w:val="%1."/>
      <w:numFmt w:val="decimal"/>
      <w:start w:val="2"/>
    </w:lvl>
    <w:lvl w:ilvl="1">
      <w:lvlJc w:val="left"/>
      <w:lvlText w:val="(%2)"/>
      <w:numFmt w:val="lowerLetter"/>
      <w:start w:val="2"/>
    </w:lvl>
  </w:abstractNum>
  <w:abstractNum w:abstractNumId="91">
    <w:nsid w:val="56438D15"/>
    <w:multiLevelType w:val="hybridMultilevel"/>
    <w:lvl w:ilvl="0">
      <w:lvlJc w:val="left"/>
      <w:lvlText w:val="%1."/>
      <w:numFmt w:val="decimal"/>
      <w:start w:val="2"/>
    </w:lvl>
    <w:lvl w:ilvl="1">
      <w:lvlJc w:val="left"/>
      <w:lvlText w:val="(%2)"/>
      <w:numFmt w:val="lowerLetter"/>
      <w:start w:val="2"/>
    </w:lvl>
    <w:lvl w:ilvl="2">
      <w:lvlJc w:val="left"/>
      <w:lvlText w:val="●"/>
      <w:numFmt w:val="bullet"/>
      <w:start w:val="1"/>
    </w:lvl>
  </w:abstractNum>
  <w:abstractNum w:abstractNumId="92">
    <w:nsid w:val="519E3149"/>
    <w:multiLevelType w:val="hybridMultilevel"/>
    <w:lvl w:ilvl="0">
      <w:lvlJc w:val="left"/>
      <w:lvlText w:val="%1."/>
      <w:numFmt w:val="decimal"/>
      <w:start w:val="2"/>
    </w:lvl>
    <w:lvl w:ilvl="1">
      <w:lvlJc w:val="left"/>
      <w:lvlText w:val="(%2)"/>
      <w:numFmt w:val="lowerLetter"/>
      <w:start w:val="2"/>
    </w:lvl>
  </w:abstractNum>
  <w:abstractNum w:abstractNumId="93">
    <w:nsid w:val="2C6E4AFD"/>
    <w:multiLevelType w:val="hybridMultilevel"/>
    <w:lvl w:ilvl="0">
      <w:lvlJc w:val="left"/>
      <w:lvlText w:val="(%1)"/>
      <w:numFmt w:val="lowerLetter"/>
      <w:start w:val="3"/>
    </w:lvl>
  </w:abstractNum>
  <w:abstractNum w:abstractNumId="94">
    <w:nsid w:val="17A1B582"/>
    <w:multiLevelType w:val="hybridMultilevel"/>
    <w:lvl w:ilvl="0">
      <w:lvlJc w:val="left"/>
      <w:lvlText w:val="%1."/>
      <w:numFmt w:val="decimal"/>
      <w:start w:val="2"/>
    </w:lvl>
    <w:lvl w:ilvl="1">
      <w:lvlJc w:val="left"/>
      <w:lvlText w:val="(%2)"/>
      <w:numFmt w:val="lowerLetter"/>
      <w:start w:val="7"/>
    </w:lvl>
  </w:abstractNum>
  <w:abstractNum w:abstractNumId="95">
    <w:nsid w:val="4DF72E4E"/>
    <w:multiLevelType w:val="hybridMultilevel"/>
    <w:lvl w:ilvl="0">
      <w:lvlJc w:val="left"/>
      <w:lvlText w:val="%1."/>
      <w:numFmt w:val="decimal"/>
      <w:start w:val="2"/>
    </w:lvl>
    <w:lvl w:ilvl="1">
      <w:lvlJc w:val="left"/>
      <w:lvlText w:val="(%2)"/>
      <w:numFmt w:val="lowerLetter"/>
      <w:start w:val="10"/>
    </w:lvl>
  </w:abstractNum>
  <w:abstractNum w:abstractNumId="96">
    <w:nsid w:val="5046B5A9"/>
    <w:multiLevelType w:val="hybridMultilevel"/>
    <w:lvl w:ilvl="0">
      <w:lvlJc w:val="left"/>
      <w:lvlText w:val="(%1)"/>
      <w:numFmt w:val="lowerLetter"/>
      <w:start w:val="11"/>
    </w:lvl>
  </w:abstractNum>
  <w:abstractNum w:abstractNumId="97">
    <w:nsid w:val="5D888A08"/>
    <w:multiLevelType w:val="hybridMultilevel"/>
    <w:lvl w:ilvl="0">
      <w:lvlJc w:val="left"/>
      <w:lvlText w:val="%1."/>
      <w:numFmt w:val="decimal"/>
      <w:start w:val="2"/>
    </w:lvl>
    <w:lvl w:ilvl="1">
      <w:lvlJc w:val="left"/>
      <w:lvlText w:val="(%2)"/>
      <w:numFmt w:val="lowerLetter"/>
      <w:start w:val="12"/>
    </w:lvl>
  </w:abstractNum>
  <w:abstractNum w:abstractNumId="98">
    <w:nsid w:val="2A082C70"/>
    <w:multiLevelType w:val="hybridMultilevel"/>
    <w:lvl w:ilvl="0">
      <w:lvlJc w:val="left"/>
      <w:lvlText w:val="(%1)"/>
      <w:numFmt w:val="lowerLetter"/>
      <w:start w:val="13"/>
    </w:lvl>
  </w:abstractNum>
  <w:abstractNum w:abstractNumId="99">
    <w:nsid w:val="5EC6AFD4"/>
    <w:multiLevelType w:val="hybridMultilevel"/>
    <w:lvl w:ilvl="0">
      <w:lvlJc w:val="left"/>
      <w:lvlText w:val="%1."/>
      <w:numFmt w:val="decimal"/>
      <w:start w:val="2"/>
    </w:lvl>
    <w:lvl w:ilvl="1">
      <w:lvlJc w:val="left"/>
      <w:lvlText w:val="(%2)"/>
      <w:numFmt w:val="lowerLetter"/>
      <w:start w:val="13"/>
    </w:lvl>
  </w:abstractNum>
  <w:abstractNum w:abstractNumId="100">
    <w:nsid w:val="19E21BB2"/>
    <w:multiLevelType w:val="hybridMultilevel"/>
    <w:lvl w:ilvl="0">
      <w:lvlJc w:val="left"/>
      <w:lvlText w:val="%1."/>
      <w:numFmt w:val="decimal"/>
      <w:start w:val="2"/>
    </w:lvl>
    <w:lvl w:ilvl="1">
      <w:lvlJc w:val="left"/>
      <w:lvlText w:val="(%2)"/>
      <w:numFmt w:val="lowerLetter"/>
      <w:start w:val="15"/>
    </w:lvl>
  </w:abstractNum>
  <w:abstractNum w:abstractNumId="101">
    <w:nsid w:val="75E0858A"/>
    <w:multiLevelType w:val="hybridMultilevel"/>
    <w:lvl w:ilvl="0">
      <w:lvlJc w:val="left"/>
      <w:lvlText w:val="%1."/>
      <w:numFmt w:val="decimal"/>
      <w:start w:val="2"/>
    </w:lvl>
    <w:lvl w:ilvl="1">
      <w:lvlJc w:val="left"/>
      <w:lvlText w:val="(%2)"/>
      <w:numFmt w:val="lowerLetter"/>
      <w:start w:val="16"/>
    </w:lvl>
  </w:abstractNum>
  <w:abstractNum w:abstractNumId="102">
    <w:nsid w:val="57A61A29"/>
    <w:multiLevelType w:val="hybridMultilevel"/>
    <w:lvl w:ilvl="0">
      <w:lvlJc w:val="left"/>
      <w:lvlText w:val="%1."/>
      <w:numFmt w:val="decimal"/>
      <w:start w:val="2"/>
    </w:lvl>
    <w:lvl w:ilvl="1">
      <w:lvlJc w:val="left"/>
      <w:lvlText w:val="(%2)"/>
      <w:numFmt w:val="lowerLetter"/>
      <w:start w:val="17"/>
    </w:lvl>
  </w:abstractNum>
  <w:abstractNum w:abstractNumId="103">
    <w:nsid w:val="5399C654"/>
    <w:multiLevelType w:val="hybridMultilevel"/>
    <w:lvl w:ilvl="0">
      <w:lvlJc w:val="left"/>
      <w:lvlText w:val="%1."/>
      <w:numFmt w:val="decimal"/>
      <w:start w:val="2"/>
    </w:lvl>
    <w:lvl w:ilvl="1">
      <w:lvlJc w:val="left"/>
      <w:lvlText w:val="(%2)"/>
      <w:numFmt w:val="lowerLetter"/>
      <w:start w:val="18"/>
    </w:lvl>
  </w:abstractNum>
  <w:abstractNum w:abstractNumId="104">
    <w:nsid w:val="20EE1348"/>
    <w:multiLevelType w:val="hybridMultilevel"/>
    <w:lvl w:ilvl="0">
      <w:lvlJc w:val="left"/>
      <w:lvlText w:val="%1."/>
      <w:numFmt w:val="decimal"/>
      <w:start w:val="2"/>
    </w:lvl>
    <w:lvl w:ilvl="1">
      <w:lvlJc w:val="left"/>
      <w:lvlText w:val="(%2)"/>
      <w:numFmt w:val="lowerLetter"/>
      <w:start w:val="18"/>
    </w:lvl>
  </w:abstractNum>
  <w:abstractNum w:abstractNumId="105">
    <w:nsid w:val="4427069A"/>
    <w:multiLevelType w:val="hybridMultilevel"/>
    <w:lvl w:ilvl="0">
      <w:lvlJc w:val="left"/>
      <w:lvlText w:val="%1."/>
      <w:numFmt w:val="decimal"/>
      <w:start w:val="2"/>
    </w:lvl>
    <w:lvl w:ilvl="1">
      <w:lvlJc w:val="left"/>
      <w:lvlText w:val="(%2)"/>
      <w:numFmt w:val="lowerLetter"/>
      <w:start w:val="18"/>
    </w:lvl>
  </w:abstractNum>
  <w:abstractNum w:abstractNumId="106">
    <w:nsid w:val="B37E80A"/>
    <w:multiLevelType w:val="hybridMultilevel"/>
    <w:lvl w:ilvl="0">
      <w:lvlJc w:val="left"/>
      <w:lvlText w:val="%1."/>
      <w:numFmt w:val="decimal"/>
      <w:start w:val="2"/>
    </w:lvl>
    <w:lvl w:ilvl="1">
      <w:lvlJc w:val="left"/>
      <w:lvlText w:val="(%2)"/>
      <w:numFmt w:val="lowerLetter"/>
      <w:start w:val="18"/>
    </w:lvl>
  </w:abstractNum>
  <w:abstractNum w:abstractNumId="107">
    <w:nsid w:val="2157F6BC"/>
    <w:multiLevelType w:val="hybridMultilevel"/>
    <w:lvl w:ilvl="0">
      <w:lvlJc w:val="left"/>
      <w:lvlText w:val="%1."/>
      <w:numFmt w:val="decimal"/>
      <w:start w:val="2"/>
    </w:lvl>
    <w:lvl w:ilvl="1">
      <w:lvlJc w:val="left"/>
      <w:lvlText w:val="(%2)"/>
      <w:numFmt w:val="lowerLetter"/>
      <w:start w:val="25"/>
    </w:lvl>
  </w:abstractNum>
  <w:abstractNum w:abstractNumId="108">
    <w:nsid w:val="704E1DD5"/>
    <w:multiLevelType w:val="hybridMultilevel"/>
    <w:lvl w:ilvl="0">
      <w:lvlJc w:val="left"/>
      <w:lvlText w:val="%1."/>
      <w:numFmt w:val="decimal"/>
      <w:start w:val="2"/>
    </w:lvl>
  </w:abstractNum>
  <w:abstractNum w:abstractNumId="109">
    <w:nsid w:val="57D2F10E"/>
    <w:multiLevelType w:val="hybridMultilevel"/>
    <w:lvl w:ilvl="0">
      <w:lvlJc w:val="left"/>
      <w:lvlText w:val="%1."/>
      <w:numFmt w:val="decimal"/>
      <w:start w:val="2"/>
    </w:lvl>
  </w:abstractNum>
  <w:abstractNum w:abstractNumId="110">
    <w:nsid w:val="BFFAE18"/>
    <w:multiLevelType w:val="hybridMultilevel"/>
    <w:lvl w:ilvl="0">
      <w:lvlJc w:val="left"/>
      <w:lvlText w:val="%1."/>
      <w:numFmt w:val="decimal"/>
      <w:start w:val="2"/>
    </w:lvl>
  </w:abstractNum>
  <w:abstractNum w:abstractNumId="111">
    <w:nsid w:val="E3E47A8"/>
    <w:multiLevelType w:val="hybridMultilevel"/>
    <w:lvl w:ilvl="0">
      <w:lvlJc w:val="left"/>
      <w:lvlText w:val="%1."/>
      <w:numFmt w:val="decimal"/>
      <w:start w:val="2"/>
    </w:lvl>
  </w:abstractNum>
  <w:abstractNum w:abstractNumId="112">
    <w:nsid w:val="2E48F044"/>
    <w:multiLevelType w:val="hybridMultilevel"/>
    <w:lvl w:ilvl="0">
      <w:lvlJc w:val="left"/>
      <w:lvlText w:val="%1."/>
      <w:numFmt w:val="decimal"/>
      <w:start w:val="3"/>
    </w:lvl>
  </w:abstractNum>
  <w:abstractNum w:abstractNumId="113">
    <w:nsid w:val="49D0FEAC"/>
    <w:multiLevelType w:val="hybridMultilevel"/>
    <w:lvl w:ilvl="0">
      <w:lvlJc w:val="left"/>
      <w:lvlText w:val="(%1)"/>
      <w:numFmt w:val="lowerLetter"/>
      <w:start w:val="1"/>
    </w:lvl>
  </w:abstractNum>
  <w:abstractNum w:abstractNumId="114">
    <w:nsid w:val="4BEE5A5B"/>
    <w:multiLevelType w:val="hybridMultilevel"/>
    <w:lvl w:ilvl="0">
      <w:lvlJc w:val="left"/>
      <w:lvlText w:val="%1."/>
      <w:numFmt w:val="decimal"/>
      <w:start w:val="4"/>
    </w:lvl>
  </w:abstractNum>
  <w:abstractNum w:abstractNumId="115">
    <w:nsid w:val="5551B9F3"/>
    <w:multiLevelType w:val="hybridMultilevel"/>
    <w:lvl w:ilvl="0">
      <w:lvlJc w:val="left"/>
      <w:lvlText w:val="%1."/>
      <w:numFmt w:val="decimal"/>
      <w:start w:val="8"/>
    </w:lvl>
  </w:abstractNum>
  <w:abstractNum w:abstractNumId="116">
    <w:nsid w:val="24F6AB8E"/>
    <w:multiLevelType w:val="hybridMultilevel"/>
    <w:lvl w:ilvl="0">
      <w:lvlJc w:val="left"/>
      <w:lvlText w:val="(%1)"/>
      <w:numFmt w:val="lowerLetter"/>
      <w:start w:val="1"/>
    </w:lvl>
  </w:abstractNum>
  <w:abstractNum w:abstractNumId="117">
    <w:nsid w:val="634C574C"/>
    <w:multiLevelType w:val="hybridMultilevel"/>
    <w:lvl w:ilvl="0">
      <w:lvlJc w:val="left"/>
      <w:lvlText w:val="%1."/>
      <w:numFmt w:val="decimal"/>
      <w:start w:val="9"/>
    </w:lvl>
  </w:abstractNum>
  <w:abstractNum w:abstractNumId="118">
    <w:nsid w:val="24E99DD7"/>
    <w:multiLevelType w:val="hybridMultilevel"/>
    <w:lvl w:ilvl="0">
      <w:lvlJc w:val="left"/>
      <w:lvlText w:val="%1."/>
      <w:numFmt w:val="decimal"/>
      <w:start w:val="9"/>
    </w:lvl>
  </w:abstractNum>
  <w:abstractNum w:abstractNumId="119">
    <w:nsid w:val="2A31B62D"/>
    <w:multiLevelType w:val="hybridMultilevel"/>
    <w:lvl w:ilvl="0">
      <w:lvlJc w:val="left"/>
      <w:lvlText w:val="%1."/>
      <w:numFmt w:val="decimal"/>
      <w:start w:val="10"/>
    </w:lvl>
  </w:abstractNum>
  <w:abstractNum w:abstractNumId="120">
    <w:nsid w:val="1849C29B"/>
    <w:multiLevelType w:val="hybridMultilevel"/>
    <w:lvl w:ilvl="0">
      <w:lvlJc w:val="left"/>
      <w:lvlText w:val="%1."/>
      <w:numFmt w:val="decimal"/>
      <w:start w:val="10"/>
    </w:lvl>
    <w:lvl w:ilvl="1">
      <w:lvlJc w:val="left"/>
      <w:lvlText w:val="(%2)"/>
      <w:numFmt w:val="lowerLetter"/>
      <w:start w:val="1"/>
    </w:lvl>
  </w:abstractNum>
  <w:abstractNum w:abstractNumId="121">
    <w:nsid w:val="7DFF9D09"/>
    <w:multiLevelType w:val="hybridMultilevel"/>
    <w:lvl w:ilvl="0">
      <w:lvlJc w:val="left"/>
      <w:lvlText w:val="%1"/>
      <w:numFmt w:val="decimal"/>
      <w:start w:val="1"/>
    </w:lvl>
    <w:lvl w:ilvl="1">
      <w:lvlJc w:val="left"/>
      <w:lvlText w:val="(%2)"/>
      <w:numFmt w:val="lowerLetter"/>
      <w:start w:val="1"/>
    </w:lvl>
  </w:abstractNum>
  <w:abstractNum w:abstractNumId="122">
    <w:nsid w:val="754342"/>
    <w:multiLevelType w:val="hybridMultilevel"/>
    <w:lvl w:ilvl="0">
      <w:lvlJc w:val="left"/>
      <w:lvlText w:val="%1."/>
      <w:numFmt w:val="decimal"/>
      <w:start w:val="12"/>
    </w:lvl>
    <w:lvl w:ilvl="1">
      <w:lvlJc w:val="left"/>
      <w:lvlText w:val="%2"/>
      <w:numFmt w:val="lowerLetter"/>
      <w:start w:val="1"/>
    </w:lvl>
  </w:abstractNum>
  <w:abstractNum w:abstractNumId="123">
    <w:nsid w:val="69E7F3E5"/>
    <w:multiLevelType w:val="hybridMultilevel"/>
    <w:lvl w:ilvl="0">
      <w:lvlJc w:val="left"/>
      <w:lvlText w:val="%1."/>
      <w:numFmt w:val="decimal"/>
      <w:start w:val="13"/>
    </w:lvl>
  </w:abstractNum>
  <w:abstractNum w:abstractNumId="124">
    <w:nsid w:val="2A6DE806"/>
    <w:multiLevelType w:val="hybridMultilevel"/>
    <w:lvl w:ilvl="0">
      <w:lvlJc w:val="left"/>
      <w:lvlText w:val="(%1)"/>
      <w:numFmt w:val="lowerLetter"/>
      <w:start w:val="1"/>
    </w:lvl>
  </w:abstractNum>
  <w:abstractNum w:abstractNumId="125">
    <w:nsid w:val="1816F8C4"/>
    <w:multiLevelType w:val="hybridMultilevel"/>
    <w:lvl w:ilvl="0">
      <w:lvlJc w:val="left"/>
      <w:lvlText w:val="%1."/>
      <w:numFmt w:val="decimal"/>
      <w:start w:val="13"/>
    </w:lvl>
  </w:abstractNum>
  <w:abstractNum w:abstractNumId="126">
    <w:nsid w:val="37DF2233"/>
    <w:multiLevelType w:val="hybridMultilevel"/>
    <w:lvl w:ilvl="0">
      <w:lvlJc w:val="left"/>
      <w:lvlText w:val="%1."/>
      <w:numFmt w:val="decimal"/>
      <w:start w:val="15"/>
    </w:lvl>
  </w:abstractNum>
  <w:abstractNum w:abstractNumId="127">
    <w:nsid w:val="7AB49DAF"/>
    <w:multiLevelType w:val="hybridMultilevel"/>
    <w:lvl w:ilvl="0">
      <w:lvlJc w:val="left"/>
      <w:lvlText w:val="%1."/>
      <w:numFmt w:val="decimal"/>
      <w:start w:val="15"/>
    </w:lvl>
  </w:abstractNum>
  <w:abstractNum w:abstractNumId="128">
    <w:nsid w:val="759F82CD"/>
    <w:multiLevelType w:val="hybridMultilevel"/>
    <w:lvl w:ilvl="0">
      <w:lvlJc w:val="left"/>
      <w:lvlText w:val="%1."/>
      <w:numFmt w:val="decimal"/>
      <w:start w:val="16"/>
    </w:lvl>
  </w:abstractNum>
  <w:abstractNum w:abstractNumId="129">
    <w:nsid w:val="61E74EA3"/>
    <w:multiLevelType w:val="hybridMultilevel"/>
    <w:lvl w:ilvl="0">
      <w:lvlJc w:val="left"/>
      <w:lvlText w:val="(%1)"/>
      <w:numFmt w:val="lowerRoman"/>
      <w:start w:val="1"/>
    </w:lvl>
  </w:abstractNum>
  <w:abstractNum w:abstractNumId="130">
    <w:nsid w:val="597B4D84"/>
    <w:multiLevelType w:val="hybridMultilevel"/>
    <w:lvl w:ilvl="0">
      <w:lvlJc w:val="left"/>
      <w:lvlText w:val="%1."/>
      <w:numFmt w:val="decimal"/>
      <w:start w:val="17"/>
    </w:lvl>
    <w:lvl w:ilvl="1">
      <w:lvlJc w:val="left"/>
      <w:lvlText w:val="(%2)"/>
      <w:numFmt w:val="lowerRoman"/>
      <w:start w:val="2"/>
    </w:lvl>
  </w:abstractNum>
  <w:abstractNum w:abstractNumId="131">
    <w:nsid w:val="F819E7F"/>
    <w:multiLevelType w:val="hybridMultilevel"/>
    <w:lvl w:ilvl="0">
      <w:lvlJc w:val="left"/>
      <w:lvlText w:val="%1."/>
      <w:numFmt w:val="decimal"/>
      <w:start w:val="18"/>
    </w:lvl>
  </w:abstractNum>
  <w:abstractNum w:abstractNumId="132">
    <w:nsid w:val="57C7D42D"/>
    <w:multiLevelType w:val="hybridMultilevel"/>
    <w:lvl w:ilvl="0">
      <w:lvlJc w:val="left"/>
      <w:lvlText w:val="%1."/>
      <w:numFmt w:val="decimal"/>
      <w:start w:val="19"/>
    </w:lvl>
  </w:abstractNum>
  <w:abstractNum w:abstractNumId="133">
    <w:nsid w:val="312167AD"/>
    <w:multiLevelType w:val="hybridMultilevel"/>
    <w:lvl w:ilvl="0">
      <w:lvlJc w:val="left"/>
      <w:lvlText w:val="%1."/>
      <w:numFmt w:val="decimal"/>
      <w:start w:val="19"/>
    </w:lvl>
    <w:lvl w:ilvl="1">
      <w:lvlJc w:val="left"/>
      <w:lvlText w:val="●"/>
      <w:numFmt w:val="bullet"/>
      <w:start w:val="1"/>
    </w:lvl>
  </w:abstractNum>
  <w:abstractNum w:abstractNumId="134">
    <w:nsid w:val="631B64D4"/>
    <w:multiLevelType w:val="hybridMultilevel"/>
    <w:lvl w:ilvl="0">
      <w:lvlJc w:val="left"/>
      <w:lvlText w:val="%1."/>
      <w:numFmt w:val="decimal"/>
      <w:start w:val="19"/>
    </w:lvl>
  </w:abstractNum>
  <w:abstractNum w:abstractNumId="135">
    <w:nsid w:val="78B5E776"/>
    <w:multiLevelType w:val="hybridMultilevel"/>
    <w:lvl w:ilvl="0">
      <w:lvlJc w:val="left"/>
      <w:lvlText w:val="%1."/>
      <w:numFmt w:val="decimal"/>
      <w:start w:val="19"/>
    </w:lvl>
  </w:abstractNum>
  <w:abstractNum w:abstractNumId="136">
    <w:nsid w:val="75486E47"/>
    <w:multiLevelType w:val="hybridMultilevel"/>
    <w:lvl w:ilvl="0">
      <w:lvlJc w:val="left"/>
      <w:lvlText w:val="%1."/>
      <w:numFmt w:val="decimal"/>
      <w:start w:val="19"/>
    </w:lvl>
  </w:abstractNum>
  <w:abstractNum w:abstractNumId="137">
    <w:nsid w:val="6E534CDE"/>
    <w:multiLevelType w:val="hybridMultilevel"/>
    <w:lvl w:ilvl="0">
      <w:lvlJc w:val="left"/>
      <w:lvlText w:val="%1."/>
      <w:numFmt w:val="decimal"/>
      <w:start w:val="20"/>
    </w:lvl>
  </w:abstractNum>
  <w:abstractNum w:abstractNumId="138">
    <w:nsid w:val="1A0DDE32"/>
    <w:multiLevelType w:val="hybridMultilevel"/>
    <w:lvl w:ilvl="0">
      <w:lvlJc w:val="left"/>
      <w:lvlText w:val="%1."/>
      <w:numFmt w:val="decimal"/>
      <w:start w:val="21"/>
    </w:lvl>
  </w:abstractNum>
  <w:abstractNum w:abstractNumId="139">
    <w:nsid w:val="65968C1C"/>
    <w:multiLevelType w:val="hybridMultilevel"/>
    <w:lvl w:ilvl="0">
      <w:lvlJc w:val="left"/>
      <w:lvlText w:val="(%1)"/>
      <w:numFmt w:val="lowerRoman"/>
      <w:start w:val="1"/>
    </w:lvl>
  </w:abstractNum>
  <w:abstractNum w:abstractNumId="140">
    <w:nsid w:val="46263DEC"/>
    <w:multiLevelType w:val="hybridMultilevel"/>
    <w:lvl w:ilvl="0">
      <w:lvlJc w:val="left"/>
      <w:lvlText w:val="(%1)"/>
      <w:numFmt w:val="lowerLetter"/>
      <w:start w:val="1"/>
    </w:lvl>
  </w:abstractNum>
  <w:abstractNum w:abstractNumId="141">
    <w:nsid w:val="260D8C4A"/>
    <w:multiLevelType w:val="hybridMultilevel"/>
    <w:lvl w:ilvl="0">
      <w:lvlJc w:val="left"/>
      <w:lvlText w:val="%1."/>
      <w:numFmt w:val="decimal"/>
      <w:start w:val="22"/>
    </w:lvl>
    <w:lvl w:ilvl="1">
      <w:lvlJc w:val="left"/>
      <w:lvlText w:val="(%2)"/>
      <w:numFmt w:val="lowerLetter"/>
      <w:start w:val="2"/>
    </w:lvl>
  </w:abstractNum>
  <w:abstractNum w:abstractNumId="142">
    <w:nsid w:val="73D4D3C4"/>
    <w:multiLevelType w:val="hybridMultilevel"/>
    <w:lvl w:ilvl="0">
      <w:lvlJc w:val="left"/>
      <w:lvlText w:val="%1"/>
      <w:numFmt w:val="decimal"/>
      <w:start w:val="1"/>
    </w:lvl>
    <w:lvl w:ilvl="1">
      <w:lvlJc w:val="left"/>
      <w:lvlText w:val="(%2)"/>
      <w:numFmt w:val="lowerLetter"/>
      <w:start w:val="1"/>
    </w:lvl>
  </w:abstractNum>
  <w:abstractNum w:abstractNumId="143">
    <w:nsid w:val="746F2E30"/>
    <w:multiLevelType w:val="hybridMultilevel"/>
    <w:lvl w:ilvl="0">
      <w:lvlJc w:val="left"/>
      <w:lvlText w:val="%1."/>
      <w:numFmt w:val="decimal"/>
      <w:start w:val="23"/>
    </w:lvl>
    <w:lvl w:ilvl="1">
      <w:lvlJc w:val="left"/>
      <w:lvlText w:val="(%2)"/>
      <w:numFmt w:val="lowerLetter"/>
      <w:start w:val="1"/>
    </w:lvl>
  </w:abstractNum>
  <w:abstractNum w:abstractNumId="144">
    <w:nsid w:val="6FDE8AF6"/>
    <w:multiLevelType w:val="hybridMultilevel"/>
    <w:lvl w:ilvl="0">
      <w:lvlJc w:val="left"/>
      <w:lvlText w:val="%1."/>
      <w:numFmt w:val="decimal"/>
      <w:start w:val="23"/>
    </w:lvl>
    <w:lvl w:ilvl="1">
      <w:lvlJc w:val="left"/>
      <w:lvlText w:val="(%2)"/>
      <w:numFmt w:val="lowerLetter"/>
      <w:start w:val="2"/>
    </w:lvl>
  </w:abstractNum>
  <w:abstractNum w:abstractNumId="145">
    <w:nsid w:val="3FC32E20"/>
    <w:multiLevelType w:val="hybridMultilevel"/>
    <w:lvl w:ilvl="0">
      <w:lvlJc w:val="left"/>
      <w:lvlText w:val="(%1)"/>
      <w:numFmt w:val="lowerLetter"/>
      <w:start w:val="3"/>
    </w:lvl>
  </w:abstractNum>
  <w:abstractNum w:abstractNumId="146">
    <w:nsid w:val="49C0E823"/>
    <w:multiLevelType w:val="hybridMultilevel"/>
    <w:lvl w:ilvl="0">
      <w:lvlJc w:val="left"/>
      <w:lvlText w:val="%1."/>
      <w:numFmt w:val="decimal"/>
      <w:start w:val="23"/>
    </w:lvl>
    <w:lvl w:ilvl="1">
      <w:lvlJc w:val="left"/>
      <w:lvlText w:val="(%2)"/>
      <w:numFmt w:val="lowerLetter"/>
      <w:start w:val="3"/>
    </w:lvl>
  </w:abstractNum>
  <w:abstractNum w:abstractNumId="147">
    <w:nsid w:val="14D53685"/>
    <w:multiLevelType w:val="hybridMultilevel"/>
    <w:lvl w:ilvl="0">
      <w:lvlJc w:val="left"/>
      <w:lvlText w:val="(%1)"/>
      <w:numFmt w:val="decimal"/>
      <w:start w:val="1"/>
    </w:lvl>
  </w:abstractNum>
  <w:abstractNum w:abstractNumId="148">
    <w:nsid w:val="230F856C"/>
    <w:multiLevelType w:val="hybridMultilevel"/>
    <w:lvl w:ilvl="0">
      <w:lvlJc w:val="left"/>
      <w:lvlText w:val="%1."/>
      <w:numFmt w:val="decimal"/>
      <w:start w:val="23"/>
    </w:lvl>
    <w:lvl w:ilvl="1">
      <w:lvlJc w:val="left"/>
      <w:lvlText w:val="(%2)"/>
      <w:numFmt w:val="lowerLetter"/>
      <w:start w:val="4"/>
    </w:lvl>
  </w:abstractNum>
  <w:abstractNum w:abstractNumId="149">
    <w:nsid w:val="6EAA85FB"/>
    <w:multiLevelType w:val="hybridMultilevel"/>
    <w:lvl w:ilvl="0">
      <w:lvlJc w:val="left"/>
      <w:lvlText w:val="%1."/>
      <w:numFmt w:val="decimal"/>
      <w:start w:val="24"/>
    </w:lvl>
  </w:abstractNum>
  <w:abstractNum w:abstractNumId="150">
    <w:nsid w:val="3F06ECB2"/>
    <w:multiLevelType w:val="hybridMultilevel"/>
    <w:lvl w:ilvl="0">
      <w:lvlJc w:val="left"/>
      <w:lvlText w:val="%1."/>
      <w:numFmt w:val="decimal"/>
      <w:start w:val="24"/>
    </w:lvl>
  </w:abstractNum>
  <w:abstractNum w:abstractNumId="151">
    <w:nsid w:val="3B594807"/>
    <w:multiLevelType w:val="hybridMultilevel"/>
    <w:lvl w:ilvl="0">
      <w:lvlJc w:val="left"/>
      <w:lvlText w:val="(%1)"/>
      <w:numFmt w:val="lowerLetter"/>
      <w:start w:val="1"/>
    </w:lvl>
  </w:abstractNum>
  <w:abstractNum w:abstractNumId="152">
    <w:nsid w:val="6CAA2304"/>
    <w:multiLevelType w:val="hybridMultilevel"/>
    <w:lvl w:ilvl="0">
      <w:lvlJc w:val="left"/>
      <w:lvlText w:val="%1."/>
      <w:numFmt w:val="decimal"/>
      <w:start w:val="24"/>
    </w:lvl>
  </w:abstractNum>
  <w:abstractNum w:abstractNumId="153">
    <w:nsid w:val="3F7C2FF4"/>
    <w:multiLevelType w:val="hybridMultilevel"/>
    <w:lvl w:ilvl="0">
      <w:lvlJc w:val="left"/>
      <w:lvlText w:val="%1."/>
      <w:numFmt w:val="decimal"/>
      <w:start w:val="25"/>
    </w:lvl>
  </w:abstractNum>
  <w:abstractNum w:abstractNumId="154">
    <w:nsid w:val="25413BEC"/>
    <w:multiLevelType w:val="hybridMultilevel"/>
    <w:lvl w:ilvl="0">
      <w:lvlJc w:val="left"/>
      <w:lvlText w:val="*"/>
      <w:numFmt w:val="bullet"/>
      <w:start w:val="1"/>
    </w:lvl>
  </w:abstractNum>
  <w:abstractNum w:abstractNumId="155">
    <w:nsid w:val="17180B0B"/>
    <w:multiLevelType w:val="hybridMultilevel"/>
    <w:lvl w:ilvl="0">
      <w:lvlJc w:val="left"/>
      <w:lvlText w:val="%1."/>
      <w:numFmt w:val="decimal"/>
      <w:start w:val="1"/>
    </w:lvl>
    <w:lvl w:ilvl="1">
      <w:lvlJc w:val="left"/>
      <w:lvlText w:val="(%2)"/>
      <w:numFmt w:val="lowerLetter"/>
      <w:start w:val="1"/>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208"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jpeg"/><Relationship Id="rId290" Type="http://schemas.openxmlformats.org/officeDocument/2006/relationships/image" Target="media/image262.jpeg"/><Relationship Id="rId291" Type="http://schemas.openxmlformats.org/officeDocument/2006/relationships/image" Target="media/image263.png"/><Relationship Id="rId292" Type="http://schemas.openxmlformats.org/officeDocument/2006/relationships/image" Target="media/image264.jpeg"/><Relationship Id="rId188" Type="http://schemas.openxmlformats.org/officeDocument/2006/relationships/hyperlink" Target="https://www.sec.gov/Archives/edgar/data/1529192/000119312521118506/d69437dex12.htm" TargetMode="External"/><Relationship Id="rId189" Type="http://schemas.openxmlformats.org/officeDocument/2006/relationships/hyperlink" Target="https://www.sec.gov/Archives/edgar/data/1529192/000119312512067702/d211818dex41.htm" TargetMode="External"/><Relationship Id="rId190" Type="http://schemas.openxmlformats.org/officeDocument/2006/relationships/hyperlink" Target="https://www.sec.gov/Archives/edgar/data/1529192/000119312512240835/d356043dex43.htm" TargetMode="External"/><Relationship Id="rId191" Type="http://schemas.openxmlformats.org/officeDocument/2006/relationships/hyperlink" Target="https://www.sec.gov/Archives/edgar/data/1471515/000119380514001990/e612780_ex99-a2.htm" TargetMode="External"/><Relationship Id="rId192" Type="http://schemas.openxmlformats.org/officeDocument/2006/relationships/hyperlink" Target="https://www.sec.gov/Archives/edgar/data/1529192/000119312523106425/d434757dex24.htm" TargetMode="External"/><Relationship Id="rId193" Type="http://schemas.openxmlformats.org/officeDocument/2006/relationships/hyperlink" Target="https://www.sec.gov/Archives/edgar/data/1529192/000119312512107229/d211818dex101.htm" TargetMode="External"/><Relationship Id="rId194" Type="http://schemas.openxmlformats.org/officeDocument/2006/relationships/hyperlink" Target="https://www.sec.gov/Archives/edgar/data/1529192/000119312512107229/d211818dex1011.htm" TargetMode="External"/><Relationship Id="rId195" Type="http://schemas.openxmlformats.org/officeDocument/2006/relationships/hyperlink" Target="https://www.sec.gov/Archives/edgar/data/1529192/000119312524203214/d846859dex992.htm" TargetMode="External"/><Relationship Id="rId196" Type="http://schemas.openxmlformats.org/officeDocument/2006/relationships/hyperlink" Target="https://www.sec.gov/Archives/edgar/data/1529192/000119312512067702/d211818dex102.htm" TargetMode="External"/><Relationship Id="rId197" Type="http://schemas.openxmlformats.org/officeDocument/2006/relationships/hyperlink" Target="https://www.sec.gov/Archives/edgar/data/1529192/000119312524100774/d276706dex45.htm" TargetMode="External"/><Relationship Id="rId198" Type="http://schemas.openxmlformats.org/officeDocument/2006/relationships/hyperlink" Target="https://www.sec.gov/Archives/edgar/data/1529192/000119312524100774/d276706dex46.htm" TargetMode="External"/><Relationship Id="rId199" Type="http://schemas.openxmlformats.org/officeDocument/2006/relationships/hyperlink" Target="https://www.sec.gov/Archives/edgar/data/1529192/000119312524100774/d276706dex47.htm" TargetMode="External"/><Relationship Id="rId200" Type="http://schemas.openxmlformats.org/officeDocument/2006/relationships/hyperlink" Target="https://www.sec.gov/Archives/edgar/data/1529192/000119312524100774/d276706dex48.htm" TargetMode="External"/><Relationship Id="rId201" Type="http://schemas.openxmlformats.org/officeDocument/2006/relationships/hyperlink" Target="https://www.sec.gov/Archives/edgar/data/1529192/000119312524100774/d276706dex49.htm" TargetMode="External"/><Relationship Id="rId202" Type="http://schemas.openxmlformats.org/officeDocument/2006/relationships/hyperlink" Target="https://www.sec.gov/Archives/edgar/data/1529192/000119312524100774/d276706dex410.htm" TargetMode="External"/><Relationship Id="rId203" Type="http://schemas.openxmlformats.org/officeDocument/2006/relationships/hyperlink" Target="https://www.sec.gov/Archives/edgar/data/1529192/000119312512067702/d211818dex1010.htm" TargetMode="External"/><Relationship Id="rId204" Type="http://schemas.openxmlformats.org/officeDocument/2006/relationships/hyperlink" Target="https://www.sec.gov/Archives/edgar/data/1529192/000119312520120336/d849102dex416.htm" TargetMode="External"/><Relationship Id="rId205" Type="http://schemas.openxmlformats.org/officeDocument/2006/relationships/hyperlink" Target="https://www.sec.gov/Archives/edgar/data/1529192/000119312524100774/d276706dex414.htm" TargetMode="External"/><Relationship Id="rId206" Type="http://schemas.openxmlformats.org/officeDocument/2006/relationships/hyperlink" Target="https://www.sec.gov/Archives/edgar/data/1529192/000119312523106425/d434757dex111.htm" TargetMode="External"/><Relationship Id="rId207" Type="http://schemas.openxmlformats.org/officeDocument/2006/relationships/hyperlink" Target="https://www.sec.gov/Archives/edgar/data/1529192/000119312525083419/d907177dex112.htm" TargetMode="External"/><Relationship Id="rId209" Type="http://schemas.openxmlformats.org/officeDocument/2006/relationships/hyperlink" Target="https://www.sec.gov/Archives/edgar/data/1529192/000119312524100774/d276706d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2026-04-16T05:54:27Z</dcterms:created>
  <dcterms:modified xsi:type="dcterms:W3CDTF">2026-04-16T05:54:27Z</dcterms:modified>
</cp:coreProperties>
</file>