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2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21"/>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2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21"/>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01"/>
        <w:spacing w:after="0"/>
        <w:rPr>
          <w:sz w:val="20"/>
          <w:szCs w:val="20"/>
          <w:color w:val="auto"/>
        </w:rPr>
      </w:pPr>
      <w:r>
        <w:rPr>
          <w:rFonts w:ascii="Arial" w:cs="Arial" w:eastAsia="Arial" w:hAnsi="Arial"/>
          <w:sz w:val="40"/>
          <w:szCs w:val="40"/>
          <w:b w:val="1"/>
          <w:bCs w:val="1"/>
          <w:color w:val="auto"/>
        </w:rPr>
        <w:t>VIPSHOP HOLDINGS LIMITED</w:t>
      </w:r>
    </w:p>
    <w:p>
      <w:pPr>
        <w:spacing w:after="0" w:line="35"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Ordinary Shares, par value $0.0001 per share</w:t>
      </w:r>
    </w:p>
    <w:p>
      <w:pPr>
        <w:spacing w:after="0" w:line="21" w:lineRule="exact"/>
        <w:rPr>
          <w:sz w:val="24"/>
          <w:szCs w:val="24"/>
          <w:color w:val="auto"/>
        </w:rPr>
      </w:pPr>
    </w:p>
    <w:p>
      <w:pPr>
        <w:jc w:val="center"/>
        <w:ind w:right="-121"/>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92763W103</w:t>
      </w:r>
    </w:p>
    <w:p>
      <w:pPr>
        <w:spacing w:after="0" w:line="21" w:lineRule="exact"/>
        <w:rPr>
          <w:sz w:val="24"/>
          <w:szCs w:val="24"/>
          <w:color w:val="auto"/>
        </w:rPr>
      </w:pPr>
    </w:p>
    <w:p>
      <w:pPr>
        <w:jc w:val="center"/>
        <w:ind w:right="-121"/>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JD.com, Inc.</w:t>
      </w:r>
    </w:p>
    <w:p>
      <w:pPr>
        <w:spacing w:after="0" w:line="27"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20th Floor, Building A, No. 18 Kechuang 11 Street</w:t>
      </w:r>
    </w:p>
    <w:p>
      <w:pPr>
        <w:spacing w:after="0" w:line="9"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Yizhuang Economic and Technological Development Zone</w:t>
      </w:r>
    </w:p>
    <w:p>
      <w:pPr>
        <w:spacing w:after="0" w:line="9"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Daxing District, Beijing 101111</w:t>
      </w:r>
    </w:p>
    <w:p>
      <w:pPr>
        <w:spacing w:after="0" w:line="9"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The Peopleâ€™s Republic of China</w:t>
      </w:r>
    </w:p>
    <w:p>
      <w:pPr>
        <w:spacing w:after="0" w:line="9"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+86 10 8911-8888</w:t>
      </w:r>
    </w:p>
    <w:p>
      <w:pPr>
        <w:spacing w:after="0" w:line="2" w:lineRule="exact"/>
        <w:rPr>
          <w:sz w:val="24"/>
          <w:szCs w:val="24"/>
          <w:color w:val="auto"/>
        </w:rPr>
      </w:pPr>
    </w:p>
    <w:p>
      <w:pPr>
        <w:jc w:val="center"/>
        <w:ind w:right="-121"/>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21"/>
        <w:spacing w:after="0"/>
        <w:rPr>
          <w:sz w:val="20"/>
          <w:szCs w:val="20"/>
          <w:color w:val="auto"/>
        </w:rPr>
      </w:pPr>
      <w:r>
        <w:rPr>
          <w:rFonts w:ascii="Arial" w:cs="Arial" w:eastAsia="Arial" w:hAnsi="Arial"/>
          <w:sz w:val="18"/>
          <w:szCs w:val="18"/>
          <w:b w:val="1"/>
          <w:bCs w:val="1"/>
          <w:color w:val="auto"/>
        </w:rPr>
        <w:t>August 14, 2019</w:t>
      </w:r>
    </w:p>
    <w:p>
      <w:pPr>
        <w:spacing w:after="0" w:line="21" w:lineRule="exact"/>
        <w:rPr>
          <w:sz w:val="24"/>
          <w:szCs w:val="24"/>
          <w:color w:val="auto"/>
        </w:rPr>
      </w:pPr>
    </w:p>
    <w:p>
      <w:pPr>
        <w:jc w:val="center"/>
        <w:ind w:right="-121"/>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 w:right="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Â§Â§240.13d-1(e), 240.13d-1(f) or 240.13d-1(g), check the following box. â˜</w:t>
      </w:r>
    </w:p>
    <w:p>
      <w:pPr>
        <w:spacing w:after="0" w:line="197" w:lineRule="exact"/>
        <w:rPr>
          <w:sz w:val="24"/>
          <w:szCs w:val="24"/>
          <w:color w:val="auto"/>
        </w:rPr>
      </w:pPr>
    </w:p>
    <w:p>
      <w:pPr>
        <w:ind w:left="442" w:right="420" w:hanging="442"/>
        <w:spacing w:after="0" w:line="342" w:lineRule="auto"/>
        <w:tabs>
          <w:tab w:leader="none" w:pos="44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personâ€™s initial filing on this form with respect to the subject class of securities, and for any subsequent amendment containing information which would alter disclosures provided in a prior cover page.</w:t>
      </w:r>
    </w:p>
    <w:p>
      <w:pPr>
        <w:spacing w:after="0" w:line="124" w:lineRule="exact"/>
        <w:rPr>
          <w:sz w:val="24"/>
          <w:szCs w:val="24"/>
          <w:color w:val="auto"/>
        </w:rPr>
      </w:pPr>
    </w:p>
    <w:p>
      <w:pPr>
        <w:ind w:left="2"/>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â€œfiledâ€ for the purpose of Section 18 of the Securities Exchange Act of 1934, as amended (the â€œExchange Actâ€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2"/>
          </w:cols>
          <w:pgMar w:left="438" w:top="437" w:right="559" w:bottom="1440" w:gutter="0" w:footer="0" w:header="0"/>
        </w:sectPr>
      </w:pPr>
    </w:p>
    <w:bookmarkStart w:id="1" w:name="page2"/>
    <w:bookmarkEnd w:id="1"/>
    <w:tbl>
      <w:tblPr>
        <w:tblLayout w:type="fixed"/>
        <w:tblInd w:w="2" w:type="dxa"/>
        <w:tblCellMar>
          <w:top w:w="0" w:type="dxa"/>
          <w:left w:w="0" w:type="dxa"/>
          <w:bottom w:w="0" w:type="dxa"/>
          <w:right w:w="0" w:type="dxa"/>
        </w:tblCellMar>
      </w:tblPr>
      <w:tr>
        <w:trPr>
          <w:trHeight w:val="229"/>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44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92763W103</w:t>
            </w:r>
          </w:p>
        </w:tc>
        <w:tc>
          <w:tcPr>
            <w:tcW w:w="8680" w:type="dxa"/>
            <w:vAlign w:val="bottom"/>
          </w:tcPr>
          <w:p>
            <w:pPr>
              <w:spacing w:after="0"/>
              <w:rPr>
                <w:sz w:val="19"/>
                <w:szCs w:val="19"/>
                <w:color w:val="auto"/>
              </w:rPr>
            </w:pPr>
          </w:p>
        </w:tc>
      </w:tr>
      <w:tr>
        <w:trPr>
          <w:trHeight w:val="142"/>
        </w:trPr>
        <w:tc>
          <w:tcPr>
            <w:tcW w:w="11020" w:type="dxa"/>
            <w:vAlign w:val="bottom"/>
            <w:tcBorders>
              <w:bottom w:val="single" w:sz="8" w:color="auto"/>
            </w:tcBorders>
            <w:gridSpan w:val="3"/>
          </w:tcPr>
          <w:p>
            <w:pPr>
              <w:spacing w:after="0"/>
              <w:rPr>
                <w:sz w:val="12"/>
                <w:szCs w:val="12"/>
                <w:color w:val="auto"/>
              </w:rPr>
            </w:pPr>
          </w:p>
        </w:tc>
      </w:tr>
      <w:tr>
        <w:trPr>
          <w:trHeight w:val="228"/>
        </w:trPr>
        <w:tc>
          <w:tcPr>
            <w:tcW w:w="11020" w:type="dxa"/>
            <w:vAlign w:val="bottom"/>
            <w:gridSpan w:val="3"/>
          </w:tcPr>
          <w:p>
            <w:pPr>
              <w:ind w:left="24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Names of Reporting Persons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0605" cy="38100"/>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-156845</wp:posOffset>
            </wp:positionV>
            <wp:extent cx="8890" cy="6009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60090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8255" cy="6009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600900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-156845</wp:posOffset>
            </wp:positionV>
            <wp:extent cx="8890" cy="2460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460625"/>
                    </a:xfrm>
                    <a:prstGeom prst="rect">
                      <a:avLst/>
                    </a:prstGeom>
                    <a:noFill/>
                  </pic:spPr>
                </pic:pic>
              </a:graphicData>
            </a:graphic>
          </wp:anchor>
        </w:drawing>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w w:val="89"/>
              </w:rPr>
              <w:t>JD.com, Inc.</w:t>
            </w:r>
          </w:p>
        </w:tc>
        <w:tc>
          <w:tcPr>
            <w:tcW w:w="5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2</w:t>
            </w:r>
          </w:p>
        </w:tc>
        <w:tc>
          <w:tcPr>
            <w:tcW w:w="6500" w:type="dxa"/>
            <w:vAlign w:val="bottom"/>
            <w:gridSpan w:val="5"/>
          </w:tcPr>
          <w:p>
            <w:pPr>
              <w:ind w:left="80"/>
              <w:spacing w:after="0" w:line="197" w:lineRule="exact"/>
              <w:rPr>
                <w:sz w:val="20"/>
                <w:szCs w:val="20"/>
                <w:color w:val="auto"/>
              </w:rPr>
            </w:pPr>
            <w:r>
              <w:rPr>
                <w:rFonts w:ascii="Arial" w:cs="Arial" w:eastAsia="Arial" w:hAnsi="Arial"/>
                <w:sz w:val="18"/>
                <w:szCs w:val="18"/>
                <w:color w:val="auto"/>
              </w:rPr>
              <w:t>Check the Appropriate Box if a Member of a Group</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(a)  â˜</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w w:val="90"/>
              </w:rPr>
              <w:t>(b)</w:t>
            </w:r>
          </w:p>
        </w:tc>
        <w:tc>
          <w:tcPr>
            <w:tcW w:w="5300" w:type="dxa"/>
            <w:vAlign w:val="bottom"/>
          </w:tcPr>
          <w:p>
            <w:pPr>
              <w:ind w:left="80"/>
              <w:spacing w:after="0"/>
              <w:rPr>
                <w:sz w:val="20"/>
                <w:szCs w:val="20"/>
                <w:color w:val="auto"/>
              </w:rPr>
            </w:pPr>
            <w:r>
              <w:rPr>
                <w:rFonts w:ascii="Arial" w:cs="Arial" w:eastAsia="Arial" w:hAnsi="Arial"/>
                <w:sz w:val="18"/>
                <w:szCs w:val="18"/>
                <w:color w:val="auto"/>
              </w:rPr>
              <w:t>â˜’</w:t>
            </w: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spacing w:after="0"/>
              <w:rPr>
                <w:sz w:val="22"/>
                <w:szCs w:val="22"/>
                <w:color w:val="auto"/>
              </w:rPr>
            </w:pPr>
          </w:p>
        </w:tc>
        <w:tc>
          <w:tcPr>
            <w:tcW w:w="530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0" w:type="dxa"/>
            <w:vAlign w:val="bottom"/>
            <w:gridSpan w:val="4"/>
          </w:tcPr>
          <w:p>
            <w:pPr>
              <w:ind w:left="80"/>
              <w:spacing w:after="0"/>
              <w:rPr>
                <w:sz w:val="20"/>
                <w:szCs w:val="20"/>
                <w:color w:val="auto"/>
              </w:rPr>
            </w:pPr>
            <w:r>
              <w:rPr>
                <w:rFonts w:ascii="Arial" w:cs="Arial" w:eastAsia="Arial" w:hAnsi="Arial"/>
                <w:sz w:val="18"/>
                <w:szCs w:val="18"/>
                <w:color w:val="auto"/>
                <w:w w:val="94"/>
              </w:rPr>
              <w:t>SEC Use Only</w:t>
            </w:r>
          </w:p>
        </w:tc>
        <w:tc>
          <w:tcPr>
            <w:tcW w:w="5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gridSpan w:val="5"/>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50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WC, OO</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6500" w:type="dxa"/>
            <w:vAlign w:val="bottom"/>
            <w:gridSpan w:val="5"/>
          </w:tcPr>
          <w:p>
            <w:pPr>
              <w:ind w:left="80"/>
              <w:spacing w:after="0"/>
              <w:rPr>
                <w:sz w:val="20"/>
                <w:szCs w:val="20"/>
                <w:color w:val="auto"/>
              </w:rPr>
            </w:pPr>
            <w:r>
              <w:rPr>
                <w:rFonts w:ascii="Arial" w:cs="Arial" w:eastAsia="Arial" w:hAnsi="Arial"/>
                <w:sz w:val="18"/>
                <w:szCs w:val="18"/>
                <w:color w:val="auto"/>
                <w:w w:val="91"/>
              </w:rPr>
              <w:t>Check Box if Disclosure of Legal Proceedings Is Required Pursuant to Items 2(d) or 2(e)</w:t>
            </w:r>
          </w:p>
        </w:tc>
        <w:tc>
          <w:tcPr>
            <w:tcW w:w="4120" w:type="dxa"/>
            <w:vAlign w:val="bottom"/>
          </w:tcPr>
          <w:p>
            <w:pPr>
              <w:ind w:left="8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gridSpan w:val="5"/>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650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Cayman Islands</w:t>
            </w: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Sole Voting Power</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22"/>
                <w:szCs w:val="22"/>
                <w:color w:val="auto"/>
              </w:rPr>
              <w:t>0</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4"/>
              </w:rPr>
              <w:t>Shares</w:t>
            </w: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30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3"/>
                <w:szCs w:val="13"/>
                <w:color w:val="auto"/>
              </w:rPr>
            </w:pPr>
          </w:p>
        </w:tc>
        <w:tc>
          <w:tcPr>
            <w:tcW w:w="530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4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6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1"/>
              </w:rPr>
              <w:t>Owned by</w:t>
            </w: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vMerge w:val="restart"/>
          </w:tcPr>
          <w:p>
            <w:pPr>
              <w:spacing w:after="0"/>
              <w:rPr>
                <w:sz w:val="20"/>
                <w:szCs w:val="20"/>
                <w:color w:val="auto"/>
              </w:rPr>
            </w:pPr>
            <w:r>
              <w:rPr>
                <w:rFonts w:ascii="Arial" w:cs="Arial" w:eastAsia="Arial" w:hAnsi="Arial"/>
                <w:sz w:val="22"/>
                <w:szCs w:val="22"/>
                <w:color w:val="auto"/>
              </w:rPr>
              <w:t>10,103,435 Class A Ordinary Shares</w:t>
            </w: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Each</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vMerge w:val="continue"/>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6"/>
                <w:szCs w:val="6"/>
                <w:color w:val="auto"/>
              </w:rPr>
            </w:pPr>
          </w:p>
        </w:tc>
        <w:tc>
          <w:tcPr>
            <w:tcW w:w="530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4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6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16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3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4"/>
              </w:rPr>
              <w:t>Person</w:t>
            </w: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vMerge w:val="restart"/>
          </w:tcPr>
          <w:p>
            <w:pPr>
              <w:spacing w:after="0"/>
              <w:rPr>
                <w:sz w:val="20"/>
                <w:szCs w:val="20"/>
                <w:color w:val="auto"/>
              </w:rPr>
            </w:pPr>
            <w:r>
              <w:rPr>
                <w:rFonts w:ascii="Arial" w:cs="Arial" w:eastAsia="Arial" w:hAnsi="Arial"/>
                <w:sz w:val="22"/>
                <w:szCs w:val="22"/>
                <w:color w:val="auto"/>
              </w:rPr>
              <w:t>0</w:t>
            </w: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With</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vMerge w:val="continue"/>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10</w:t>
            </w:r>
          </w:p>
        </w:tc>
        <w:tc>
          <w:tcPr>
            <w:tcW w:w="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10,103,435 Class A Ordinary Shares</w:t>
            </w: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65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10,103,435 Class A Ordinary Shares</w:t>
            </w: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500" w:type="dxa"/>
            <w:vAlign w:val="bottom"/>
            <w:gridSpan w:val="5"/>
          </w:tcPr>
          <w:p>
            <w:pPr>
              <w:ind w:left="80"/>
              <w:spacing w:after="0"/>
              <w:rPr>
                <w:sz w:val="20"/>
                <w:szCs w:val="20"/>
                <w:color w:val="auto"/>
              </w:rPr>
            </w:pPr>
            <w:r>
              <w:rPr>
                <w:rFonts w:ascii="Arial" w:cs="Arial" w:eastAsia="Arial" w:hAnsi="Arial"/>
                <w:sz w:val="18"/>
                <w:szCs w:val="18"/>
                <w:color w:val="auto"/>
                <w:w w:val="91"/>
              </w:rPr>
              <w:t>Check if the Aggregate Amount in Row (11) Excludes Certain Shares (See Instructions)</w:t>
            </w:r>
          </w:p>
        </w:tc>
        <w:tc>
          <w:tcPr>
            <w:tcW w:w="4120" w:type="dxa"/>
            <w:vAlign w:val="bottom"/>
          </w:tcPr>
          <w:p>
            <w:pPr>
              <w:ind w:left="2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5400" w:type="dxa"/>
            <w:vAlign w:val="bottom"/>
            <w:tcBorders>
              <w:bottom w:val="single" w:sz="8" w:color="auto"/>
            </w:tcBorders>
            <w:gridSpan w:val="2"/>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650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 xml:space="preserve">7.6% </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650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HC</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ind w:left="222" w:right="40" w:hanging="222"/>
        <w:spacing w:after="0" w:line="296" w:lineRule="auto"/>
        <w:tabs>
          <w:tab w:leader="none" w:pos="22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percentage is calculated based on 133,101,306 ordinary shares outstanding as of March 31, 2019 (including 116,590,948 Class A Ordinary Shares, par value US$0.0001 per share (â€œClass A Ordinary Sharesâ€ ) and 16,510,358 Class B Ordinary Shares, par value US$0.0001 per share (â€œClass B Ordinary Sharesâ€ ), which excludes 747,793 Class A Ordinary Shares issued to the depositary bank of the Issuer under reservation for future grants under the Issuerâ€™s share incentive plan, as reported by the Issuer in its annual reported on Form 20-F filed with the SEC on April 18, 2019. Class A Ordinary Shares and Class B Ordinary Shares are collectively referred to as â€œOrdinary Shares.â€</w:t>
      </w:r>
    </w:p>
    <w:p>
      <w:pPr>
        <w:spacing w:after="0" w:line="9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2"/>
          </w:cols>
          <w:pgMar w:left="438" w:top="188" w:right="439" w:bottom="1440" w:gutter="0" w:footer="0" w:header="0"/>
        </w:sectPr>
      </w:pPr>
    </w:p>
    <w:bookmarkStart w:id="2" w:name="page3"/>
    <w:bookmarkEnd w:id="2"/>
    <w:tbl>
      <w:tblPr>
        <w:tblLayout w:type="fixed"/>
        <w:tblInd w:w="12" w:type="dxa"/>
        <w:tblCellMar>
          <w:top w:w="0" w:type="dxa"/>
          <w:left w:w="0" w:type="dxa"/>
          <w:bottom w:w="0" w:type="dxa"/>
          <w:right w:w="0" w:type="dxa"/>
        </w:tblCellMar>
      </w:tblPr>
      <w:tr>
        <w:trPr>
          <w:trHeight w:val="230"/>
        </w:trPr>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CUSIP No.</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92763W103</w:t>
            </w:r>
          </w:p>
        </w:tc>
        <w:tc>
          <w:tcPr>
            <w:tcW w:w="8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tcBorders>
              <w:bottom w:val="single" w:sz="8" w:color="auto"/>
            </w:tcBorders>
          </w:tcPr>
          <w:p>
            <w:pPr>
              <w:spacing w:after="0"/>
              <w:rPr>
                <w:sz w:val="22"/>
                <w:szCs w:val="22"/>
                <w:color w:val="auto"/>
              </w:rPr>
            </w:pPr>
          </w:p>
        </w:tc>
        <w:tc>
          <w:tcPr>
            <w:tcW w:w="10640" w:type="dxa"/>
            <w:vAlign w:val="bottom"/>
            <w:tcBorders>
              <w:bottom w:val="single" w:sz="8" w:color="auto"/>
            </w:tcBorders>
            <w:gridSpan w:val="6"/>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22"/>
                <w:szCs w:val="22"/>
                <w:color w:val="auto"/>
              </w:rPr>
              <w:t>JD.com Investment Limited</w:t>
            </w:r>
          </w:p>
        </w:tc>
        <w:tc>
          <w:tcPr>
            <w:tcW w:w="0" w:type="dxa"/>
            <w:vAlign w:val="bottom"/>
          </w:tcPr>
          <w:p>
            <w:pPr>
              <w:spacing w:after="0"/>
              <w:rPr>
                <w:sz w:val="1"/>
                <w:szCs w:val="1"/>
                <w:color w:val="auto"/>
              </w:rPr>
            </w:pPr>
          </w:p>
        </w:tc>
      </w:tr>
      <w:tr>
        <w:trPr>
          <w:trHeight w:val="197"/>
        </w:trPr>
        <w:tc>
          <w:tcPr>
            <w:tcW w:w="400" w:type="dxa"/>
            <w:vAlign w:val="bottom"/>
            <w:tcBorders>
              <w:left w:val="single" w:sz="8" w:color="auto"/>
              <w:right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2</w:t>
            </w:r>
          </w:p>
        </w:tc>
        <w:tc>
          <w:tcPr>
            <w:tcW w:w="10640" w:type="dxa"/>
            <w:vAlign w:val="bottom"/>
            <w:tcBorders>
              <w:right w:val="single" w:sz="8" w:color="auto"/>
            </w:tcBorders>
            <w:gridSpan w:val="6"/>
          </w:tcPr>
          <w:p>
            <w:pPr>
              <w:ind w:left="80"/>
              <w:spacing w:after="0" w:line="197"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(a)  â˜</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9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uto"/>
              <w:right w:val="single" w:sz="8" w:color="auto"/>
            </w:tcBorders>
          </w:tcPr>
          <w:p>
            <w:pPr>
              <w:spacing w:after="0"/>
              <w:rPr>
                <w:sz w:val="22"/>
                <w:szCs w:val="22"/>
                <w:color w:val="auto"/>
              </w:rPr>
            </w:pPr>
          </w:p>
        </w:tc>
        <w:tc>
          <w:tcPr>
            <w:tcW w:w="1200" w:type="dxa"/>
            <w:vAlign w:val="bottom"/>
            <w:tcBorders>
              <w:bottom w:val="single" w:sz="8" w:color="auto"/>
            </w:tcBorders>
            <w:gridSpan w:val="4"/>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0" w:type="dxa"/>
            <w:vAlign w:val="bottom"/>
            <w:gridSpan w:val="4"/>
          </w:tcPr>
          <w:p>
            <w:pPr>
              <w:ind w:left="80"/>
              <w:spacing w:after="0"/>
              <w:rPr>
                <w:sz w:val="20"/>
                <w:szCs w:val="20"/>
                <w:color w:val="auto"/>
              </w:rPr>
            </w:pPr>
            <w:r>
              <w:rPr>
                <w:rFonts w:ascii="Arial" w:cs="Arial" w:eastAsia="Arial" w:hAnsi="Arial"/>
                <w:sz w:val="18"/>
                <w:szCs w:val="18"/>
                <w:color w:val="auto"/>
                <w:w w:val="94"/>
              </w:rPr>
              <w:t>SEC Use Only</w:t>
            </w:r>
          </w:p>
        </w:tc>
        <w:tc>
          <w:tcPr>
            <w:tcW w:w="740" w:type="dxa"/>
            <w:vAlign w:val="bottom"/>
          </w:tcPr>
          <w:p>
            <w:pPr>
              <w:spacing w:after="0"/>
              <w:rPr>
                <w:sz w:val="19"/>
                <w:szCs w:val="19"/>
                <w:color w:val="auto"/>
              </w:rPr>
            </w:pPr>
          </w:p>
        </w:tc>
        <w:tc>
          <w:tcPr>
            <w:tcW w:w="8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10640" w:type="dxa"/>
            <w:vAlign w:val="bottom"/>
            <w:tcBorders>
              <w:bottom w:val="single" w:sz="8" w:color="auto"/>
              <w:right w:val="single" w:sz="8" w:color="auto"/>
            </w:tcBorders>
            <w:gridSpan w:val="6"/>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10640" w:type="dxa"/>
            <w:vAlign w:val="bottom"/>
            <w:tcBorders>
              <w:bottom w:val="single" w:sz="8" w:color="auto"/>
              <w:right w:val="single" w:sz="8" w:color="auto"/>
            </w:tcBorders>
            <w:gridSpan w:val="6"/>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9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0"/>
        </w:trPr>
        <w:tc>
          <w:tcPr>
            <w:tcW w:w="11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0</w:t>
            </w:r>
          </w:p>
        </w:tc>
        <w:tc>
          <w:tcPr>
            <w:tcW w:w="8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76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color w:val="auto"/>
                <w:w w:val="84"/>
              </w:rPr>
              <w:t>Shares</w:t>
            </w:r>
          </w:p>
        </w:tc>
        <w:tc>
          <w:tcPr>
            <w:tcW w:w="3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3"/>
                <w:szCs w:val="13"/>
                <w:color w:val="auto"/>
              </w:rPr>
            </w:pPr>
          </w:p>
        </w:tc>
        <w:tc>
          <w:tcPr>
            <w:tcW w:w="94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6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auto"/>
              </w:rPr>
              <w:t>10,103,435 Class A Ordinary Shares</w:t>
            </w: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Each</w:t>
            </w:r>
          </w:p>
        </w:tc>
        <w:tc>
          <w:tcPr>
            <w:tcW w:w="3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4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6"/>
                <w:szCs w:val="6"/>
                <w:color w:val="auto"/>
              </w:rPr>
            </w:pPr>
          </w:p>
        </w:tc>
        <w:tc>
          <w:tcPr>
            <w:tcW w:w="9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44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160" w:type="dxa"/>
            <w:vAlign w:val="bottom"/>
            <w:tcBorders>
              <w:left w:val="single" w:sz="8" w:color="auto"/>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4"/>
              </w:rPr>
              <w:t>Person</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22"/>
                <w:szCs w:val="22"/>
                <w:color w:val="auto"/>
              </w:rPr>
              <w:t>0</w:t>
            </w:r>
          </w:p>
        </w:tc>
        <w:tc>
          <w:tcPr>
            <w:tcW w:w="8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Borders>
              <w:left w:val="single" w:sz="8" w:color="auto"/>
            </w:tcBorders>
          </w:tcPr>
          <w:p>
            <w:pPr>
              <w:spacing w:after="0"/>
              <w:rPr>
                <w:sz w:val="17"/>
                <w:szCs w:val="17"/>
                <w:color w:val="auto"/>
              </w:rPr>
            </w:pPr>
          </w:p>
        </w:tc>
        <w:tc>
          <w:tcPr>
            <w:tcW w:w="760" w:type="dxa"/>
            <w:vAlign w:val="bottom"/>
            <w:tcBorders>
              <w:right w:val="single" w:sz="8" w:color="auto"/>
            </w:tcBorders>
            <w:gridSpan w:val="2"/>
          </w:tcPr>
          <w:p>
            <w:pPr>
              <w:ind w:left="60"/>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9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10,103,435 Class A Ordinary Shares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22"/>
                <w:szCs w:val="22"/>
                <w:color w:val="auto"/>
              </w:rPr>
              <w:t>10,103,435 Class A Ordinary Shares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  â˜</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 xml:space="preserve">7.6% </w:t>
            </w: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6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ind w:left="222" w:right="160" w:hanging="222"/>
        <w:spacing w:after="0" w:line="259" w:lineRule="auto"/>
        <w:tabs>
          <w:tab w:leader="none" w:pos="22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percentage is calculated based on 133,101,306 ordinary shares outstanding as of March 31, 2019 (including 116,590,948 Class A Ordinary Shares and 16,510,358 Class B Ordinary Shares, which excludes 747,793 Class A Ordinary Shares issued to the depositary bank of the Issuer under reservation for future grants under the Issuerâ€™s share incentive plan, as reported by the Issuer in its annual reported on Form 20-F filed with the SEC on April 18, 2019.</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2"/>
          </w:cols>
          <w:pgMar w:left="438" w:top="188" w:right="439" w:bottom="1440" w:gutter="0" w:footer="0" w:header="0"/>
        </w:sectPr>
      </w:pPr>
    </w:p>
    <w:bookmarkStart w:id="3" w:name="page4"/>
    <w:bookmarkEnd w:id="3"/>
    <w:tbl>
      <w:tblPr>
        <w:tblLayout w:type="fixed"/>
        <w:tblInd w:w="12" w:type="dxa"/>
        <w:tblCellMar>
          <w:top w:w="0" w:type="dxa"/>
          <w:left w:w="0" w:type="dxa"/>
          <w:bottom w:w="0" w:type="dxa"/>
          <w:right w:w="0" w:type="dxa"/>
        </w:tblCellMar>
      </w:tblPr>
      <w:tr>
        <w:trPr>
          <w:trHeight w:val="230"/>
        </w:trPr>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CUSIP No.</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92763W103</w:t>
            </w:r>
          </w:p>
        </w:tc>
        <w:tc>
          <w:tcPr>
            <w:tcW w:w="4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tcBorders>
              <w:bottom w:val="single" w:sz="8" w:color="auto"/>
            </w:tcBorders>
          </w:tcPr>
          <w:p>
            <w:pPr>
              <w:spacing w:after="0"/>
              <w:rPr>
                <w:sz w:val="22"/>
                <w:szCs w:val="22"/>
                <w:color w:val="auto"/>
              </w:rPr>
            </w:pPr>
          </w:p>
        </w:tc>
        <w:tc>
          <w:tcPr>
            <w:tcW w:w="6500" w:type="dxa"/>
            <w:vAlign w:val="bottom"/>
            <w:tcBorders>
              <w:bottom w:val="single" w:sz="8" w:color="auto"/>
            </w:tcBorders>
            <w:gridSpan w:val="6"/>
          </w:tcPr>
          <w:p>
            <w:pPr>
              <w:spacing w:after="0"/>
              <w:rPr>
                <w:sz w:val="22"/>
                <w:szCs w:val="22"/>
                <w:color w:val="auto"/>
              </w:rPr>
            </w:pPr>
          </w:p>
        </w:tc>
        <w:tc>
          <w:tcPr>
            <w:tcW w:w="4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Windcreek Limited</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0" w:type="dxa"/>
            <w:vAlign w:val="bottom"/>
            <w:tcBorders>
              <w:left w:val="single" w:sz="8" w:color="auto"/>
              <w:right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2</w:t>
            </w:r>
          </w:p>
        </w:tc>
        <w:tc>
          <w:tcPr>
            <w:tcW w:w="6500" w:type="dxa"/>
            <w:vAlign w:val="bottom"/>
            <w:gridSpan w:val="6"/>
          </w:tcPr>
          <w:p>
            <w:pPr>
              <w:ind w:left="80"/>
              <w:spacing w:after="0" w:line="197" w:lineRule="exact"/>
              <w:rPr>
                <w:sz w:val="20"/>
                <w:szCs w:val="20"/>
                <w:color w:val="auto"/>
              </w:rPr>
            </w:pPr>
            <w:r>
              <w:rPr>
                <w:rFonts w:ascii="Arial" w:cs="Arial" w:eastAsia="Arial" w:hAnsi="Arial"/>
                <w:sz w:val="18"/>
                <w:szCs w:val="18"/>
                <w:color w:val="auto"/>
              </w:rPr>
              <w:t>Check the Appropriate Box if a Member of a Group</w:t>
            </w:r>
          </w:p>
        </w:tc>
        <w:tc>
          <w:tcPr>
            <w:tcW w:w="4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(a)  â˜</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5300" w:type="dxa"/>
            <w:vAlign w:val="bottom"/>
            <w:gridSpan w:val="2"/>
          </w:tcPr>
          <w:p>
            <w:pPr>
              <w:ind w:left="80"/>
              <w:spacing w:after="0"/>
              <w:rPr>
                <w:sz w:val="20"/>
                <w:szCs w:val="20"/>
                <w:color w:val="auto"/>
              </w:rPr>
            </w:pPr>
            <w:r>
              <w:rPr>
                <w:rFonts w:ascii="Arial" w:cs="Arial" w:eastAsia="Arial" w:hAnsi="Arial"/>
                <w:sz w:val="18"/>
                <w:szCs w:val="18"/>
                <w:color w:val="auto"/>
              </w:rPr>
              <w:t>â˜’</w:t>
            </w:r>
          </w:p>
        </w:tc>
        <w:tc>
          <w:tcPr>
            <w:tcW w:w="4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uto"/>
              <w:right w:val="single" w:sz="8" w:color="auto"/>
            </w:tcBorders>
          </w:tcPr>
          <w:p>
            <w:pPr>
              <w:spacing w:after="0"/>
              <w:rPr>
                <w:sz w:val="22"/>
                <w:szCs w:val="22"/>
                <w:color w:val="auto"/>
              </w:rPr>
            </w:pPr>
          </w:p>
        </w:tc>
        <w:tc>
          <w:tcPr>
            <w:tcW w:w="1200" w:type="dxa"/>
            <w:vAlign w:val="bottom"/>
            <w:tcBorders>
              <w:bottom w:val="single" w:sz="8" w:color="auto"/>
            </w:tcBorders>
            <w:gridSpan w:val="4"/>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4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0" w:type="dxa"/>
            <w:vAlign w:val="bottom"/>
            <w:gridSpan w:val="4"/>
          </w:tcPr>
          <w:p>
            <w:pPr>
              <w:ind w:left="80"/>
              <w:spacing w:after="0"/>
              <w:rPr>
                <w:sz w:val="20"/>
                <w:szCs w:val="20"/>
                <w:color w:val="auto"/>
              </w:rPr>
            </w:pPr>
            <w:r>
              <w:rPr>
                <w:rFonts w:ascii="Arial" w:cs="Arial" w:eastAsia="Arial" w:hAnsi="Arial"/>
                <w:sz w:val="18"/>
                <w:szCs w:val="18"/>
                <w:color w:val="auto"/>
                <w:w w:val="94"/>
              </w:rPr>
              <w:t>SEC Use Only</w:t>
            </w:r>
          </w:p>
        </w:tc>
        <w:tc>
          <w:tcPr>
            <w:tcW w:w="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gridSpan w:val="6"/>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w w:val="91"/>
              </w:rPr>
              <w:t>Check Box if Disclosure of Legal Proceedings Is Required Pursuant to Items 2(d) or 2(e)</w:t>
            </w: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gridSpan w:val="6"/>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British Virgin Islands</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11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0</w:t>
            </w:r>
          </w:p>
        </w:tc>
        <w:tc>
          <w:tcPr>
            <w:tcW w:w="4560" w:type="dxa"/>
            <w:vAlign w:val="bottom"/>
          </w:tcPr>
          <w:p>
            <w:pPr>
              <w:spacing w:after="0"/>
              <w:rPr>
                <w:sz w:val="24"/>
                <w:szCs w:val="24"/>
                <w:color w:val="auto"/>
              </w:rPr>
            </w:pPr>
          </w:p>
        </w:tc>
        <w:tc>
          <w:tcPr>
            <w:tcW w:w="4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76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color w:val="auto"/>
                <w:w w:val="84"/>
              </w:rPr>
              <w:t>Shares</w:t>
            </w:r>
          </w:p>
        </w:tc>
        <w:tc>
          <w:tcPr>
            <w:tcW w:w="3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300" w:type="dxa"/>
            <w:vAlign w:val="bottom"/>
            <w:tcBorders>
              <w:bottom w:val="single" w:sz="8" w:color="auto"/>
            </w:tcBorders>
            <w:gridSpan w:val="2"/>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3"/>
                <w:szCs w:val="13"/>
                <w:color w:val="auto"/>
              </w:rPr>
            </w:pPr>
          </w:p>
        </w:tc>
        <w:tc>
          <w:tcPr>
            <w:tcW w:w="5300" w:type="dxa"/>
            <w:vAlign w:val="bottom"/>
            <w:gridSpan w:val="2"/>
          </w:tcPr>
          <w:p>
            <w:pPr>
              <w:spacing w:after="0" w:line="156" w:lineRule="exact"/>
              <w:rPr>
                <w:sz w:val="20"/>
                <w:szCs w:val="20"/>
                <w:color w:val="auto"/>
              </w:rPr>
            </w:pPr>
            <w:r>
              <w:rPr>
                <w:rFonts w:ascii="Arial" w:cs="Arial" w:eastAsia="Arial" w:hAnsi="Arial"/>
                <w:sz w:val="18"/>
                <w:szCs w:val="18"/>
                <w:color w:val="auto"/>
              </w:rPr>
              <w:t>Shared Voting Power</w:t>
            </w:r>
          </w:p>
        </w:tc>
        <w:tc>
          <w:tcPr>
            <w:tcW w:w="4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6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2"/>
            <w:vMerge w:val="restart"/>
          </w:tcPr>
          <w:p>
            <w:pPr>
              <w:spacing w:after="0"/>
              <w:rPr>
                <w:sz w:val="20"/>
                <w:szCs w:val="20"/>
                <w:color w:val="auto"/>
              </w:rPr>
            </w:pPr>
            <w:r>
              <w:rPr>
                <w:rFonts w:ascii="Arial" w:cs="Arial" w:eastAsia="Arial" w:hAnsi="Arial"/>
                <w:sz w:val="22"/>
                <w:szCs w:val="22"/>
                <w:color w:val="auto"/>
              </w:rPr>
              <w:t>9,644,034 Class A Ordinary Shares</w:t>
            </w:r>
          </w:p>
        </w:tc>
        <w:tc>
          <w:tcPr>
            <w:tcW w:w="4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Each</w:t>
            </w:r>
          </w:p>
        </w:tc>
        <w:tc>
          <w:tcPr>
            <w:tcW w:w="3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gridSpan w:val="2"/>
            <w:vMerge w:val="continue"/>
          </w:tcPr>
          <w:p>
            <w:pPr>
              <w:spacing w:after="0"/>
              <w:rPr>
                <w:sz w:val="10"/>
                <w:szCs w:val="10"/>
                <w:color w:val="auto"/>
              </w:rPr>
            </w:pPr>
          </w:p>
        </w:tc>
        <w:tc>
          <w:tcPr>
            <w:tcW w:w="4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6"/>
                <w:szCs w:val="6"/>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Sole Dispositive Power</w:t>
            </w:r>
          </w:p>
        </w:tc>
        <w:tc>
          <w:tcPr>
            <w:tcW w:w="4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4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160" w:type="dxa"/>
            <w:vAlign w:val="bottom"/>
            <w:tcBorders>
              <w:left w:val="single" w:sz="8" w:color="auto"/>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560" w:type="dxa"/>
            <w:vAlign w:val="bottom"/>
          </w:tcPr>
          <w:p>
            <w:pPr>
              <w:spacing w:after="0"/>
              <w:rPr>
                <w:sz w:val="5"/>
                <w:szCs w:val="5"/>
                <w:color w:val="auto"/>
              </w:rPr>
            </w:pPr>
          </w:p>
        </w:tc>
        <w:tc>
          <w:tcPr>
            <w:tcW w:w="4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4"/>
              </w:rPr>
              <w:t>Person</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22"/>
                <w:szCs w:val="22"/>
                <w:color w:val="auto"/>
              </w:rPr>
              <w:t>0</w:t>
            </w:r>
          </w:p>
        </w:tc>
        <w:tc>
          <w:tcPr>
            <w:tcW w:w="4560" w:type="dxa"/>
            <w:vAlign w:val="bottom"/>
          </w:tcPr>
          <w:p>
            <w:pPr>
              <w:spacing w:after="0"/>
              <w:rPr>
                <w:sz w:val="18"/>
                <w:szCs w:val="18"/>
                <w:color w:val="auto"/>
              </w:rPr>
            </w:pPr>
          </w:p>
        </w:tc>
        <w:tc>
          <w:tcPr>
            <w:tcW w:w="4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Borders>
              <w:left w:val="single" w:sz="8" w:color="auto"/>
            </w:tcBorders>
          </w:tcPr>
          <w:p>
            <w:pPr>
              <w:spacing w:after="0"/>
              <w:rPr>
                <w:sz w:val="17"/>
                <w:szCs w:val="17"/>
                <w:color w:val="auto"/>
              </w:rPr>
            </w:pPr>
          </w:p>
        </w:tc>
        <w:tc>
          <w:tcPr>
            <w:tcW w:w="760" w:type="dxa"/>
            <w:vAlign w:val="bottom"/>
            <w:tcBorders>
              <w:right w:val="single" w:sz="8" w:color="auto"/>
            </w:tcBorders>
            <w:gridSpan w:val="2"/>
          </w:tcPr>
          <w:p>
            <w:pPr>
              <w:ind w:left="60"/>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9,644,034 Class A Ordinary Shares</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9,644,034 Class A Ordinary Shares</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w w:val="91"/>
              </w:rPr>
              <w:t>Check if the Aggregate Amount in Row (11) Excludes Certain Shares (See Instructions)</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3"/>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ind w:left="222" w:right="160" w:hanging="222"/>
        <w:spacing w:after="0" w:line="259" w:lineRule="auto"/>
        <w:tabs>
          <w:tab w:leader="none" w:pos="22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 is calculated based on 133,101,306 ordinary shares outstanding as of March 31, 2019 (including 116,590,948 Class A Ordinary Shares and 16,510,358 Class B Ordinary Shares, which excludes 747,793 Class A Ordinary Shares issued to the depositary bank of the Issuer under reservation for future grants under the Issuerâ€™s share incentive plan, as reported by the Issuer in its annual reported on Form 20-F filed with the SEC on April 18, 2019.</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2"/>
          </w:cols>
          <w:pgMar w:left="438" w:top="188" w:right="439" w:bottom="1440" w:gutter="0" w:footer="0" w:header="0"/>
        </w:sectPr>
      </w:pPr>
    </w:p>
    <w:bookmarkStart w:id="4" w:name="page5"/>
    <w:bookmarkEnd w:id="4"/>
    <w:tbl>
      <w:tblPr>
        <w:tblLayout w:type="fixed"/>
        <w:tblInd w:w="12" w:type="dxa"/>
        <w:tblCellMar>
          <w:top w:w="0" w:type="dxa"/>
          <w:left w:w="0" w:type="dxa"/>
          <w:bottom w:w="0" w:type="dxa"/>
          <w:right w:w="0" w:type="dxa"/>
        </w:tblCellMar>
      </w:tblPr>
      <w:tr>
        <w:trPr>
          <w:trHeight w:val="230"/>
        </w:trPr>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CUSIP No.</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92763W103</w:t>
            </w:r>
          </w:p>
        </w:tc>
        <w:tc>
          <w:tcPr>
            <w:tcW w:w="4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tcBorders>
              <w:bottom w:val="single" w:sz="8" w:color="auto"/>
            </w:tcBorders>
          </w:tcPr>
          <w:p>
            <w:pPr>
              <w:spacing w:after="0"/>
              <w:rPr>
                <w:sz w:val="22"/>
                <w:szCs w:val="22"/>
                <w:color w:val="auto"/>
              </w:rPr>
            </w:pPr>
          </w:p>
        </w:tc>
        <w:tc>
          <w:tcPr>
            <w:tcW w:w="6500" w:type="dxa"/>
            <w:vAlign w:val="bottom"/>
            <w:tcBorders>
              <w:bottom w:val="single" w:sz="8" w:color="auto"/>
            </w:tcBorders>
            <w:gridSpan w:val="6"/>
          </w:tcPr>
          <w:p>
            <w:pPr>
              <w:spacing w:after="0"/>
              <w:rPr>
                <w:sz w:val="22"/>
                <w:szCs w:val="22"/>
                <w:color w:val="auto"/>
              </w:rPr>
            </w:pPr>
          </w:p>
        </w:tc>
        <w:tc>
          <w:tcPr>
            <w:tcW w:w="4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JD.com Global Investment Limited</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0" w:type="dxa"/>
            <w:vAlign w:val="bottom"/>
            <w:tcBorders>
              <w:left w:val="single" w:sz="8" w:color="auto"/>
              <w:right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2</w:t>
            </w:r>
          </w:p>
        </w:tc>
        <w:tc>
          <w:tcPr>
            <w:tcW w:w="6500" w:type="dxa"/>
            <w:vAlign w:val="bottom"/>
            <w:gridSpan w:val="6"/>
          </w:tcPr>
          <w:p>
            <w:pPr>
              <w:ind w:left="80"/>
              <w:spacing w:after="0" w:line="197" w:lineRule="exact"/>
              <w:rPr>
                <w:sz w:val="20"/>
                <w:szCs w:val="20"/>
                <w:color w:val="auto"/>
              </w:rPr>
            </w:pPr>
            <w:r>
              <w:rPr>
                <w:rFonts w:ascii="Arial" w:cs="Arial" w:eastAsia="Arial" w:hAnsi="Arial"/>
                <w:sz w:val="18"/>
                <w:szCs w:val="18"/>
                <w:color w:val="auto"/>
              </w:rPr>
              <w:t>Check the Appropriate Box if a Member of a Group</w:t>
            </w:r>
          </w:p>
        </w:tc>
        <w:tc>
          <w:tcPr>
            <w:tcW w:w="4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(a)  â˜</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5300" w:type="dxa"/>
            <w:vAlign w:val="bottom"/>
            <w:gridSpan w:val="2"/>
          </w:tcPr>
          <w:p>
            <w:pPr>
              <w:ind w:left="80"/>
              <w:spacing w:after="0"/>
              <w:rPr>
                <w:sz w:val="20"/>
                <w:szCs w:val="20"/>
                <w:color w:val="auto"/>
              </w:rPr>
            </w:pPr>
            <w:r>
              <w:rPr>
                <w:rFonts w:ascii="Arial" w:cs="Arial" w:eastAsia="Arial" w:hAnsi="Arial"/>
                <w:sz w:val="18"/>
                <w:szCs w:val="18"/>
                <w:color w:val="auto"/>
              </w:rPr>
              <w:t>â˜’</w:t>
            </w:r>
          </w:p>
        </w:tc>
        <w:tc>
          <w:tcPr>
            <w:tcW w:w="4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uto"/>
              <w:right w:val="single" w:sz="8" w:color="auto"/>
            </w:tcBorders>
          </w:tcPr>
          <w:p>
            <w:pPr>
              <w:spacing w:after="0"/>
              <w:rPr>
                <w:sz w:val="22"/>
                <w:szCs w:val="22"/>
                <w:color w:val="auto"/>
              </w:rPr>
            </w:pPr>
          </w:p>
        </w:tc>
        <w:tc>
          <w:tcPr>
            <w:tcW w:w="1200" w:type="dxa"/>
            <w:vAlign w:val="bottom"/>
            <w:tcBorders>
              <w:bottom w:val="single" w:sz="8" w:color="auto"/>
            </w:tcBorders>
            <w:gridSpan w:val="4"/>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4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0" w:type="dxa"/>
            <w:vAlign w:val="bottom"/>
            <w:gridSpan w:val="4"/>
          </w:tcPr>
          <w:p>
            <w:pPr>
              <w:ind w:left="80"/>
              <w:spacing w:after="0"/>
              <w:rPr>
                <w:sz w:val="20"/>
                <w:szCs w:val="20"/>
                <w:color w:val="auto"/>
              </w:rPr>
            </w:pPr>
            <w:r>
              <w:rPr>
                <w:rFonts w:ascii="Arial" w:cs="Arial" w:eastAsia="Arial" w:hAnsi="Arial"/>
                <w:sz w:val="18"/>
                <w:szCs w:val="18"/>
                <w:color w:val="auto"/>
                <w:w w:val="94"/>
              </w:rPr>
              <w:t>SEC Use Only</w:t>
            </w:r>
          </w:p>
        </w:tc>
        <w:tc>
          <w:tcPr>
            <w:tcW w:w="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gridSpan w:val="6"/>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w w:val="91"/>
              </w:rPr>
              <w:t>Check Box if Disclosure of Legal Proceedings Is Required Pursuant to Items 2(d) or 2(e)</w:t>
            </w: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gridSpan w:val="6"/>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British Virgin Islands</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11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0</w:t>
            </w:r>
          </w:p>
        </w:tc>
        <w:tc>
          <w:tcPr>
            <w:tcW w:w="4560" w:type="dxa"/>
            <w:vAlign w:val="bottom"/>
          </w:tcPr>
          <w:p>
            <w:pPr>
              <w:spacing w:after="0"/>
              <w:rPr>
                <w:sz w:val="24"/>
                <w:szCs w:val="24"/>
                <w:color w:val="auto"/>
              </w:rPr>
            </w:pPr>
          </w:p>
        </w:tc>
        <w:tc>
          <w:tcPr>
            <w:tcW w:w="4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76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color w:val="auto"/>
                <w:w w:val="84"/>
              </w:rPr>
              <w:t>Shares</w:t>
            </w:r>
          </w:p>
        </w:tc>
        <w:tc>
          <w:tcPr>
            <w:tcW w:w="3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300" w:type="dxa"/>
            <w:vAlign w:val="bottom"/>
            <w:tcBorders>
              <w:bottom w:val="single" w:sz="8" w:color="auto"/>
            </w:tcBorders>
            <w:gridSpan w:val="2"/>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3"/>
                <w:szCs w:val="13"/>
                <w:color w:val="auto"/>
              </w:rPr>
            </w:pPr>
          </w:p>
        </w:tc>
        <w:tc>
          <w:tcPr>
            <w:tcW w:w="5300" w:type="dxa"/>
            <w:vAlign w:val="bottom"/>
            <w:gridSpan w:val="2"/>
          </w:tcPr>
          <w:p>
            <w:pPr>
              <w:spacing w:after="0" w:line="156" w:lineRule="exact"/>
              <w:rPr>
                <w:sz w:val="20"/>
                <w:szCs w:val="20"/>
                <w:color w:val="auto"/>
              </w:rPr>
            </w:pPr>
            <w:r>
              <w:rPr>
                <w:rFonts w:ascii="Arial" w:cs="Arial" w:eastAsia="Arial" w:hAnsi="Arial"/>
                <w:sz w:val="18"/>
                <w:szCs w:val="18"/>
                <w:color w:val="auto"/>
              </w:rPr>
              <w:t>Shared Voting Power</w:t>
            </w:r>
          </w:p>
        </w:tc>
        <w:tc>
          <w:tcPr>
            <w:tcW w:w="4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6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2"/>
            <w:vMerge w:val="restart"/>
          </w:tcPr>
          <w:p>
            <w:pPr>
              <w:spacing w:after="0"/>
              <w:rPr>
                <w:sz w:val="20"/>
                <w:szCs w:val="20"/>
                <w:color w:val="auto"/>
              </w:rPr>
            </w:pPr>
            <w:r>
              <w:rPr>
                <w:rFonts w:ascii="Arial" w:cs="Arial" w:eastAsia="Arial" w:hAnsi="Arial"/>
                <w:sz w:val="22"/>
                <w:szCs w:val="22"/>
                <w:color w:val="auto"/>
              </w:rPr>
              <w:t>459,401 Class A Ordinary Shares</w:t>
            </w:r>
          </w:p>
        </w:tc>
        <w:tc>
          <w:tcPr>
            <w:tcW w:w="4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Each</w:t>
            </w:r>
          </w:p>
        </w:tc>
        <w:tc>
          <w:tcPr>
            <w:tcW w:w="3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gridSpan w:val="2"/>
            <w:vMerge w:val="continue"/>
          </w:tcPr>
          <w:p>
            <w:pPr>
              <w:spacing w:after="0"/>
              <w:rPr>
                <w:sz w:val="10"/>
                <w:szCs w:val="10"/>
                <w:color w:val="auto"/>
              </w:rPr>
            </w:pPr>
          </w:p>
        </w:tc>
        <w:tc>
          <w:tcPr>
            <w:tcW w:w="4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6"/>
                <w:szCs w:val="6"/>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Sole Dispositive Power</w:t>
            </w:r>
          </w:p>
        </w:tc>
        <w:tc>
          <w:tcPr>
            <w:tcW w:w="4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4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160" w:type="dxa"/>
            <w:vAlign w:val="bottom"/>
            <w:tcBorders>
              <w:left w:val="single" w:sz="8" w:color="auto"/>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560" w:type="dxa"/>
            <w:vAlign w:val="bottom"/>
          </w:tcPr>
          <w:p>
            <w:pPr>
              <w:spacing w:after="0"/>
              <w:rPr>
                <w:sz w:val="5"/>
                <w:szCs w:val="5"/>
                <w:color w:val="auto"/>
              </w:rPr>
            </w:pPr>
          </w:p>
        </w:tc>
        <w:tc>
          <w:tcPr>
            <w:tcW w:w="4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4"/>
              </w:rPr>
              <w:t>Person</w:t>
            </w: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22"/>
                <w:szCs w:val="22"/>
                <w:color w:val="auto"/>
              </w:rPr>
              <w:t>0</w:t>
            </w:r>
          </w:p>
        </w:tc>
        <w:tc>
          <w:tcPr>
            <w:tcW w:w="4560" w:type="dxa"/>
            <w:vAlign w:val="bottom"/>
          </w:tcPr>
          <w:p>
            <w:pPr>
              <w:spacing w:after="0"/>
              <w:rPr>
                <w:sz w:val="18"/>
                <w:szCs w:val="18"/>
                <w:color w:val="auto"/>
              </w:rPr>
            </w:pPr>
          </w:p>
        </w:tc>
        <w:tc>
          <w:tcPr>
            <w:tcW w:w="4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Borders>
              <w:left w:val="single" w:sz="8" w:color="auto"/>
            </w:tcBorders>
          </w:tcPr>
          <w:p>
            <w:pPr>
              <w:spacing w:after="0"/>
              <w:rPr>
                <w:sz w:val="17"/>
                <w:szCs w:val="17"/>
                <w:color w:val="auto"/>
              </w:rPr>
            </w:pPr>
          </w:p>
        </w:tc>
        <w:tc>
          <w:tcPr>
            <w:tcW w:w="760" w:type="dxa"/>
            <w:vAlign w:val="bottom"/>
            <w:tcBorders>
              <w:right w:val="single" w:sz="8" w:color="auto"/>
            </w:tcBorders>
            <w:gridSpan w:val="2"/>
          </w:tcPr>
          <w:p>
            <w:pPr>
              <w:ind w:left="60"/>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459,401 Class A Ordinary Shares</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459,401 Class A Ordinary Shares</w:t>
            </w: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w w:val="91"/>
              </w:rPr>
              <w:t>Check if the Aggregate Amount in Row (11) Excludes Certain Shares (See Instructions)</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3"/>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 xml:space="preserve">0.4% </w:t>
            </w: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6500" w:type="dxa"/>
            <w:vAlign w:val="bottom"/>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ind w:left="222" w:right="160" w:hanging="222"/>
        <w:spacing w:after="0" w:line="259" w:lineRule="auto"/>
        <w:tabs>
          <w:tab w:leader="none" w:pos="22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 is calculated based on 133,101,306 ordinary shares outstanding as of March 31, 2019 (including 116,590,948 Class A Ordinary Shares and 16,510,358 Class B Ordinary Shares, which excludes 747,793 Class A Ordinary Shares issued to the depositary bank of the Issuer under reservation for future grants under the Issuerâ€™s share incentive plan, as reported by the Issuer in its annual reported on Form 20-F filed with the SEC on April 18, 2019.</w:t>
      </w:r>
    </w:p>
    <w:p>
      <w:pPr>
        <w:spacing w:after="0" w:line="11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2"/>
          </w:cols>
          <w:pgMar w:left="438" w:top="188" w:right="4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8060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This Amendment No.2 to Statement on Schedule 13D (this â€œ</w:t>
      </w:r>
      <w:r>
        <w:rPr>
          <w:rFonts w:ascii="Arial" w:cs="Arial" w:eastAsia="Arial" w:hAnsi="Arial"/>
          <w:sz w:val="16"/>
          <w:szCs w:val="16"/>
          <w:u w:val="single" w:color="auto"/>
          <w:color w:val="auto"/>
        </w:rPr>
        <w:t>Amendment No. 2</w:t>
      </w:r>
      <w:r>
        <w:rPr>
          <w:rFonts w:ascii="Arial" w:cs="Arial" w:eastAsia="Arial" w:hAnsi="Arial"/>
          <w:sz w:val="16"/>
          <w:szCs w:val="16"/>
          <w:color w:val="auto"/>
        </w:rPr>
        <w:t>â€ ) amends and supplements the Statement on Schedule 13D originally filed with the U.S. Securities and Exchange Commission (the â€œCommissionâ€ ) on January 8, 2018 and amended on June 15, 2018 (the â€œ</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,â€ together with the Amendment No. 2, the â€œ</w:t>
      </w:r>
      <w:r>
        <w:rPr>
          <w:rFonts w:ascii="Arial" w:cs="Arial" w:eastAsia="Arial" w:hAnsi="Arial"/>
          <w:sz w:val="16"/>
          <w:szCs w:val="16"/>
          <w:u w:val="single" w:color="auto"/>
          <w:color w:val="auto"/>
        </w:rPr>
        <w:t>Statement</w:t>
      </w:r>
      <w:r>
        <w:rPr>
          <w:rFonts w:ascii="Arial" w:cs="Arial" w:eastAsia="Arial" w:hAnsi="Arial"/>
          <w:sz w:val="16"/>
          <w:szCs w:val="16"/>
          <w:color w:val="auto"/>
        </w:rPr>
        <w:t>â€ ) by each of JD.com, Inc., JD.com Investment Limited and Windcreek Limited (the â€œ</w:t>
      </w:r>
      <w:r>
        <w:rPr>
          <w:rFonts w:ascii="Arial" w:cs="Arial" w:eastAsia="Arial" w:hAnsi="Arial"/>
          <w:sz w:val="16"/>
          <w:szCs w:val="16"/>
          <w:u w:val="single" w:color="auto"/>
          <w:color w:val="auto"/>
        </w:rPr>
        <w:t>Original Reporting Persons</w:t>
      </w:r>
      <w:r>
        <w:rPr>
          <w:rFonts w:ascii="Arial" w:cs="Arial" w:eastAsia="Arial" w:hAnsi="Arial"/>
          <w:sz w:val="16"/>
          <w:szCs w:val="16"/>
          <w:color w:val="auto"/>
        </w:rPr>
        <w:t>â€ ), with respect to Ordinary Shares, par value $0.0001 per share, of Vipshop Holdings Limited, a company organized under the laws of the Cayman Islands (the â€œ</w:t>
      </w:r>
      <w:r>
        <w:rPr>
          <w:rFonts w:ascii="Arial" w:cs="Arial" w:eastAsia="Arial" w:hAnsi="Arial"/>
          <w:sz w:val="16"/>
          <w:szCs w:val="16"/>
          <w:u w:val="single" w:color="auto"/>
          <w:color w:val="auto"/>
        </w:rPr>
        <w:t>Issuer</w:t>
      </w:r>
      <w:r>
        <w:rPr>
          <w:rFonts w:ascii="Arial" w:cs="Arial" w:eastAsia="Arial" w:hAnsi="Arial"/>
          <w:sz w:val="16"/>
          <w:szCs w:val="16"/>
          <w:color w:val="auto"/>
        </w:rPr>
        <w:t>â€ ), whose principal executive offices are located at No. 20 Huahai Street, Liwan District, Guangzhou 510370, The Peopleâ€™s Republic of China. JD.com Global Investment Limited (â€œ</w:t>
      </w:r>
      <w:r>
        <w:rPr>
          <w:rFonts w:ascii="Arial" w:cs="Arial" w:eastAsia="Arial" w:hAnsi="Arial"/>
          <w:sz w:val="16"/>
          <w:szCs w:val="16"/>
          <w:u w:val="single" w:color="auto"/>
          <w:color w:val="auto"/>
        </w:rPr>
        <w:t>JD Global Investment</w:t>
      </w:r>
      <w:r>
        <w:rPr>
          <w:rFonts w:ascii="Arial" w:cs="Arial" w:eastAsia="Arial" w:hAnsi="Arial"/>
          <w:sz w:val="16"/>
          <w:szCs w:val="16"/>
          <w:color w:val="auto"/>
        </w:rPr>
        <w:t>â€ , together with the Original Reporting Persons, the â€œ</w:t>
      </w:r>
      <w:r>
        <w:rPr>
          <w:rFonts w:ascii="Arial" w:cs="Arial" w:eastAsia="Arial" w:hAnsi="Arial"/>
          <w:sz w:val="16"/>
          <w:szCs w:val="16"/>
          <w:u w:val="single" w:color="auto"/>
          <w:color w:val="auto"/>
        </w:rPr>
        <w:t>Reporting Persons</w:t>
      </w:r>
      <w:r>
        <w:rPr>
          <w:rFonts w:ascii="Arial" w:cs="Arial" w:eastAsia="Arial" w:hAnsi="Arial"/>
          <w:sz w:val="16"/>
          <w:szCs w:val="16"/>
          <w:color w:val="auto"/>
        </w:rPr>
        <w:t>â€ ), an entity controlled and indirectly wholly owned by JD, also joins the Original Reporting Persons to report the Ordinary Shares it beneficially owns in the Statement from this Amendment No.2.</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Except as provided herein, this Amendment No. 2 does not modify any of the information previously reported on the Original Schedule 13D.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Amendment No. 2 have the meanings ascribed to them in the Original Schedule 13D.</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 of the Original Schedule 13D is hereby supplemented by the following:</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Since June 13, 2018, Windcreek and JD Global Investment purchased an aggregate amount of 5,916,178 ADSs, representing 1,183,236 Ordinary Shares of the Issuer, in the open market with a weighted average trading price of US$9.4264 per ADS.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of the Original Schedule 13D is hereby amended and supplemented by the following:</w:t>
      </w:r>
    </w:p>
    <w:p>
      <w:pPr>
        <w:spacing w:after="0" w:line="225"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responses of the Reporting Persons to Rows (7) through (13) of the cover pages of this Amendment No. 2 are hereby incorporated by reference in this Item 5. As of August 14, 2019, JD and JD Investment may be deemed to have beneficial ownership and shared voting power to vote or direct the vote of 10,103,435 Class A Ordinary Shares, representing 7.6% of the Issuerâ€™s outstanding Ordinary Shares.</w:t>
      </w:r>
    </w:p>
    <w:p>
      <w:pPr>
        <w:spacing w:after="0" w:line="16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As of August 14, 2019, Windcreek beneficially owned an aggregate of 9,644,034 Class A Ordinary Shares, which consisted of (i) 28,442,806 ADSs, representing 5,688,561 Class A Ordinary Shares, purchased by Windcreek in the open market, and (ii) 3,955,473 Class A Ordinary Shares issued to Windcreek by the Issuer pursuant to the Share Subscription Agreement on the Closing Date.</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As of August 14, 2019, JD Global Investment beneficially owned an aggregate of 459,401 Class A Ordinary Shares, represented by 2,297,004 ADSs it purchased in the open market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JD Investment is the sole shareholder of Windcreek and JD Global Investment. Pursuant to Section 13(d) of the Exchange Act, and the</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rules promulgated thereunder, JD Investment may be deemed to beneficially own all of the Class A Ordinary Shares of the Issuer held by Windcreek and JD Global Investment.</w:t>
      </w:r>
    </w:p>
    <w:p>
      <w:pPr>
        <w:spacing w:after="0" w:line="18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JD is the sole shareholder of JD Investment and therefore indirectly owns all the outstanding shares of Windcreek and JD Global Investment. Pursuant to Section 13(d) of the Exchange Act, and the rules promulgated thereunder, JD may be deemed to beneficially own all of the Class A Ordinary Shares of the Issuer held by Windcreek and JD Global Investment.</w:t>
      </w:r>
    </w:p>
    <w:p>
      <w:pPr>
        <w:spacing w:after="0" w:line="184"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The percentage of the class of securities identified pursuant to Item 1 beneficially owned by each of the Reporting Persons is based on 133,101,306 Ordinary Shares outstanding as of March 31, 2019 (including 116,590,948 Class A Ordinary Shares and 16,510,358 Class B Ordinary Shares, which excludes 747,793 Class A Ordinary Shares issued to the depositary bank of the Issuer under reservation for future grants under the Issuerâ€™s share incentive plan, as reported by the Issuer in its annual reported on Form 20-F filed with the SEC on April 18, 2019.</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190" w:right="459" w:bottom="1440" w:gutter="0" w:footer="0" w:header="0"/>
        </w:sectPr>
      </w:pPr>
    </w:p>
    <w:bookmarkStart w:id="6" w:name="page7"/>
    <w:bookmarkEnd w:id="6"/>
    <w:p>
      <w:pPr>
        <w:ind w:right="3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80605" cy="38735"/>
                    </a:xfrm>
                    <a:prstGeom prst="rect">
                      <a:avLst/>
                    </a:prstGeom>
                    <a:noFill/>
                  </pic:spPr>
                </pic:pic>
              </a:graphicData>
            </a:graphic>
          </wp:anchor>
        </w:drawing>
        <w:t xml:space="preserve">Except as disclosed in this Statement, none of the Reporting Persons or to the best of their knowledge, any of the persons listed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beneficially owns any Ordinary Shares of the Issuer or has the right to acquire any Ordinary Shares of the Issuer.</w:t>
      </w:r>
    </w:p>
    <w:p>
      <w:pPr>
        <w:spacing w:after="0" w:line="146"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Except as disclosed in this Statement, none of the Reporting Persons or to the best of their knowledge, any of the persons listed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presently has the power to vote or to direct the vote or to dispose or direct the disposition of any of the Ordinary Shares of the Issuer that they may be deemed to beneficially own.</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Except as disclosed in this Statement, none of the Reporting Persons or to the best of their knowledge, any of the persons listed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effected any transaction in the Ordinary Shares of the Issuer during the past 60 days.</w:t>
      </w:r>
    </w:p>
    <w:p>
      <w:pPr>
        <w:spacing w:after="0" w:line="170"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Except as disclosed in this Statement, to the best knowledge of the Reporting Persons, no other person has the right to receive or the power to direct the receipt of dividends from, or the proceeds from the sale of, the Ordinary Shares beneficially owned by the Reporting Persons.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10240" w:type="dxa"/>
            <w:vAlign w:val="bottom"/>
            <w:gridSpan w:val="3"/>
          </w:tcPr>
          <w:p>
            <w:pPr>
              <w:ind w:left="260"/>
              <w:spacing w:after="0"/>
              <w:rPr>
                <w:sz w:val="20"/>
                <w:szCs w:val="20"/>
                <w:color w:val="auto"/>
              </w:rPr>
            </w:pPr>
            <w:r>
              <w:rPr>
                <w:rFonts w:ascii="Arial" w:cs="Arial" w:eastAsia="Arial" w:hAnsi="Arial"/>
                <w:sz w:val="18"/>
                <w:szCs w:val="18"/>
                <w:b w:val="1"/>
                <w:bCs w:val="1"/>
                <w:color w:val="auto"/>
              </w:rPr>
              <w:t>Material to be Filed as Exhibits.</w:t>
            </w:r>
          </w:p>
        </w:tc>
        <w:tc>
          <w:tcPr>
            <w:tcW w:w="0" w:type="dxa"/>
            <w:vAlign w:val="bottom"/>
          </w:tcPr>
          <w:p>
            <w:pPr>
              <w:spacing w:after="0"/>
              <w:rPr>
                <w:sz w:val="1"/>
                <w:szCs w:val="1"/>
                <w:color w:val="auto"/>
              </w:rPr>
            </w:pPr>
          </w:p>
        </w:tc>
      </w:tr>
      <w:tr>
        <w:trPr>
          <w:trHeight w:val="369"/>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24"/>
                <w:szCs w:val="2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7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No.</w:t>
            </w:r>
          </w:p>
        </w:tc>
        <w:tc>
          <w:tcPr>
            <w:tcW w:w="4880" w:type="dxa"/>
            <w:vAlign w:val="bottom"/>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w w:val="91"/>
              </w:rPr>
              <w:t>Joint Filing Agreement, dated August 20, 2019, between JD.com, Inc., JD.com Investment Limited, Windcreek Limited and JD.com Global</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rPr>
              <w:t>Investment Limited.</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99.2</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w w:val="93"/>
              </w:rPr>
              <w:t>Subscription Agreement, dated December 17, 2017, by and among Vipshop Holdings Limited, Windcreek Limited, and Tencent Mobility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w w:val="92"/>
              </w:rPr>
              <w:t>English translation of Business Cooperation Agreement, dated December 17, 2017, between JD.com, Inc. and Vipshop Holdings Limited</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99.4</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w w:val="94"/>
              </w:rPr>
              <w:t>Investor Rights Agreement, dated December 29, 2017, by and among Vipshop Holdings Limited, Windcreek Limited, Tencent Mobility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rPr>
              <w:t>Limited, Mr. Eric Ya Shen, Mr. Arthur Xiaobo Hong, Elegant Motion Holdings Limited and High Vivacity Holdings Limited</w:t>
            </w: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80" w:type="dxa"/>
            <w:vAlign w:val="bottom"/>
          </w:tcPr>
          <w:p>
            <w:pPr>
              <w:ind w:left="4740"/>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194"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80605" cy="381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August 20, 2019</w:t>
      </w:r>
      <w:r>
        <w:rPr>
          <w:sz w:val="20"/>
          <w:szCs w:val="20"/>
          <w:color w:val="auto"/>
        </w:rPr>
        <w:tab/>
      </w:r>
      <w:r>
        <w:rPr>
          <w:rFonts w:ascii="Arial" w:cs="Arial" w:eastAsia="Arial" w:hAnsi="Arial"/>
          <w:sz w:val="16"/>
          <w:szCs w:val="16"/>
          <w:b w:val="1"/>
          <w:bCs w:val="1"/>
          <w:color w:val="auto"/>
        </w:rPr>
        <w:t>JD.com, Inc.</w:t>
      </w:r>
    </w:p>
    <w:p>
      <w:pPr>
        <w:spacing w:after="0" w:line="229"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Qiangdong Liu</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Richard Qiangdong Liu</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JD.com Investment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Nani Wang</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Nani Wang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Windcreek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Nani Wang</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Nani Wang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JD.com Global Investment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Nani Wang</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Nani Wang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190" w:right="439" w:bottom="1440" w:gutter="0" w:footer="0" w:header="0"/>
        </w:sectPr>
      </w:pPr>
    </w:p>
    <w:bookmarkStart w:id="8" w:name="page9"/>
    <w:bookmarkEnd w:id="8"/>
    <w:p>
      <w:pPr>
        <w:jc w:val="center"/>
        <w:ind w:right="-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SCHEDULE A</w:t>
      </w: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Directors and Executive Officers of JD</w:t>
      </w:r>
    </w:p>
    <w:p>
      <w:pPr>
        <w:spacing w:after="0" w:line="229" w:lineRule="exact"/>
        <w:rPr>
          <w:sz w:val="20"/>
          <w:szCs w:val="20"/>
          <w:color w:val="auto"/>
        </w:rPr>
      </w:pPr>
    </w:p>
    <w:p>
      <w:pPr>
        <w:ind w:left="2" w:right="180" w:firstLine="440"/>
        <w:spacing w:after="0" w:line="259" w:lineRule="auto"/>
        <w:rPr>
          <w:sz w:val="20"/>
          <w:szCs w:val="20"/>
          <w:color w:val="auto"/>
        </w:rPr>
      </w:pPr>
      <w:r>
        <w:rPr>
          <w:rFonts w:ascii="Arial" w:cs="Arial" w:eastAsia="Arial" w:hAnsi="Arial"/>
          <w:sz w:val="18"/>
          <w:szCs w:val="18"/>
          <w:color w:val="auto"/>
        </w:rPr>
        <w:t>The names of the directors and the names and titles of the executive officers of JD and their principal occupations are set forth below. Except for Mr. Martin Chiping Lau, Mr. Ming Huang, Mr. Louis T. Hsieh and Mr. Dingbo Xu, the business address of the directors and executive officers is c/o JD.com, Inc., 20th Floor, Building A, No. 18 Kechuang 11 Street Yizhuang Economic and Technological Development Zone, Daxing District, Beijing 101111, The Peopleâ€™s Republic of China.</w:t>
      </w:r>
    </w:p>
    <w:p>
      <w:pPr>
        <w:spacing w:after="0" w:line="193"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Present Principal</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8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Position with JD</w:t>
            </w:r>
          </w:p>
        </w:tc>
        <w:tc>
          <w:tcPr>
            <w:tcW w:w="20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Citizenship</w:t>
            </w:r>
          </w:p>
        </w:tc>
        <w:tc>
          <w:tcPr>
            <w:tcW w:w="7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Occupation</w:t>
            </w:r>
          </w:p>
        </w:tc>
        <w:tc>
          <w:tcPr>
            <w:tcW w:w="2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89"/>
        </w:trPr>
        <w:tc>
          <w:tcPr>
            <w:tcW w:w="2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w:t>
            </w:r>
          </w:p>
        </w:tc>
        <w:tc>
          <w:tcPr>
            <w:tcW w:w="74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Richard Qiangdong Liu</w:t>
            </w:r>
          </w:p>
        </w:tc>
        <w:tc>
          <w:tcPr>
            <w:tcW w:w="328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Chairman of the Board of</w:t>
            </w:r>
          </w:p>
        </w:tc>
        <w:tc>
          <w:tcPr>
            <w:tcW w:w="2680" w:type="dxa"/>
            <w:vAlign w:val="bottom"/>
            <w:gridSpan w:val="2"/>
          </w:tcPr>
          <w:p>
            <w:pPr>
              <w:ind w:left="200"/>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P.R. China</w:t>
            </w:r>
          </w:p>
        </w:tc>
        <w:tc>
          <w:tcPr>
            <w:tcW w:w="7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gridSpan w:val="2"/>
          </w:tcPr>
          <w:p>
            <w:pPr>
              <w:ind w:left="740"/>
              <w:spacing w:after="0"/>
              <w:rPr>
                <w:sz w:val="20"/>
                <w:szCs w:val="20"/>
                <w:color w:val="auto"/>
              </w:rPr>
            </w:pPr>
            <w:r>
              <w:rPr>
                <w:rFonts w:ascii="Arial" w:cs="Arial" w:eastAsia="Arial" w:hAnsi="Arial"/>
                <w:sz w:val="18"/>
                <w:szCs w:val="18"/>
                <w:color w:val="auto"/>
              </w:rPr>
              <w:t>Directors</w:t>
            </w: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Martin Chiping Lau</w:t>
            </w:r>
            <w:r>
              <w:rPr>
                <w:rFonts w:ascii="Arial" w:cs="Arial" w:eastAsia="Arial" w:hAnsi="Arial"/>
                <w:sz w:val="15"/>
                <w:szCs w:val="15"/>
                <w:color w:val="auto"/>
              </w:rPr>
              <w:t>(1)</w:t>
            </w:r>
          </w:p>
        </w:tc>
        <w:tc>
          <w:tcPr>
            <w:tcW w:w="3280" w:type="dxa"/>
            <w:vAlign w:val="bottom"/>
            <w:gridSpan w:val="2"/>
            <w:shd w:val="clear" w:color="auto" w:fill="CCEEFF"/>
          </w:tcPr>
          <w:p>
            <w:pPr>
              <w:ind w:left="740"/>
              <w:spacing w:after="0" w:line="201" w:lineRule="exact"/>
              <w:rPr>
                <w:sz w:val="20"/>
                <w:szCs w:val="20"/>
                <w:color w:val="auto"/>
              </w:rPr>
            </w:pPr>
            <w:r>
              <w:rPr>
                <w:rFonts w:ascii="Arial" w:cs="Arial" w:eastAsia="Arial" w:hAnsi="Arial"/>
                <w:sz w:val="18"/>
                <w:szCs w:val="18"/>
                <w:color w:val="auto"/>
              </w:rPr>
              <w:t>Director</w:t>
            </w:r>
          </w:p>
        </w:tc>
        <w:tc>
          <w:tcPr>
            <w:tcW w:w="26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President and executive director</w:t>
            </w:r>
          </w:p>
        </w:tc>
        <w:tc>
          <w:tcPr>
            <w:tcW w:w="184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P.R. China (Hong</w:t>
            </w:r>
          </w:p>
        </w:tc>
        <w:tc>
          <w:tcPr>
            <w:tcW w:w="7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Tencent Holdings Limited</w:t>
            </w:r>
          </w:p>
        </w:tc>
        <w:tc>
          <w:tcPr>
            <w:tcW w:w="1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Kong SAR)</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Ming Huang</w:t>
            </w:r>
            <w:r>
              <w:rPr>
                <w:rFonts w:ascii="Arial" w:cs="Arial" w:eastAsia="Arial" w:hAnsi="Arial"/>
                <w:sz w:val="15"/>
                <w:szCs w:val="15"/>
                <w:color w:val="auto"/>
              </w:rPr>
              <w:t>(2)</w:t>
            </w:r>
          </w:p>
        </w:tc>
        <w:tc>
          <w:tcPr>
            <w:tcW w:w="328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Independent Director</w:t>
            </w:r>
          </w:p>
        </w:tc>
        <w:tc>
          <w:tcPr>
            <w:tcW w:w="26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Professor of finance at</w:t>
            </w:r>
          </w:p>
        </w:tc>
        <w:tc>
          <w:tcPr>
            <w:tcW w:w="18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China Europe International</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Business School</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Louis T. Hsieh</w:t>
            </w:r>
            <w:r>
              <w:rPr>
                <w:rFonts w:ascii="Arial" w:cs="Arial" w:eastAsia="Arial" w:hAnsi="Arial"/>
                <w:sz w:val="15"/>
                <w:szCs w:val="15"/>
                <w:color w:val="auto"/>
              </w:rPr>
              <w:t>(3)</w:t>
            </w:r>
          </w:p>
        </w:tc>
        <w:tc>
          <w:tcPr>
            <w:tcW w:w="3280" w:type="dxa"/>
            <w:vAlign w:val="bottom"/>
            <w:gridSpan w:val="2"/>
            <w:shd w:val="clear" w:color="auto" w:fill="CCEEFF"/>
          </w:tcPr>
          <w:p>
            <w:pPr>
              <w:ind w:left="740"/>
              <w:spacing w:after="0" w:line="201" w:lineRule="exact"/>
              <w:rPr>
                <w:sz w:val="20"/>
                <w:szCs w:val="20"/>
                <w:color w:val="auto"/>
              </w:rPr>
            </w:pPr>
            <w:r>
              <w:rPr>
                <w:rFonts w:ascii="Arial" w:cs="Arial" w:eastAsia="Arial" w:hAnsi="Arial"/>
                <w:sz w:val="18"/>
                <w:szCs w:val="18"/>
                <w:color w:val="auto"/>
              </w:rPr>
              <w:t>Independent Director</w:t>
            </w:r>
          </w:p>
        </w:tc>
        <w:tc>
          <w:tcPr>
            <w:tcW w:w="26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Chief financial officer, Nio, Inc.</w:t>
            </w:r>
          </w:p>
        </w:tc>
        <w:tc>
          <w:tcPr>
            <w:tcW w:w="184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director of New Oriental</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Education &amp; Technology</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Group Inc.</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Dingbo Xu</w:t>
            </w:r>
            <w:r>
              <w:rPr>
                <w:rFonts w:ascii="Arial" w:cs="Arial" w:eastAsia="Arial" w:hAnsi="Arial"/>
                <w:sz w:val="15"/>
                <w:szCs w:val="15"/>
                <w:color w:val="auto"/>
              </w:rPr>
              <w:t>4)</w:t>
            </w:r>
          </w:p>
        </w:tc>
        <w:tc>
          <w:tcPr>
            <w:tcW w:w="328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Independent Director</w:t>
            </w:r>
          </w:p>
        </w:tc>
        <w:tc>
          <w:tcPr>
            <w:tcW w:w="26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Essilor Chair Professor in</w:t>
            </w:r>
          </w:p>
        </w:tc>
        <w:tc>
          <w:tcPr>
            <w:tcW w:w="18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P.R. China</w:t>
            </w:r>
          </w:p>
        </w:tc>
        <w:tc>
          <w:tcPr>
            <w:tcW w:w="7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w w:val="89"/>
              </w:rPr>
              <w:t>Accounting and an associate dean</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at China Europe International</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Business School in Shanghai</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7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Richard Qiangdong Liu</w:t>
            </w:r>
          </w:p>
        </w:tc>
        <w:tc>
          <w:tcPr>
            <w:tcW w:w="3280" w:type="dxa"/>
            <w:vAlign w:val="bottom"/>
            <w:gridSpan w:val="2"/>
          </w:tcPr>
          <w:p>
            <w:pPr>
              <w:ind w:left="740"/>
              <w:spacing w:after="0"/>
              <w:rPr>
                <w:sz w:val="20"/>
                <w:szCs w:val="20"/>
                <w:color w:val="auto"/>
              </w:rPr>
            </w:pPr>
            <w:r>
              <w:rPr>
                <w:rFonts w:ascii="Arial" w:cs="Arial" w:eastAsia="Arial" w:hAnsi="Arial"/>
                <w:sz w:val="18"/>
                <w:szCs w:val="18"/>
                <w:color w:val="auto"/>
              </w:rPr>
              <w:t>Chief Executive Officer</w:t>
            </w:r>
          </w:p>
        </w:tc>
        <w:tc>
          <w:tcPr>
            <w:tcW w:w="268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P.R. China</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Lei Xu</w:t>
            </w:r>
          </w:p>
        </w:tc>
        <w:tc>
          <w:tcPr>
            <w:tcW w:w="3280" w:type="dxa"/>
            <w:vAlign w:val="bottom"/>
            <w:gridSpan w:val="2"/>
            <w:shd w:val="clear" w:color="auto" w:fill="CCEEFF"/>
          </w:tcPr>
          <w:p>
            <w:pPr>
              <w:ind w:left="740"/>
              <w:spacing w:after="0" w:line="201" w:lineRule="exact"/>
              <w:rPr>
                <w:sz w:val="20"/>
                <w:szCs w:val="20"/>
                <w:color w:val="auto"/>
              </w:rPr>
            </w:pPr>
            <w:r>
              <w:rPr>
                <w:rFonts w:ascii="Arial" w:cs="Arial" w:eastAsia="Arial" w:hAnsi="Arial"/>
                <w:sz w:val="18"/>
                <w:szCs w:val="18"/>
                <w:color w:val="auto"/>
              </w:rPr>
              <w:t>Chief Executive Officer of JD</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84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P.R. China</w:t>
            </w:r>
          </w:p>
        </w:tc>
        <w:tc>
          <w:tcPr>
            <w:tcW w:w="7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Zhenhui Wang</w:t>
            </w:r>
          </w:p>
        </w:tc>
        <w:tc>
          <w:tcPr>
            <w:tcW w:w="328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Chief Executive Officer of JD</w:t>
            </w:r>
          </w:p>
        </w:tc>
        <w:tc>
          <w:tcPr>
            <w:tcW w:w="268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18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P.R. China</w:t>
            </w:r>
          </w:p>
        </w:tc>
        <w:tc>
          <w:tcPr>
            <w:tcW w:w="7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gridSpan w:val="2"/>
          </w:tcPr>
          <w:p>
            <w:pPr>
              <w:ind w:left="740"/>
              <w:spacing w:after="0"/>
              <w:rPr>
                <w:sz w:val="20"/>
                <w:szCs w:val="20"/>
                <w:color w:val="auto"/>
              </w:rPr>
            </w:pPr>
            <w:r>
              <w:rPr>
                <w:rFonts w:ascii="Arial" w:cs="Arial" w:eastAsia="Arial" w:hAnsi="Arial"/>
                <w:sz w:val="18"/>
                <w:szCs w:val="18"/>
                <w:color w:val="auto"/>
              </w:rPr>
              <w:t>Logistics</w:t>
            </w: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Sidney Xuande Huang</w:t>
            </w:r>
          </w:p>
        </w:tc>
        <w:tc>
          <w:tcPr>
            <w:tcW w:w="32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Chief Financial Officer</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Yayun Li</w:t>
            </w:r>
          </w:p>
        </w:tc>
        <w:tc>
          <w:tcPr>
            <w:tcW w:w="3280" w:type="dxa"/>
            <w:vAlign w:val="bottom"/>
            <w:gridSpan w:val="2"/>
          </w:tcPr>
          <w:p>
            <w:pPr>
              <w:ind w:left="740"/>
              <w:spacing w:after="0"/>
              <w:rPr>
                <w:sz w:val="20"/>
                <w:szCs w:val="20"/>
                <w:color w:val="auto"/>
              </w:rPr>
            </w:pPr>
            <w:r>
              <w:rPr>
                <w:rFonts w:ascii="Arial" w:cs="Arial" w:eastAsia="Arial" w:hAnsi="Arial"/>
                <w:sz w:val="18"/>
                <w:szCs w:val="18"/>
                <w:color w:val="auto"/>
              </w:rPr>
              <w:t>Chief Compliance Officer</w:t>
            </w:r>
          </w:p>
        </w:tc>
        <w:tc>
          <w:tcPr>
            <w:tcW w:w="268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P.R. China</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42" w:hanging="442"/>
        <w:spacing w:after="0"/>
        <w:tabs>
          <w:tab w:leader="none" w:pos="44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occupation is the same as his/her position with JD.</w:t>
      </w:r>
    </w:p>
    <w:p>
      <w:pPr>
        <w:spacing w:after="0" w:line="23" w:lineRule="exact"/>
        <w:rPr>
          <w:sz w:val="20"/>
          <w:szCs w:val="20"/>
          <w:color w:val="auto"/>
        </w:rPr>
      </w:pPr>
    </w:p>
    <w:p>
      <w:pPr>
        <w:ind w:left="442" w:right="520" w:hanging="442"/>
        <w:spacing w:after="0" w:line="250" w:lineRule="auto"/>
        <w:tabs>
          <w:tab w:leader="none" w:pos="44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Mr. Martin Chiping Lau is 39/F, Tencent Building, Kejizhongyi Avenue, Hi-Tech Park, Nanshan District, Shenzhen 518057, P.R. China.</w:t>
      </w:r>
    </w:p>
    <w:p>
      <w:pPr>
        <w:ind w:left="442" w:right="580" w:hanging="442"/>
        <w:spacing w:after="0" w:line="250" w:lineRule="auto"/>
        <w:tabs>
          <w:tab w:leader="none" w:pos="44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Prof. Ming Huang is China Europe International Business School, 699 Hongfeng Road, Pudong District, Shanghai 201206, China.</w:t>
      </w:r>
    </w:p>
    <w:p>
      <w:pPr>
        <w:ind w:left="442" w:hanging="442"/>
        <w:spacing w:after="0"/>
        <w:tabs>
          <w:tab w:leader="none" w:pos="44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Mr. Louis T. Hsieh is No.6 Hai Dian Zhong Street, Haidian District, Beijing 100080, , P.R. China.</w:t>
      </w:r>
    </w:p>
    <w:p>
      <w:pPr>
        <w:spacing w:after="0" w:line="9" w:lineRule="exact"/>
        <w:rPr>
          <w:rFonts w:ascii="Arial" w:cs="Arial" w:eastAsia="Arial" w:hAnsi="Arial"/>
          <w:sz w:val="18"/>
          <w:szCs w:val="18"/>
          <w:color w:val="auto"/>
        </w:rPr>
      </w:pPr>
    </w:p>
    <w:p>
      <w:pPr>
        <w:ind w:left="442" w:right="60" w:hanging="442"/>
        <w:spacing w:after="0" w:line="260" w:lineRule="auto"/>
        <w:tabs>
          <w:tab w:leader="none" w:pos="44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Prof. Dingbo Xu is China Europe International Business School, 699 Hongfeng Road, Pudong District, Shanghai 201206, China.</w:t>
      </w:r>
    </w:p>
    <w:p>
      <w:pPr>
        <w:spacing w:after="0" w:line="11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2"/>
          </w:cols>
          <w:pgMar w:left="438" w:top="190"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80605" cy="38100"/>
                    </a:xfrm>
                    <a:prstGeom prst="rect">
                      <a:avLst/>
                    </a:prstGeom>
                    <a:noFill/>
                  </pic:spPr>
                </pic:pic>
              </a:graphicData>
            </a:graphic>
          </wp:anchor>
        </w:drawing>
        <w:t>Directors and Executive Officers of JD Investment</w:t>
      </w:r>
    </w:p>
    <w:p>
      <w:pPr>
        <w:spacing w:after="0" w:line="229"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names of the directors and the names and titles of the executive officers of JD Investment and their principal occupations are set forth below. The business address of each of the directors and executive officers is c/o JD.com, Inc., 20th Floor, Building A, No. 18 Kechuang 11 Street Yizhuang Economic and Technological Development Zone Daxing District, Beijing 101111, The Peopleâ€™s Republic of China.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Position with JD</w:t>
            </w: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Present Principal</w:t>
            </w: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4"/>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20" w:type="dxa"/>
            <w:vAlign w:val="bottom"/>
            <w:gridSpan w:val="2"/>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7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Citizenship</w:t>
            </w:r>
          </w:p>
        </w:tc>
        <w:tc>
          <w:tcPr>
            <w:tcW w:w="7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5"/>
        </w:trPr>
        <w:tc>
          <w:tcPr>
            <w:tcW w:w="1780" w:type="dxa"/>
            <w:vAlign w:val="bottom"/>
            <w:gridSpan w:val="2"/>
            <w:vMerge w:val="continue"/>
          </w:tcPr>
          <w:p>
            <w:pPr>
              <w:spacing w:after="0"/>
              <w:rPr>
                <w:sz w:val="15"/>
                <w:szCs w:val="15"/>
                <w:color w:val="auto"/>
              </w:rPr>
            </w:pPr>
          </w:p>
        </w:tc>
        <w:tc>
          <w:tcPr>
            <w:tcW w:w="3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2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Occupation</w:t>
            </w:r>
          </w:p>
        </w:tc>
        <w:tc>
          <w:tcPr>
            <w:tcW w:w="2700" w:type="dxa"/>
            <w:vAlign w:val="bottom"/>
            <w:gridSpan w:val="2"/>
            <w:vMerge w:val="continue"/>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Nani Wang</w:t>
            </w:r>
          </w:p>
        </w:tc>
        <w:tc>
          <w:tcPr>
            <w:tcW w:w="3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40" w:type="dxa"/>
            <w:vAlign w:val="bottom"/>
            <w:gridSpan w:val="2"/>
          </w:tcPr>
          <w:p>
            <w:pPr>
              <w:spacing w:after="0"/>
              <w:rPr>
                <w:sz w:val="20"/>
                <w:szCs w:val="20"/>
                <w:color w:val="auto"/>
              </w:rPr>
            </w:pPr>
            <w:r>
              <w:rPr>
                <w:rFonts w:ascii="Arial" w:cs="Arial" w:eastAsia="Arial" w:hAnsi="Arial"/>
                <w:sz w:val="18"/>
                <w:szCs w:val="18"/>
                <w:color w:val="auto"/>
              </w:rPr>
              <w:t>Employee of JD</w:t>
            </w:r>
          </w:p>
        </w:tc>
        <w:tc>
          <w:tcPr>
            <w:tcW w:w="2700" w:type="dxa"/>
            <w:vAlign w:val="bottom"/>
            <w:gridSpan w:val="2"/>
          </w:tcPr>
          <w:p>
            <w:pPr>
              <w:spacing w:after="0"/>
              <w:rPr>
                <w:sz w:val="20"/>
                <w:szCs w:val="20"/>
                <w:color w:val="auto"/>
              </w:rPr>
            </w:pPr>
            <w:r>
              <w:rPr>
                <w:rFonts w:ascii="Arial" w:cs="Arial" w:eastAsia="Arial" w:hAnsi="Arial"/>
                <w:sz w:val="18"/>
                <w:szCs w:val="18"/>
                <w:color w:val="auto"/>
              </w:rPr>
              <w:t>P.R. China</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N/A</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Windcreek</w:t>
      </w:r>
    </w:p>
    <w:p>
      <w:pPr>
        <w:spacing w:after="0" w:line="229"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The names of the directors and the names and titles of the executive officers of Windcreek and their principal occupations are set forth below. The business address of each of the directors and executive officers is c/o JD.com, Inc., 20th Floor, Building A, No. 18 Kechuang 11 Street Yizhuang Economic and Technological Development Zone Daxing District, Beijing 101111, The Peopleâ€™s Republic of China.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with</w:t>
            </w:r>
          </w:p>
        </w:tc>
        <w:tc>
          <w:tcPr>
            <w:tcW w:w="220" w:type="dxa"/>
            <w:vAlign w:val="bottom"/>
          </w:tcPr>
          <w:p>
            <w:pPr>
              <w:spacing w:after="0"/>
              <w:rPr>
                <w:sz w:val="14"/>
                <w:szCs w:val="14"/>
                <w:color w:val="auto"/>
              </w:rPr>
            </w:pP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Present Principal</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4"/>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Citizenship</w:t>
            </w:r>
          </w:p>
        </w:tc>
        <w:tc>
          <w:tcPr>
            <w:tcW w:w="7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5"/>
        </w:trPr>
        <w:tc>
          <w:tcPr>
            <w:tcW w:w="1780" w:type="dxa"/>
            <w:vAlign w:val="bottom"/>
            <w:gridSpan w:val="2"/>
            <w:vMerge w:val="continue"/>
          </w:tcPr>
          <w:p>
            <w:pPr>
              <w:spacing w:after="0"/>
              <w:rPr>
                <w:sz w:val="15"/>
                <w:szCs w:val="15"/>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5"/>
              </w:rPr>
              <w:t>Windcreek</w:t>
            </w:r>
          </w:p>
        </w:tc>
        <w:tc>
          <w:tcPr>
            <w:tcW w:w="2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0"/>
              </w:rPr>
              <w:t>Occupation</w:t>
            </w:r>
          </w:p>
        </w:tc>
        <w:tc>
          <w:tcPr>
            <w:tcW w:w="220" w:type="dxa"/>
            <w:vAlign w:val="bottom"/>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Nani Wang</w:t>
            </w:r>
          </w:p>
        </w:tc>
        <w:tc>
          <w:tcPr>
            <w:tcW w:w="2800" w:type="dxa"/>
            <w:vAlign w:val="bottom"/>
          </w:tcPr>
          <w:p>
            <w:pPr>
              <w:spacing w:after="0"/>
              <w:rPr>
                <w:sz w:val="20"/>
                <w:szCs w:val="20"/>
                <w:color w:val="auto"/>
              </w:rPr>
            </w:pPr>
            <w:r>
              <w:rPr>
                <w:rFonts w:ascii="Arial" w:cs="Arial" w:eastAsia="Arial" w:hAnsi="Arial"/>
                <w:sz w:val="18"/>
                <w:szCs w:val="18"/>
                <w:color w:val="auto"/>
              </w:rPr>
              <w:t>Director</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Employee of JD</w:t>
            </w: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P.R. China</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N/A</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JD Global Investment</w:t>
      </w:r>
    </w:p>
    <w:p>
      <w:pPr>
        <w:spacing w:after="0" w:line="229"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names of the directors and the names and titles of the executive officers of JD Global Investment and their principal occupations are set forth below. The business address of each of the directors and executive officers is c/o JD.com, Inc., 20th Floor, Building A, No. 18 Kechuang 11 Street Yizhuang Economic and Technological Development Zone Daxing District, Beijing 101111, The Peopleâ€™s Republic of China.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with</w:t>
            </w:r>
          </w:p>
        </w:tc>
        <w:tc>
          <w:tcPr>
            <w:tcW w:w="220" w:type="dxa"/>
            <w:vAlign w:val="bottom"/>
          </w:tcPr>
          <w:p>
            <w:pPr>
              <w:spacing w:after="0"/>
              <w:rPr>
                <w:sz w:val="14"/>
                <w:szCs w:val="14"/>
                <w:color w:val="auto"/>
              </w:rPr>
            </w:pP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Present Principal</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4"/>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Citizenship</w:t>
            </w:r>
          </w:p>
        </w:tc>
        <w:tc>
          <w:tcPr>
            <w:tcW w:w="7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5"/>
        </w:trPr>
        <w:tc>
          <w:tcPr>
            <w:tcW w:w="1780" w:type="dxa"/>
            <w:vAlign w:val="bottom"/>
            <w:gridSpan w:val="2"/>
            <w:vMerge w:val="continue"/>
          </w:tcPr>
          <w:p>
            <w:pPr>
              <w:spacing w:after="0"/>
              <w:rPr>
                <w:sz w:val="15"/>
                <w:szCs w:val="15"/>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5"/>
              </w:rPr>
              <w:t>Windcreek</w:t>
            </w:r>
          </w:p>
        </w:tc>
        <w:tc>
          <w:tcPr>
            <w:tcW w:w="2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0"/>
              </w:rPr>
              <w:t>Occupation</w:t>
            </w:r>
          </w:p>
        </w:tc>
        <w:tc>
          <w:tcPr>
            <w:tcW w:w="220" w:type="dxa"/>
            <w:vAlign w:val="bottom"/>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Nani Wang</w:t>
            </w:r>
          </w:p>
        </w:tc>
        <w:tc>
          <w:tcPr>
            <w:tcW w:w="2800" w:type="dxa"/>
            <w:vAlign w:val="bottom"/>
          </w:tcPr>
          <w:p>
            <w:pPr>
              <w:spacing w:after="0"/>
              <w:rPr>
                <w:sz w:val="20"/>
                <w:szCs w:val="20"/>
                <w:color w:val="auto"/>
              </w:rPr>
            </w:pPr>
            <w:r>
              <w:rPr>
                <w:rFonts w:ascii="Arial" w:cs="Arial" w:eastAsia="Arial" w:hAnsi="Arial"/>
                <w:sz w:val="18"/>
                <w:szCs w:val="18"/>
                <w:color w:val="auto"/>
              </w:rPr>
              <w:t>Director</w:t>
            </w:r>
          </w:p>
        </w:tc>
        <w:tc>
          <w:tcPr>
            <w:tcW w:w="2720" w:type="dxa"/>
            <w:vAlign w:val="bottom"/>
            <w:gridSpan w:val="2"/>
          </w:tcPr>
          <w:p>
            <w:pPr>
              <w:jc w:val="right"/>
              <w:ind w:right="1268"/>
              <w:spacing w:after="0"/>
              <w:rPr>
                <w:sz w:val="20"/>
                <w:szCs w:val="20"/>
                <w:color w:val="auto"/>
              </w:rPr>
            </w:pPr>
            <w:r>
              <w:rPr>
                <w:rFonts w:ascii="Arial" w:cs="Arial" w:eastAsia="Arial" w:hAnsi="Arial"/>
                <w:sz w:val="18"/>
                <w:szCs w:val="18"/>
                <w:color w:val="auto"/>
              </w:rPr>
              <w:t>Employee of JD</w:t>
            </w: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P.R. China</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â€”</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N/A</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2"/>
          </w:tcPr>
          <w:p>
            <w:pPr>
              <w:jc w:val="right"/>
              <w:ind w:right="1628"/>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0"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Vipshop Holdings Limited, a Cayman Islands company, and that this Agreement may be included as an Exhibit to such joint filing. This Agreement may be executed in any number of counterparts, all of which taken together shall constitute one and the same instrument.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41" w:right="439" w:bottom="1440" w:gutter="0" w:footer="0" w:header="0"/>
        </w:sectPr>
      </w:pPr>
    </w:p>
    <w:bookmarkStart w:id="11" w:name="page12"/>
    <w:bookmarkEnd w:id="11"/>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Signature Page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as of August 20, 2019.</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JD.com,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Qiangdong Liu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Richard Qiangdong Liu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4"/>
              </w:rPr>
              <w:t>Chairman of the Board and 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JD.com Investment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Nani Wang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Nani Wang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Windcreek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Nani Wang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Nani Wang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JD.com Global Investment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Nani Wang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Nani Wang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sectPr>
      <w:pgSz w:w="11900" w:h="16838" w:orient="portrait"/>
      <w:cols w:equalWidth="0" w:num="1">
        <w:col w:w="10580"/>
      </w:cols>
      <w:pgMar w:left="880" w:top="1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2019-11-25T19:56:03Z</dcterms:created>
  <dcterms:modified xsi:type="dcterms:W3CDTF">2019-11-25T19:56:03Z</dcterms:modified>
</cp:coreProperties>
</file>