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Liu Chun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B, POSCO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HONGTAI EAST STREET,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CHAOYANG DISTRICT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BEIJING</w:t>
      </w:r>
      <w:r>
        <w:rPr>
          <w:sz w:val="20"/>
          <w:szCs w:val="20"/>
          <w:color w:val="auto"/>
        </w:rPr>
        <w:tab/>
      </w:r>
      <w:r>
        <w:rPr>
          <w:rFonts w:ascii="Times New Roman" w:cs="Times New Roman" w:eastAsia="Times New Roman" w:hAnsi="Times New Roman"/>
          <w:sz w:val="18"/>
          <w:szCs w:val="18"/>
          <w:color w:val="0000FF"/>
        </w:rPr>
        <w:t>100102</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2,131</w:t>
            </w:r>
          </w:p>
        </w:tc>
        <w:tc>
          <w:tcPr>
            <w:tcW w:w="72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4,307</w:t>
            </w: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10,113</w:t>
            </w: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0000FF"/>
                <w:w w:val="89"/>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3"/>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01/01/2028</w:t>
            </w:r>
          </w:p>
        </w:tc>
        <w:tc>
          <w:tcPr>
            <w:tcW w:w="17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w w:val="90"/>
              </w:rPr>
              <w:t>10,000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0.5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4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shares</w:t>
            </w: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4,307 Class A ordinary shares issuable upon vesting of the underlying restricted share awards that remain outstanding as of the date hereof. The underlying restricted share awards were granted by the Issuer on April 1, 2024. The remaining restricted share awards will vest in equal installments on a quarterly basis until April 1, 2028, subject to the terms and conditions of the underlying award agreement.</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directly held by Big Dream Investments Limited, a controlled corporation of the reporting person.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granted have been fully vested and exercisable as of the date hereof.</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Chun Liu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2323"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2026-03-18T17:07:55Z</dcterms:created>
  <dcterms:modified xsi:type="dcterms:W3CDTF">2026-03-18T17:07:55Z</dcterms:modified>
</cp:coreProperties>
</file>