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04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047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Yang Donghao</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Vipshop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VIPS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FLOOR 39, POLY DEVELOPMENT PLAZA</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NO. 832 YUE JIANG ZHONG</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ROAD</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260" w:val="left"/>
        </w:tabs>
        <w:rPr>
          <w:sz w:val="20"/>
          <w:szCs w:val="20"/>
          <w:color w:val="auto"/>
        </w:rPr>
      </w:pPr>
      <w:r>
        <w:rPr>
          <w:rFonts w:ascii="Times New Roman" w:cs="Times New Roman" w:eastAsia="Times New Roman" w:hAnsi="Times New Roman"/>
          <w:sz w:val="20"/>
          <w:szCs w:val="20"/>
          <w:color w:val="0000FF"/>
        </w:rPr>
        <w:t>GUANGZHOU</w:t>
      </w:r>
      <w:r>
        <w:rPr>
          <w:sz w:val="20"/>
          <w:szCs w:val="20"/>
          <w:color w:val="auto"/>
        </w:rPr>
        <w:tab/>
      </w:r>
      <w:r>
        <w:rPr>
          <w:rFonts w:ascii="Times New Roman" w:cs="Times New Roman" w:eastAsia="Times New Roman" w:hAnsi="Times New Roman"/>
          <w:sz w:val="20"/>
          <w:szCs w:val="20"/>
          <w:color w:val="0000FF"/>
        </w:rPr>
        <w:t>510335</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00" w:type="dxa"/>
            <w:vAlign w:val="bottom"/>
          </w:tcPr>
          <w:p>
            <w:pPr>
              <w:jc w:val="center"/>
              <w:ind w:left="95"/>
              <w:spacing w:after="0"/>
              <w:rPr>
                <w:sz w:val="20"/>
                <w:szCs w:val="20"/>
                <w:color w:val="auto"/>
              </w:rPr>
            </w:pPr>
            <w:r>
              <w:rPr>
                <w:rFonts w:ascii="Times New Roman" w:cs="Times New Roman" w:eastAsia="Times New Roman" w:hAnsi="Times New Roman"/>
                <w:sz w:val="20"/>
                <w:szCs w:val="20"/>
                <w:color w:val="0000FF"/>
                <w:w w:val="94"/>
              </w:rPr>
              <w:t>63,049</w:t>
            </w:r>
          </w:p>
        </w:tc>
        <w:tc>
          <w:tcPr>
            <w:tcW w:w="900" w:type="dxa"/>
            <w:vAlign w:val="bottom"/>
          </w:tcPr>
          <w:p>
            <w:pPr>
              <w:spacing w:after="0"/>
              <w:rPr>
                <w:sz w:val="22"/>
                <w:szCs w:val="22"/>
                <w:color w:val="auto"/>
              </w:rPr>
            </w:pPr>
          </w:p>
        </w:tc>
        <w:tc>
          <w:tcPr>
            <w:tcW w:w="1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20"/>
                <w:szCs w:val="20"/>
                <w:color w:val="0000FF"/>
                <w:w w:val="94"/>
              </w:rPr>
              <w:t>10,530</w:t>
            </w:r>
          </w:p>
        </w:tc>
        <w:tc>
          <w:tcPr>
            <w:tcW w:w="9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20"/>
                <w:szCs w:val="20"/>
                <w:color w:val="0000FF"/>
                <w:w w:val="98"/>
              </w:rPr>
              <w:t>172,000</w:t>
            </w:r>
          </w:p>
        </w:tc>
        <w:tc>
          <w:tcPr>
            <w:tcW w:w="9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89"/>
              </w:rPr>
              <w:t>I</w:t>
            </w:r>
          </w:p>
        </w:tc>
        <w:tc>
          <w:tcPr>
            <w:tcW w:w="18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60" w:type="dxa"/>
            <w:vAlign w:val="bottom"/>
            <w:gridSpan w:val="3"/>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3"/>
          </w:tcPr>
          <w:p>
            <w:pPr>
              <w:ind w:left="3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90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6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10,530 Class A ordinary shares issuable upon vesting of the underlying restricted share awards that remain outstanding as of the date hereof. The underlying restricted share awards were granted by the Issuer on December 1, 2024. The remaining restricted share awards will vest in equal installments on a quarterly basis until December 1, 2028, subject to the terms and conditions of the underlying award agreement.</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directly held by Crown Harvest Enterprise Limited, a controlled corporation of the reporting person.</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/s/ Donghao Yang</w:t>
            </w:r>
          </w:p>
        </w:tc>
        <w:tc>
          <w:tcPr>
            <w:tcW w:w="7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01343" TargetMode="External"/><Relationship Id="rId11" Type="http://schemas.openxmlformats.org/officeDocument/2006/relationships/hyperlink" Target="http://www.sec.gov/cgi-bin/browse-edgar?action=getcompany&amp;CIK=00015291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2026-03-18T17:07:56Z</dcterms:created>
  <dcterms:modified xsi:type="dcterms:W3CDTF">2026-03-18T17:07:56Z</dcterms:modified>
</cp:coreProperties>
</file>